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2.xml" ContentType="application/vnd.openxmlformats-officedocument.wordprocessingml.header+xml"/>
  <Override PartName="/word/charts/chart8.xml" ContentType="application/vnd.openxmlformats-officedocument.drawingml.chart+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99316898" w:displacedByCustomXml="next"/>
    <w:bookmarkStart w:id="1" w:name="_Toc426617386" w:displacedByCustomXml="next"/>
    <w:sdt>
      <w:sdtPr>
        <w:id w:val="85427492"/>
        <w:docPartObj>
          <w:docPartGallery w:val="Cover Pages"/>
          <w:docPartUnique/>
        </w:docPartObj>
      </w:sdtPr>
      <w:sdtEndPr/>
      <w:sdtContent>
        <w:p w14:paraId="5BBF3EED" w14:textId="4B7086A9" w:rsidR="00152F8F" w:rsidRPr="000C1C88" w:rsidRDefault="000C1C88" w:rsidP="000C1C88">
          <w:r>
            <w:rPr>
              <w:noProof/>
              <w:lang w:eastAsia="en-AU"/>
            </w:rPr>
            <w:drawing>
              <wp:anchor distT="0" distB="0" distL="114300" distR="114300" simplePos="0" relativeHeight="251698176" behindDoc="0" locked="0" layoutInCell="1" allowOverlap="1" wp14:anchorId="373CC694" wp14:editId="232B059D">
                <wp:simplePos x="0" y="0"/>
                <wp:positionH relativeFrom="column">
                  <wp:posOffset>-895985</wp:posOffset>
                </wp:positionH>
                <wp:positionV relativeFrom="page">
                  <wp:posOffset>8890</wp:posOffset>
                </wp:positionV>
                <wp:extent cx="7548245" cy="106775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ual Report - Portrait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ascii="Arial" w:eastAsia="Times New Roman" w:hAnsi="Arial" w:cs="Times New Roman"/>
          <w:b w:val="0"/>
          <w:bCs w:val="0"/>
          <w:color w:val="auto"/>
          <w:sz w:val="24"/>
          <w:szCs w:val="24"/>
        </w:rPr>
        <w:id w:val="-177669571"/>
        <w:docPartObj>
          <w:docPartGallery w:val="Table of Contents"/>
          <w:docPartUnique/>
        </w:docPartObj>
      </w:sdtPr>
      <w:sdtEndPr>
        <w:rPr>
          <w:noProof/>
        </w:rPr>
      </w:sdtEndPr>
      <w:sdtContent>
        <w:p w14:paraId="07D6AFBF" w14:textId="77777777" w:rsidR="00667578" w:rsidRPr="00710009" w:rsidRDefault="00667578">
          <w:pPr>
            <w:pStyle w:val="TOCHeading"/>
            <w:rPr>
              <w:rFonts w:ascii="Arial" w:hAnsi="Arial" w:cs="Arial"/>
            </w:rPr>
          </w:pPr>
          <w:r w:rsidRPr="00710009">
            <w:rPr>
              <w:rFonts w:ascii="Arial" w:hAnsi="Arial" w:cs="Arial"/>
            </w:rPr>
            <w:t>Contents</w:t>
          </w:r>
        </w:p>
        <w:p w14:paraId="4093DE30" w14:textId="77777777" w:rsidR="00ED1E27" w:rsidRDefault="00667578">
          <w:pPr>
            <w:pStyle w:val="TOC1"/>
            <w:rPr>
              <w:rFonts w:asciiTheme="minorHAnsi" w:eastAsiaTheme="minorEastAsia" w:hAnsiTheme="minorHAnsi" w:cstheme="minorBidi"/>
              <w:sz w:val="22"/>
              <w:szCs w:val="22"/>
              <w:lang w:eastAsia="en-AU"/>
            </w:rPr>
          </w:pPr>
          <w:r>
            <w:rPr>
              <w:noProof w:val="0"/>
            </w:rPr>
            <w:fldChar w:fldCharType="begin"/>
          </w:r>
          <w:r>
            <w:instrText xml:space="preserve"> TOC \o "1-3" \h \z \u </w:instrText>
          </w:r>
          <w:r>
            <w:rPr>
              <w:noProof w:val="0"/>
            </w:rPr>
            <w:fldChar w:fldCharType="separate"/>
          </w:r>
          <w:hyperlink w:anchor="_Toc430091107" w:history="1">
            <w:r w:rsidR="00ED1E27" w:rsidRPr="00ED1E27">
              <w:rPr>
                <w:rStyle w:val="Strong"/>
              </w:rPr>
              <w:t>Introduction</w:t>
            </w:r>
            <w:r w:rsidR="00ED1E27">
              <w:rPr>
                <w:webHidden/>
              </w:rPr>
              <w:tab/>
            </w:r>
            <w:r w:rsidR="00ED1E27">
              <w:rPr>
                <w:webHidden/>
              </w:rPr>
              <w:fldChar w:fldCharType="begin"/>
            </w:r>
            <w:r w:rsidR="00ED1E27">
              <w:rPr>
                <w:webHidden/>
              </w:rPr>
              <w:instrText xml:space="preserve"> PAGEREF _Toc430091107 \h </w:instrText>
            </w:r>
            <w:r w:rsidR="00ED1E27">
              <w:rPr>
                <w:webHidden/>
              </w:rPr>
            </w:r>
            <w:r w:rsidR="00ED1E27">
              <w:rPr>
                <w:webHidden/>
              </w:rPr>
              <w:fldChar w:fldCharType="separate"/>
            </w:r>
            <w:r w:rsidR="004427AD">
              <w:rPr>
                <w:webHidden/>
              </w:rPr>
              <w:t>11</w:t>
            </w:r>
            <w:r w:rsidR="00ED1E27">
              <w:rPr>
                <w:webHidden/>
              </w:rPr>
              <w:fldChar w:fldCharType="end"/>
            </w:r>
          </w:hyperlink>
        </w:p>
        <w:p w14:paraId="03BF9D20" w14:textId="77777777" w:rsidR="00ED1E27" w:rsidRDefault="000C10D6">
          <w:pPr>
            <w:pStyle w:val="TOC1"/>
            <w:rPr>
              <w:rFonts w:asciiTheme="minorHAnsi" w:eastAsiaTheme="minorEastAsia" w:hAnsiTheme="minorHAnsi" w:cstheme="minorBidi"/>
              <w:sz w:val="22"/>
              <w:szCs w:val="22"/>
              <w:lang w:eastAsia="en-AU"/>
            </w:rPr>
          </w:pPr>
          <w:hyperlink w:anchor="_Toc430091108" w:history="1">
            <w:r w:rsidR="00ED1E27" w:rsidRPr="0061785B">
              <w:rPr>
                <w:rStyle w:val="Hyperlink"/>
              </w:rPr>
              <w:t>About this report</w:t>
            </w:r>
            <w:r w:rsidR="00ED1E27">
              <w:rPr>
                <w:webHidden/>
              </w:rPr>
              <w:tab/>
            </w:r>
            <w:r w:rsidR="00ED1E27">
              <w:rPr>
                <w:webHidden/>
              </w:rPr>
              <w:fldChar w:fldCharType="begin"/>
            </w:r>
            <w:r w:rsidR="00ED1E27">
              <w:rPr>
                <w:webHidden/>
              </w:rPr>
              <w:instrText xml:space="preserve"> PAGEREF _Toc430091108 \h </w:instrText>
            </w:r>
            <w:r w:rsidR="00ED1E27">
              <w:rPr>
                <w:webHidden/>
              </w:rPr>
            </w:r>
            <w:r w:rsidR="00ED1E27">
              <w:rPr>
                <w:webHidden/>
              </w:rPr>
              <w:fldChar w:fldCharType="separate"/>
            </w:r>
            <w:r w:rsidR="004427AD">
              <w:rPr>
                <w:webHidden/>
              </w:rPr>
              <w:t>11</w:t>
            </w:r>
            <w:r w:rsidR="00ED1E27">
              <w:rPr>
                <w:webHidden/>
              </w:rPr>
              <w:fldChar w:fldCharType="end"/>
            </w:r>
          </w:hyperlink>
        </w:p>
        <w:p w14:paraId="68FB8540"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09" w:history="1">
            <w:r w:rsidR="00ED1E27" w:rsidRPr="0061785B">
              <w:rPr>
                <w:rStyle w:val="Hyperlink"/>
                <w:noProof/>
              </w:rPr>
              <w:t>Welcome to our 2014/15 Annual Report</w:t>
            </w:r>
            <w:r w:rsidR="00ED1E27">
              <w:rPr>
                <w:noProof/>
                <w:webHidden/>
              </w:rPr>
              <w:tab/>
            </w:r>
            <w:r w:rsidR="00ED1E27">
              <w:rPr>
                <w:noProof/>
                <w:webHidden/>
              </w:rPr>
              <w:fldChar w:fldCharType="begin"/>
            </w:r>
            <w:r w:rsidR="00ED1E27">
              <w:rPr>
                <w:noProof/>
                <w:webHidden/>
              </w:rPr>
              <w:instrText xml:space="preserve"> PAGEREF _Toc430091109 \h </w:instrText>
            </w:r>
            <w:r w:rsidR="00ED1E27">
              <w:rPr>
                <w:noProof/>
                <w:webHidden/>
              </w:rPr>
            </w:r>
            <w:r w:rsidR="00ED1E27">
              <w:rPr>
                <w:noProof/>
                <w:webHidden/>
              </w:rPr>
              <w:fldChar w:fldCharType="separate"/>
            </w:r>
            <w:r w:rsidR="004427AD">
              <w:rPr>
                <w:noProof/>
                <w:webHidden/>
              </w:rPr>
              <w:t>11</w:t>
            </w:r>
            <w:r w:rsidR="00ED1E27">
              <w:rPr>
                <w:noProof/>
                <w:webHidden/>
              </w:rPr>
              <w:fldChar w:fldCharType="end"/>
            </w:r>
          </w:hyperlink>
        </w:p>
        <w:p w14:paraId="1433E409" w14:textId="77777777" w:rsidR="00ED1E27" w:rsidRDefault="000C10D6">
          <w:pPr>
            <w:pStyle w:val="TOC1"/>
            <w:rPr>
              <w:rFonts w:asciiTheme="minorHAnsi" w:eastAsiaTheme="minorEastAsia" w:hAnsiTheme="minorHAnsi" w:cstheme="minorBidi"/>
              <w:sz w:val="22"/>
              <w:szCs w:val="22"/>
              <w:lang w:eastAsia="en-AU"/>
            </w:rPr>
          </w:pPr>
          <w:hyperlink w:anchor="_Toc430091110" w:history="1">
            <w:r w:rsidR="00ED1E27" w:rsidRPr="0061785B">
              <w:rPr>
                <w:rStyle w:val="Hyperlink"/>
              </w:rPr>
              <w:t>Statement of compliance</w:t>
            </w:r>
            <w:r w:rsidR="00ED1E27">
              <w:rPr>
                <w:webHidden/>
              </w:rPr>
              <w:tab/>
            </w:r>
            <w:r w:rsidR="00ED1E27">
              <w:rPr>
                <w:webHidden/>
              </w:rPr>
              <w:fldChar w:fldCharType="begin"/>
            </w:r>
            <w:r w:rsidR="00ED1E27">
              <w:rPr>
                <w:webHidden/>
              </w:rPr>
              <w:instrText xml:space="preserve"> PAGEREF _Toc430091110 \h </w:instrText>
            </w:r>
            <w:r w:rsidR="00ED1E27">
              <w:rPr>
                <w:webHidden/>
              </w:rPr>
            </w:r>
            <w:r w:rsidR="00ED1E27">
              <w:rPr>
                <w:webHidden/>
              </w:rPr>
              <w:fldChar w:fldCharType="separate"/>
            </w:r>
            <w:r w:rsidR="004427AD">
              <w:rPr>
                <w:webHidden/>
              </w:rPr>
              <w:t>12</w:t>
            </w:r>
            <w:r w:rsidR="00ED1E27">
              <w:rPr>
                <w:webHidden/>
              </w:rPr>
              <w:fldChar w:fldCharType="end"/>
            </w:r>
          </w:hyperlink>
        </w:p>
        <w:p w14:paraId="25BFE372" w14:textId="77777777" w:rsidR="00ED1E27" w:rsidRDefault="000C10D6">
          <w:pPr>
            <w:pStyle w:val="TOC1"/>
            <w:rPr>
              <w:rFonts w:asciiTheme="minorHAnsi" w:eastAsiaTheme="minorEastAsia" w:hAnsiTheme="minorHAnsi" w:cstheme="minorBidi"/>
              <w:sz w:val="22"/>
              <w:szCs w:val="22"/>
              <w:lang w:eastAsia="en-AU"/>
            </w:rPr>
          </w:pPr>
          <w:hyperlink w:anchor="_Toc430091111" w:history="1">
            <w:r w:rsidR="00ED1E27" w:rsidRPr="0061785B">
              <w:rPr>
                <w:rStyle w:val="Hyperlink"/>
              </w:rPr>
              <w:t>About us</w:t>
            </w:r>
            <w:r w:rsidR="00ED1E27">
              <w:rPr>
                <w:webHidden/>
              </w:rPr>
              <w:tab/>
            </w:r>
            <w:r w:rsidR="00ED1E27">
              <w:rPr>
                <w:webHidden/>
              </w:rPr>
              <w:fldChar w:fldCharType="begin"/>
            </w:r>
            <w:r w:rsidR="00ED1E27">
              <w:rPr>
                <w:webHidden/>
              </w:rPr>
              <w:instrText xml:space="preserve"> PAGEREF _Toc430091111 \h </w:instrText>
            </w:r>
            <w:r w:rsidR="00ED1E27">
              <w:rPr>
                <w:webHidden/>
              </w:rPr>
            </w:r>
            <w:r w:rsidR="00ED1E27">
              <w:rPr>
                <w:webHidden/>
              </w:rPr>
              <w:fldChar w:fldCharType="separate"/>
            </w:r>
            <w:r w:rsidR="004427AD">
              <w:rPr>
                <w:webHidden/>
              </w:rPr>
              <w:t>13</w:t>
            </w:r>
            <w:r w:rsidR="00ED1E27">
              <w:rPr>
                <w:webHidden/>
              </w:rPr>
              <w:fldChar w:fldCharType="end"/>
            </w:r>
          </w:hyperlink>
        </w:p>
        <w:p w14:paraId="4D854C67"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12" w:history="1">
            <w:r w:rsidR="00ED1E27" w:rsidRPr="0061785B">
              <w:rPr>
                <w:rStyle w:val="Hyperlink"/>
                <w:noProof/>
              </w:rPr>
              <w:t>Our profile</w:t>
            </w:r>
            <w:r w:rsidR="00ED1E27">
              <w:rPr>
                <w:noProof/>
                <w:webHidden/>
              </w:rPr>
              <w:tab/>
            </w:r>
            <w:r w:rsidR="00ED1E27">
              <w:rPr>
                <w:noProof/>
                <w:webHidden/>
              </w:rPr>
              <w:fldChar w:fldCharType="begin"/>
            </w:r>
            <w:r w:rsidR="00ED1E27">
              <w:rPr>
                <w:noProof/>
                <w:webHidden/>
              </w:rPr>
              <w:instrText xml:space="preserve"> PAGEREF _Toc430091112 \h </w:instrText>
            </w:r>
            <w:r w:rsidR="00ED1E27">
              <w:rPr>
                <w:noProof/>
                <w:webHidden/>
              </w:rPr>
            </w:r>
            <w:r w:rsidR="00ED1E27">
              <w:rPr>
                <w:noProof/>
                <w:webHidden/>
              </w:rPr>
              <w:fldChar w:fldCharType="separate"/>
            </w:r>
            <w:r w:rsidR="004427AD">
              <w:rPr>
                <w:noProof/>
                <w:webHidden/>
              </w:rPr>
              <w:t>13</w:t>
            </w:r>
            <w:r w:rsidR="00ED1E27">
              <w:rPr>
                <w:noProof/>
                <w:webHidden/>
              </w:rPr>
              <w:fldChar w:fldCharType="end"/>
            </w:r>
          </w:hyperlink>
        </w:p>
        <w:p w14:paraId="0DD0E9E8"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13" w:history="1">
            <w:r w:rsidR="00ED1E27" w:rsidRPr="0061785B">
              <w:rPr>
                <w:rStyle w:val="Hyperlink"/>
                <w:noProof/>
              </w:rPr>
              <w:t>Our vision</w:t>
            </w:r>
            <w:r w:rsidR="00ED1E27">
              <w:rPr>
                <w:noProof/>
                <w:webHidden/>
              </w:rPr>
              <w:tab/>
            </w:r>
            <w:r w:rsidR="00ED1E27">
              <w:rPr>
                <w:noProof/>
                <w:webHidden/>
              </w:rPr>
              <w:fldChar w:fldCharType="begin"/>
            </w:r>
            <w:r w:rsidR="00ED1E27">
              <w:rPr>
                <w:noProof/>
                <w:webHidden/>
              </w:rPr>
              <w:instrText xml:space="preserve"> PAGEREF _Toc430091113 \h </w:instrText>
            </w:r>
            <w:r w:rsidR="00ED1E27">
              <w:rPr>
                <w:noProof/>
                <w:webHidden/>
              </w:rPr>
            </w:r>
            <w:r w:rsidR="00ED1E27">
              <w:rPr>
                <w:noProof/>
                <w:webHidden/>
              </w:rPr>
              <w:fldChar w:fldCharType="separate"/>
            </w:r>
            <w:r w:rsidR="004427AD">
              <w:rPr>
                <w:noProof/>
                <w:webHidden/>
              </w:rPr>
              <w:t>13</w:t>
            </w:r>
            <w:r w:rsidR="00ED1E27">
              <w:rPr>
                <w:noProof/>
                <w:webHidden/>
              </w:rPr>
              <w:fldChar w:fldCharType="end"/>
            </w:r>
          </w:hyperlink>
        </w:p>
        <w:p w14:paraId="22AA1EA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14" w:history="1">
            <w:r w:rsidR="00ED1E27" w:rsidRPr="0061785B">
              <w:rPr>
                <w:rStyle w:val="Hyperlink"/>
                <w:noProof/>
              </w:rPr>
              <w:t>Our purpose</w:t>
            </w:r>
            <w:r w:rsidR="00ED1E27">
              <w:rPr>
                <w:noProof/>
                <w:webHidden/>
              </w:rPr>
              <w:tab/>
            </w:r>
            <w:r w:rsidR="00ED1E27">
              <w:rPr>
                <w:noProof/>
                <w:webHidden/>
              </w:rPr>
              <w:fldChar w:fldCharType="begin"/>
            </w:r>
            <w:r w:rsidR="00ED1E27">
              <w:rPr>
                <w:noProof/>
                <w:webHidden/>
              </w:rPr>
              <w:instrText xml:space="preserve"> PAGEREF _Toc430091114 \h </w:instrText>
            </w:r>
            <w:r w:rsidR="00ED1E27">
              <w:rPr>
                <w:noProof/>
                <w:webHidden/>
              </w:rPr>
            </w:r>
            <w:r w:rsidR="00ED1E27">
              <w:rPr>
                <w:noProof/>
                <w:webHidden/>
              </w:rPr>
              <w:fldChar w:fldCharType="separate"/>
            </w:r>
            <w:r w:rsidR="004427AD">
              <w:rPr>
                <w:noProof/>
                <w:webHidden/>
              </w:rPr>
              <w:t>13</w:t>
            </w:r>
            <w:r w:rsidR="00ED1E27">
              <w:rPr>
                <w:noProof/>
                <w:webHidden/>
              </w:rPr>
              <w:fldChar w:fldCharType="end"/>
            </w:r>
          </w:hyperlink>
        </w:p>
        <w:p w14:paraId="7365ECEA"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15" w:history="1">
            <w:r w:rsidR="00ED1E27" w:rsidRPr="0061785B">
              <w:rPr>
                <w:rStyle w:val="Hyperlink"/>
                <w:noProof/>
              </w:rPr>
              <w:t>Our strategic direction</w:t>
            </w:r>
            <w:r w:rsidR="00ED1E27">
              <w:rPr>
                <w:noProof/>
                <w:webHidden/>
              </w:rPr>
              <w:tab/>
            </w:r>
            <w:r w:rsidR="00ED1E27">
              <w:rPr>
                <w:noProof/>
                <w:webHidden/>
              </w:rPr>
              <w:fldChar w:fldCharType="begin"/>
            </w:r>
            <w:r w:rsidR="00ED1E27">
              <w:rPr>
                <w:noProof/>
                <w:webHidden/>
              </w:rPr>
              <w:instrText xml:space="preserve"> PAGEREF _Toc430091115 \h </w:instrText>
            </w:r>
            <w:r w:rsidR="00ED1E27">
              <w:rPr>
                <w:noProof/>
                <w:webHidden/>
              </w:rPr>
            </w:r>
            <w:r w:rsidR="00ED1E27">
              <w:rPr>
                <w:noProof/>
                <w:webHidden/>
              </w:rPr>
              <w:fldChar w:fldCharType="separate"/>
            </w:r>
            <w:r w:rsidR="004427AD">
              <w:rPr>
                <w:noProof/>
                <w:webHidden/>
              </w:rPr>
              <w:t>14</w:t>
            </w:r>
            <w:r w:rsidR="00ED1E27">
              <w:rPr>
                <w:noProof/>
                <w:webHidden/>
              </w:rPr>
              <w:fldChar w:fldCharType="end"/>
            </w:r>
          </w:hyperlink>
        </w:p>
        <w:p w14:paraId="283EB276"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16" w:history="1">
            <w:r w:rsidR="00ED1E27" w:rsidRPr="0061785B">
              <w:rPr>
                <w:rStyle w:val="Hyperlink"/>
                <w:noProof/>
              </w:rPr>
              <w:t>Our values</w:t>
            </w:r>
            <w:r w:rsidR="00ED1E27">
              <w:rPr>
                <w:noProof/>
                <w:webHidden/>
              </w:rPr>
              <w:tab/>
            </w:r>
            <w:r w:rsidR="00ED1E27">
              <w:rPr>
                <w:noProof/>
                <w:webHidden/>
              </w:rPr>
              <w:fldChar w:fldCharType="begin"/>
            </w:r>
            <w:r w:rsidR="00ED1E27">
              <w:rPr>
                <w:noProof/>
                <w:webHidden/>
              </w:rPr>
              <w:instrText xml:space="preserve"> PAGEREF _Toc430091116 \h </w:instrText>
            </w:r>
            <w:r w:rsidR="00ED1E27">
              <w:rPr>
                <w:noProof/>
                <w:webHidden/>
              </w:rPr>
            </w:r>
            <w:r w:rsidR="00ED1E27">
              <w:rPr>
                <w:noProof/>
                <w:webHidden/>
              </w:rPr>
              <w:fldChar w:fldCharType="separate"/>
            </w:r>
            <w:r w:rsidR="004427AD">
              <w:rPr>
                <w:noProof/>
                <w:webHidden/>
              </w:rPr>
              <w:t>15</w:t>
            </w:r>
            <w:r w:rsidR="00ED1E27">
              <w:rPr>
                <w:noProof/>
                <w:webHidden/>
              </w:rPr>
              <w:fldChar w:fldCharType="end"/>
            </w:r>
          </w:hyperlink>
        </w:p>
        <w:p w14:paraId="08513076"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17" w:history="1">
            <w:r w:rsidR="00ED1E27" w:rsidRPr="0061785B">
              <w:rPr>
                <w:rStyle w:val="Hyperlink"/>
                <w:noProof/>
              </w:rPr>
              <w:t>Our stakeholders</w:t>
            </w:r>
            <w:r w:rsidR="00ED1E27">
              <w:rPr>
                <w:noProof/>
                <w:webHidden/>
              </w:rPr>
              <w:tab/>
            </w:r>
            <w:r w:rsidR="00ED1E27">
              <w:rPr>
                <w:noProof/>
                <w:webHidden/>
              </w:rPr>
              <w:fldChar w:fldCharType="begin"/>
            </w:r>
            <w:r w:rsidR="00ED1E27">
              <w:rPr>
                <w:noProof/>
                <w:webHidden/>
              </w:rPr>
              <w:instrText xml:space="preserve"> PAGEREF _Toc430091117 \h </w:instrText>
            </w:r>
            <w:r w:rsidR="00ED1E27">
              <w:rPr>
                <w:noProof/>
                <w:webHidden/>
              </w:rPr>
            </w:r>
            <w:r w:rsidR="00ED1E27">
              <w:rPr>
                <w:noProof/>
                <w:webHidden/>
              </w:rPr>
              <w:fldChar w:fldCharType="separate"/>
            </w:r>
            <w:r w:rsidR="004427AD">
              <w:rPr>
                <w:noProof/>
                <w:webHidden/>
              </w:rPr>
              <w:t>16</w:t>
            </w:r>
            <w:r w:rsidR="00ED1E27">
              <w:rPr>
                <w:noProof/>
                <w:webHidden/>
              </w:rPr>
              <w:fldChar w:fldCharType="end"/>
            </w:r>
          </w:hyperlink>
        </w:p>
        <w:p w14:paraId="2DBCDF4F" w14:textId="77777777" w:rsidR="00ED1E27" w:rsidRDefault="000C10D6">
          <w:pPr>
            <w:pStyle w:val="TOC1"/>
            <w:rPr>
              <w:rFonts w:asciiTheme="minorHAnsi" w:eastAsiaTheme="minorEastAsia" w:hAnsiTheme="minorHAnsi" w:cstheme="minorBidi"/>
              <w:sz w:val="22"/>
              <w:szCs w:val="22"/>
              <w:lang w:eastAsia="en-AU"/>
            </w:rPr>
          </w:pPr>
          <w:hyperlink w:anchor="_Toc430091118" w:history="1">
            <w:r w:rsidR="00ED1E27" w:rsidRPr="0061785B">
              <w:rPr>
                <w:rStyle w:val="Hyperlink"/>
              </w:rPr>
              <w:t>Year in review</w:t>
            </w:r>
            <w:r w:rsidR="00ED1E27">
              <w:rPr>
                <w:webHidden/>
              </w:rPr>
              <w:tab/>
            </w:r>
            <w:r w:rsidR="00ED1E27">
              <w:rPr>
                <w:webHidden/>
              </w:rPr>
              <w:fldChar w:fldCharType="begin"/>
            </w:r>
            <w:r w:rsidR="00ED1E27">
              <w:rPr>
                <w:webHidden/>
              </w:rPr>
              <w:instrText xml:space="preserve"> PAGEREF _Toc430091118 \h </w:instrText>
            </w:r>
            <w:r w:rsidR="00ED1E27">
              <w:rPr>
                <w:webHidden/>
              </w:rPr>
            </w:r>
            <w:r w:rsidR="00ED1E27">
              <w:rPr>
                <w:webHidden/>
              </w:rPr>
              <w:fldChar w:fldCharType="separate"/>
            </w:r>
            <w:r w:rsidR="004427AD">
              <w:rPr>
                <w:webHidden/>
              </w:rPr>
              <w:t>17</w:t>
            </w:r>
            <w:r w:rsidR="00ED1E27">
              <w:rPr>
                <w:webHidden/>
              </w:rPr>
              <w:fldChar w:fldCharType="end"/>
            </w:r>
          </w:hyperlink>
        </w:p>
        <w:p w14:paraId="41CF9544"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19" w:history="1">
            <w:r w:rsidR="00ED1E27" w:rsidRPr="0061785B">
              <w:rPr>
                <w:rStyle w:val="Hyperlink"/>
                <w:noProof/>
              </w:rPr>
              <w:t>Year in numbers</w:t>
            </w:r>
            <w:r w:rsidR="00ED1E27">
              <w:rPr>
                <w:noProof/>
                <w:webHidden/>
              </w:rPr>
              <w:tab/>
            </w:r>
            <w:r w:rsidR="00ED1E27">
              <w:rPr>
                <w:noProof/>
                <w:webHidden/>
              </w:rPr>
              <w:fldChar w:fldCharType="begin"/>
            </w:r>
            <w:r w:rsidR="00ED1E27">
              <w:rPr>
                <w:noProof/>
                <w:webHidden/>
              </w:rPr>
              <w:instrText xml:space="preserve"> PAGEREF _Toc430091119 \h </w:instrText>
            </w:r>
            <w:r w:rsidR="00ED1E27">
              <w:rPr>
                <w:noProof/>
                <w:webHidden/>
              </w:rPr>
            </w:r>
            <w:r w:rsidR="00ED1E27">
              <w:rPr>
                <w:noProof/>
                <w:webHidden/>
              </w:rPr>
              <w:fldChar w:fldCharType="separate"/>
            </w:r>
            <w:r w:rsidR="004427AD">
              <w:rPr>
                <w:noProof/>
                <w:webHidden/>
              </w:rPr>
              <w:t>17</w:t>
            </w:r>
            <w:r w:rsidR="00ED1E27">
              <w:rPr>
                <w:noProof/>
                <w:webHidden/>
              </w:rPr>
              <w:fldChar w:fldCharType="end"/>
            </w:r>
          </w:hyperlink>
        </w:p>
        <w:p w14:paraId="539E3B0D"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20" w:history="1">
            <w:r w:rsidR="00ED1E27" w:rsidRPr="0061785B">
              <w:rPr>
                <w:rStyle w:val="Hyperlink"/>
                <w:noProof/>
              </w:rPr>
              <w:t>Year in brief</w:t>
            </w:r>
            <w:r w:rsidR="00ED1E27">
              <w:rPr>
                <w:noProof/>
                <w:webHidden/>
              </w:rPr>
              <w:tab/>
            </w:r>
            <w:r w:rsidR="00ED1E27">
              <w:rPr>
                <w:noProof/>
                <w:webHidden/>
              </w:rPr>
              <w:fldChar w:fldCharType="begin"/>
            </w:r>
            <w:r w:rsidR="00ED1E27">
              <w:rPr>
                <w:noProof/>
                <w:webHidden/>
              </w:rPr>
              <w:instrText xml:space="preserve"> PAGEREF _Toc430091120 \h </w:instrText>
            </w:r>
            <w:r w:rsidR="00ED1E27">
              <w:rPr>
                <w:noProof/>
                <w:webHidden/>
              </w:rPr>
            </w:r>
            <w:r w:rsidR="00ED1E27">
              <w:rPr>
                <w:noProof/>
                <w:webHidden/>
              </w:rPr>
              <w:fldChar w:fldCharType="separate"/>
            </w:r>
            <w:r w:rsidR="004427AD">
              <w:rPr>
                <w:noProof/>
                <w:webHidden/>
              </w:rPr>
              <w:t>18</w:t>
            </w:r>
            <w:r w:rsidR="00ED1E27">
              <w:rPr>
                <w:noProof/>
                <w:webHidden/>
              </w:rPr>
              <w:fldChar w:fldCharType="end"/>
            </w:r>
          </w:hyperlink>
        </w:p>
        <w:p w14:paraId="784C4A65"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21" w:history="1">
            <w:r w:rsidR="00ED1E27" w:rsidRPr="0061785B">
              <w:rPr>
                <w:rStyle w:val="Hyperlink"/>
                <w:noProof/>
              </w:rPr>
              <w:t>Year in dollars</w:t>
            </w:r>
            <w:r w:rsidR="00ED1E27">
              <w:rPr>
                <w:noProof/>
                <w:webHidden/>
              </w:rPr>
              <w:tab/>
            </w:r>
            <w:r w:rsidR="00ED1E27">
              <w:rPr>
                <w:noProof/>
                <w:webHidden/>
              </w:rPr>
              <w:fldChar w:fldCharType="begin"/>
            </w:r>
            <w:r w:rsidR="00ED1E27">
              <w:rPr>
                <w:noProof/>
                <w:webHidden/>
              </w:rPr>
              <w:instrText xml:space="preserve"> PAGEREF _Toc430091121 \h </w:instrText>
            </w:r>
            <w:r w:rsidR="00ED1E27">
              <w:rPr>
                <w:noProof/>
                <w:webHidden/>
              </w:rPr>
            </w:r>
            <w:r w:rsidR="00ED1E27">
              <w:rPr>
                <w:noProof/>
                <w:webHidden/>
              </w:rPr>
              <w:fldChar w:fldCharType="separate"/>
            </w:r>
            <w:r w:rsidR="004427AD">
              <w:rPr>
                <w:noProof/>
                <w:webHidden/>
              </w:rPr>
              <w:t>19</w:t>
            </w:r>
            <w:r w:rsidR="00ED1E27">
              <w:rPr>
                <w:noProof/>
                <w:webHidden/>
              </w:rPr>
              <w:fldChar w:fldCharType="end"/>
            </w:r>
          </w:hyperlink>
        </w:p>
        <w:p w14:paraId="21CEFB61"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22" w:history="1">
            <w:r w:rsidR="00ED1E27" w:rsidRPr="0061785B">
              <w:rPr>
                <w:rStyle w:val="Hyperlink"/>
                <w:noProof/>
              </w:rPr>
              <w:t>Year scorecard</w:t>
            </w:r>
            <w:r w:rsidR="00ED1E27">
              <w:rPr>
                <w:noProof/>
                <w:webHidden/>
              </w:rPr>
              <w:tab/>
            </w:r>
            <w:r w:rsidR="00ED1E27">
              <w:rPr>
                <w:noProof/>
                <w:webHidden/>
              </w:rPr>
              <w:fldChar w:fldCharType="begin"/>
            </w:r>
            <w:r w:rsidR="00ED1E27">
              <w:rPr>
                <w:noProof/>
                <w:webHidden/>
              </w:rPr>
              <w:instrText xml:space="preserve"> PAGEREF _Toc430091122 \h </w:instrText>
            </w:r>
            <w:r w:rsidR="00ED1E27">
              <w:rPr>
                <w:noProof/>
                <w:webHidden/>
              </w:rPr>
            </w:r>
            <w:r w:rsidR="00ED1E27">
              <w:rPr>
                <w:noProof/>
                <w:webHidden/>
              </w:rPr>
              <w:fldChar w:fldCharType="separate"/>
            </w:r>
            <w:r w:rsidR="004427AD">
              <w:rPr>
                <w:noProof/>
                <w:webHidden/>
              </w:rPr>
              <w:t>21</w:t>
            </w:r>
            <w:r w:rsidR="00ED1E27">
              <w:rPr>
                <w:noProof/>
                <w:webHidden/>
              </w:rPr>
              <w:fldChar w:fldCharType="end"/>
            </w:r>
          </w:hyperlink>
        </w:p>
        <w:p w14:paraId="1C8E874A" w14:textId="77777777" w:rsidR="00ED1E27" w:rsidRDefault="000C10D6">
          <w:pPr>
            <w:pStyle w:val="TOC1"/>
            <w:rPr>
              <w:rFonts w:asciiTheme="minorHAnsi" w:eastAsiaTheme="minorEastAsia" w:hAnsiTheme="minorHAnsi" w:cstheme="minorBidi"/>
              <w:sz w:val="22"/>
              <w:szCs w:val="22"/>
              <w:lang w:eastAsia="en-AU"/>
            </w:rPr>
          </w:pPr>
          <w:hyperlink w:anchor="_Toc430091123" w:history="1">
            <w:r w:rsidR="00ED1E27" w:rsidRPr="00ED1E27">
              <w:rPr>
                <w:rStyle w:val="Strong"/>
              </w:rPr>
              <w:t>Section 1: Agency in focus</w:t>
            </w:r>
            <w:r w:rsidR="00ED1E27">
              <w:rPr>
                <w:webHidden/>
              </w:rPr>
              <w:tab/>
            </w:r>
            <w:r w:rsidR="00ED1E27">
              <w:rPr>
                <w:webHidden/>
              </w:rPr>
              <w:fldChar w:fldCharType="begin"/>
            </w:r>
            <w:r w:rsidR="00ED1E27">
              <w:rPr>
                <w:webHidden/>
              </w:rPr>
              <w:instrText xml:space="preserve"> PAGEREF _Toc430091123 \h </w:instrText>
            </w:r>
            <w:r w:rsidR="00ED1E27">
              <w:rPr>
                <w:webHidden/>
              </w:rPr>
            </w:r>
            <w:r w:rsidR="00ED1E27">
              <w:rPr>
                <w:webHidden/>
              </w:rPr>
              <w:fldChar w:fldCharType="separate"/>
            </w:r>
            <w:r w:rsidR="004427AD">
              <w:rPr>
                <w:webHidden/>
              </w:rPr>
              <w:t>24</w:t>
            </w:r>
            <w:r w:rsidR="00ED1E27">
              <w:rPr>
                <w:webHidden/>
              </w:rPr>
              <w:fldChar w:fldCharType="end"/>
            </w:r>
          </w:hyperlink>
        </w:p>
        <w:p w14:paraId="22E8ED90" w14:textId="77777777" w:rsidR="00ED1E27" w:rsidRDefault="000C10D6">
          <w:pPr>
            <w:pStyle w:val="TOC1"/>
            <w:rPr>
              <w:rFonts w:asciiTheme="minorHAnsi" w:eastAsiaTheme="minorEastAsia" w:hAnsiTheme="minorHAnsi" w:cstheme="minorBidi"/>
              <w:sz w:val="22"/>
              <w:szCs w:val="22"/>
              <w:lang w:eastAsia="en-AU"/>
            </w:rPr>
          </w:pPr>
          <w:hyperlink w:anchor="_Toc430091124" w:history="1">
            <w:r w:rsidR="00ED1E27" w:rsidRPr="0061785B">
              <w:rPr>
                <w:rStyle w:val="Hyperlink"/>
              </w:rPr>
              <w:t>Chairman and CEO report</w:t>
            </w:r>
            <w:r w:rsidR="00ED1E27">
              <w:rPr>
                <w:webHidden/>
              </w:rPr>
              <w:tab/>
            </w:r>
            <w:r w:rsidR="00ED1E27">
              <w:rPr>
                <w:webHidden/>
              </w:rPr>
              <w:fldChar w:fldCharType="begin"/>
            </w:r>
            <w:r w:rsidR="00ED1E27">
              <w:rPr>
                <w:webHidden/>
              </w:rPr>
              <w:instrText xml:space="preserve"> PAGEREF _Toc430091124 \h </w:instrText>
            </w:r>
            <w:r w:rsidR="00ED1E27">
              <w:rPr>
                <w:webHidden/>
              </w:rPr>
            </w:r>
            <w:r w:rsidR="00ED1E27">
              <w:rPr>
                <w:webHidden/>
              </w:rPr>
              <w:fldChar w:fldCharType="separate"/>
            </w:r>
            <w:r w:rsidR="004427AD">
              <w:rPr>
                <w:webHidden/>
              </w:rPr>
              <w:t>24</w:t>
            </w:r>
            <w:r w:rsidR="00ED1E27">
              <w:rPr>
                <w:webHidden/>
              </w:rPr>
              <w:fldChar w:fldCharType="end"/>
            </w:r>
          </w:hyperlink>
        </w:p>
        <w:p w14:paraId="5CEE725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25" w:history="1">
            <w:r w:rsidR="00ED1E27" w:rsidRPr="0061785B">
              <w:rPr>
                <w:rStyle w:val="Hyperlink"/>
                <w:noProof/>
              </w:rPr>
              <w:t>A scheme that works for all</w:t>
            </w:r>
            <w:r w:rsidR="00ED1E27">
              <w:rPr>
                <w:noProof/>
                <w:webHidden/>
              </w:rPr>
              <w:tab/>
            </w:r>
            <w:r w:rsidR="00ED1E27">
              <w:rPr>
                <w:noProof/>
                <w:webHidden/>
              </w:rPr>
              <w:fldChar w:fldCharType="begin"/>
            </w:r>
            <w:r w:rsidR="00ED1E27">
              <w:rPr>
                <w:noProof/>
                <w:webHidden/>
              </w:rPr>
              <w:instrText xml:space="preserve"> PAGEREF _Toc430091125 \h </w:instrText>
            </w:r>
            <w:r w:rsidR="00ED1E27">
              <w:rPr>
                <w:noProof/>
                <w:webHidden/>
              </w:rPr>
            </w:r>
            <w:r w:rsidR="00ED1E27">
              <w:rPr>
                <w:noProof/>
                <w:webHidden/>
              </w:rPr>
              <w:fldChar w:fldCharType="separate"/>
            </w:r>
            <w:r w:rsidR="004427AD">
              <w:rPr>
                <w:noProof/>
                <w:webHidden/>
              </w:rPr>
              <w:t>24</w:t>
            </w:r>
            <w:r w:rsidR="00ED1E27">
              <w:rPr>
                <w:noProof/>
                <w:webHidden/>
              </w:rPr>
              <w:fldChar w:fldCharType="end"/>
            </w:r>
          </w:hyperlink>
        </w:p>
        <w:p w14:paraId="42A498CB" w14:textId="77777777" w:rsidR="00ED1E27" w:rsidRDefault="000C10D6">
          <w:pPr>
            <w:pStyle w:val="TOC1"/>
            <w:rPr>
              <w:rFonts w:asciiTheme="minorHAnsi" w:eastAsiaTheme="minorEastAsia" w:hAnsiTheme="minorHAnsi" w:cstheme="minorBidi"/>
              <w:sz w:val="22"/>
              <w:szCs w:val="22"/>
              <w:lang w:eastAsia="en-AU"/>
            </w:rPr>
          </w:pPr>
          <w:hyperlink w:anchor="_Toc430091126" w:history="1">
            <w:r w:rsidR="00ED1E27" w:rsidRPr="0061785B">
              <w:rPr>
                <w:rStyle w:val="Hyperlink"/>
              </w:rPr>
              <w:t>Agency brief</w:t>
            </w:r>
            <w:r w:rsidR="00ED1E27">
              <w:rPr>
                <w:webHidden/>
              </w:rPr>
              <w:tab/>
            </w:r>
            <w:r w:rsidR="00ED1E27">
              <w:rPr>
                <w:webHidden/>
              </w:rPr>
              <w:fldChar w:fldCharType="begin"/>
            </w:r>
            <w:r w:rsidR="00ED1E27">
              <w:rPr>
                <w:webHidden/>
              </w:rPr>
              <w:instrText xml:space="preserve"> PAGEREF _Toc430091126 \h </w:instrText>
            </w:r>
            <w:r w:rsidR="00ED1E27">
              <w:rPr>
                <w:webHidden/>
              </w:rPr>
            </w:r>
            <w:r w:rsidR="00ED1E27">
              <w:rPr>
                <w:webHidden/>
              </w:rPr>
              <w:fldChar w:fldCharType="separate"/>
            </w:r>
            <w:r w:rsidR="004427AD">
              <w:rPr>
                <w:webHidden/>
              </w:rPr>
              <w:t>25</w:t>
            </w:r>
            <w:r w:rsidR="00ED1E27">
              <w:rPr>
                <w:webHidden/>
              </w:rPr>
              <w:fldChar w:fldCharType="end"/>
            </w:r>
          </w:hyperlink>
        </w:p>
        <w:p w14:paraId="3F8677E4"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27" w:history="1">
            <w:r w:rsidR="00ED1E27" w:rsidRPr="0061785B">
              <w:rPr>
                <w:rStyle w:val="Hyperlink"/>
                <w:noProof/>
              </w:rPr>
              <w:t>Worker’s compensation and injury management: The Western Australian context</w:t>
            </w:r>
            <w:r w:rsidR="00ED1E27">
              <w:rPr>
                <w:noProof/>
                <w:webHidden/>
              </w:rPr>
              <w:tab/>
            </w:r>
            <w:r w:rsidR="00ED1E27">
              <w:rPr>
                <w:noProof/>
                <w:webHidden/>
              </w:rPr>
              <w:fldChar w:fldCharType="begin"/>
            </w:r>
            <w:r w:rsidR="00ED1E27">
              <w:rPr>
                <w:noProof/>
                <w:webHidden/>
              </w:rPr>
              <w:instrText xml:space="preserve"> PAGEREF _Toc430091127 \h </w:instrText>
            </w:r>
            <w:r w:rsidR="00ED1E27">
              <w:rPr>
                <w:noProof/>
                <w:webHidden/>
              </w:rPr>
            </w:r>
            <w:r w:rsidR="00ED1E27">
              <w:rPr>
                <w:noProof/>
                <w:webHidden/>
              </w:rPr>
              <w:fldChar w:fldCharType="separate"/>
            </w:r>
            <w:r w:rsidR="004427AD">
              <w:rPr>
                <w:noProof/>
                <w:webHidden/>
              </w:rPr>
              <w:t>25</w:t>
            </w:r>
            <w:r w:rsidR="00ED1E27">
              <w:rPr>
                <w:noProof/>
                <w:webHidden/>
              </w:rPr>
              <w:fldChar w:fldCharType="end"/>
            </w:r>
          </w:hyperlink>
        </w:p>
        <w:p w14:paraId="24B23EFF" w14:textId="77777777" w:rsidR="00ED1E27" w:rsidRDefault="000C10D6">
          <w:pPr>
            <w:pStyle w:val="TOC1"/>
            <w:rPr>
              <w:rFonts w:asciiTheme="minorHAnsi" w:eastAsiaTheme="minorEastAsia" w:hAnsiTheme="minorHAnsi" w:cstheme="minorBidi"/>
              <w:sz w:val="22"/>
              <w:szCs w:val="22"/>
              <w:lang w:eastAsia="en-AU"/>
            </w:rPr>
          </w:pPr>
          <w:hyperlink w:anchor="_Toc430091128" w:history="1">
            <w:r w:rsidR="00ED1E27" w:rsidRPr="0061785B">
              <w:rPr>
                <w:rStyle w:val="Hyperlink"/>
              </w:rPr>
              <w:t>Leadership</w:t>
            </w:r>
            <w:r w:rsidR="00ED1E27">
              <w:rPr>
                <w:webHidden/>
              </w:rPr>
              <w:tab/>
            </w:r>
            <w:r w:rsidR="00ED1E27">
              <w:rPr>
                <w:webHidden/>
              </w:rPr>
              <w:fldChar w:fldCharType="begin"/>
            </w:r>
            <w:r w:rsidR="00ED1E27">
              <w:rPr>
                <w:webHidden/>
              </w:rPr>
              <w:instrText xml:space="preserve"> PAGEREF _Toc430091128 \h </w:instrText>
            </w:r>
            <w:r w:rsidR="00ED1E27">
              <w:rPr>
                <w:webHidden/>
              </w:rPr>
            </w:r>
            <w:r w:rsidR="00ED1E27">
              <w:rPr>
                <w:webHidden/>
              </w:rPr>
              <w:fldChar w:fldCharType="separate"/>
            </w:r>
            <w:r w:rsidR="004427AD">
              <w:rPr>
                <w:webHidden/>
              </w:rPr>
              <w:t>26</w:t>
            </w:r>
            <w:r w:rsidR="00ED1E27">
              <w:rPr>
                <w:webHidden/>
              </w:rPr>
              <w:fldChar w:fldCharType="end"/>
            </w:r>
          </w:hyperlink>
        </w:p>
        <w:p w14:paraId="652775F4"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29" w:history="1">
            <w:r w:rsidR="00ED1E27" w:rsidRPr="0061785B">
              <w:rPr>
                <w:rStyle w:val="Hyperlink"/>
                <w:noProof/>
              </w:rPr>
              <w:t>Agency overview</w:t>
            </w:r>
            <w:r w:rsidR="00ED1E27">
              <w:rPr>
                <w:noProof/>
                <w:webHidden/>
              </w:rPr>
              <w:tab/>
            </w:r>
            <w:r w:rsidR="00ED1E27">
              <w:rPr>
                <w:noProof/>
                <w:webHidden/>
              </w:rPr>
              <w:fldChar w:fldCharType="begin"/>
            </w:r>
            <w:r w:rsidR="00ED1E27">
              <w:rPr>
                <w:noProof/>
                <w:webHidden/>
              </w:rPr>
              <w:instrText xml:space="preserve"> PAGEREF _Toc430091129 \h </w:instrText>
            </w:r>
            <w:r w:rsidR="00ED1E27">
              <w:rPr>
                <w:noProof/>
                <w:webHidden/>
              </w:rPr>
            </w:r>
            <w:r w:rsidR="00ED1E27">
              <w:rPr>
                <w:noProof/>
                <w:webHidden/>
              </w:rPr>
              <w:fldChar w:fldCharType="separate"/>
            </w:r>
            <w:r w:rsidR="004427AD">
              <w:rPr>
                <w:noProof/>
                <w:webHidden/>
              </w:rPr>
              <w:t>26</w:t>
            </w:r>
            <w:r w:rsidR="00ED1E27">
              <w:rPr>
                <w:noProof/>
                <w:webHidden/>
              </w:rPr>
              <w:fldChar w:fldCharType="end"/>
            </w:r>
          </w:hyperlink>
        </w:p>
        <w:p w14:paraId="35E5101F"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30" w:history="1">
            <w:r w:rsidR="00ED1E27" w:rsidRPr="0061785B">
              <w:rPr>
                <w:rStyle w:val="Hyperlink"/>
                <w:noProof/>
              </w:rPr>
              <w:t>Organisational structure</w:t>
            </w:r>
            <w:r w:rsidR="00ED1E27">
              <w:rPr>
                <w:noProof/>
                <w:webHidden/>
              </w:rPr>
              <w:tab/>
            </w:r>
            <w:r w:rsidR="00ED1E27">
              <w:rPr>
                <w:noProof/>
                <w:webHidden/>
              </w:rPr>
              <w:fldChar w:fldCharType="begin"/>
            </w:r>
            <w:r w:rsidR="00ED1E27">
              <w:rPr>
                <w:noProof/>
                <w:webHidden/>
              </w:rPr>
              <w:instrText xml:space="preserve"> PAGEREF _Toc430091130 \h </w:instrText>
            </w:r>
            <w:r w:rsidR="00ED1E27">
              <w:rPr>
                <w:noProof/>
                <w:webHidden/>
              </w:rPr>
            </w:r>
            <w:r w:rsidR="00ED1E27">
              <w:rPr>
                <w:noProof/>
                <w:webHidden/>
              </w:rPr>
              <w:fldChar w:fldCharType="separate"/>
            </w:r>
            <w:r w:rsidR="004427AD">
              <w:rPr>
                <w:noProof/>
                <w:webHidden/>
              </w:rPr>
              <w:t>27</w:t>
            </w:r>
            <w:r w:rsidR="00ED1E27">
              <w:rPr>
                <w:noProof/>
                <w:webHidden/>
              </w:rPr>
              <w:fldChar w:fldCharType="end"/>
            </w:r>
          </w:hyperlink>
        </w:p>
        <w:p w14:paraId="2FA8401E"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31" w:history="1">
            <w:r w:rsidR="00ED1E27" w:rsidRPr="0061785B">
              <w:rPr>
                <w:rStyle w:val="Hyperlink"/>
                <w:noProof/>
              </w:rPr>
              <w:t>Divisions and direction</w:t>
            </w:r>
            <w:r w:rsidR="00ED1E27">
              <w:rPr>
                <w:noProof/>
                <w:webHidden/>
              </w:rPr>
              <w:tab/>
            </w:r>
            <w:r w:rsidR="00ED1E27">
              <w:rPr>
                <w:noProof/>
                <w:webHidden/>
              </w:rPr>
              <w:fldChar w:fldCharType="begin"/>
            </w:r>
            <w:r w:rsidR="00ED1E27">
              <w:rPr>
                <w:noProof/>
                <w:webHidden/>
              </w:rPr>
              <w:instrText xml:space="preserve"> PAGEREF _Toc430091131 \h </w:instrText>
            </w:r>
            <w:r w:rsidR="00ED1E27">
              <w:rPr>
                <w:noProof/>
                <w:webHidden/>
              </w:rPr>
            </w:r>
            <w:r w:rsidR="00ED1E27">
              <w:rPr>
                <w:noProof/>
                <w:webHidden/>
              </w:rPr>
              <w:fldChar w:fldCharType="separate"/>
            </w:r>
            <w:r w:rsidR="004427AD">
              <w:rPr>
                <w:noProof/>
                <w:webHidden/>
              </w:rPr>
              <w:t>28</w:t>
            </w:r>
            <w:r w:rsidR="00ED1E27">
              <w:rPr>
                <w:noProof/>
                <w:webHidden/>
              </w:rPr>
              <w:fldChar w:fldCharType="end"/>
            </w:r>
          </w:hyperlink>
        </w:p>
        <w:p w14:paraId="64B083FB"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32" w:history="1">
            <w:r w:rsidR="00ED1E27" w:rsidRPr="0061785B">
              <w:rPr>
                <w:rStyle w:val="Hyperlink"/>
                <w:noProof/>
                <w:lang w:val="en-US"/>
              </w:rPr>
              <w:t>WorkCover WA Board</w:t>
            </w:r>
            <w:r w:rsidR="00ED1E27">
              <w:rPr>
                <w:noProof/>
                <w:webHidden/>
              </w:rPr>
              <w:tab/>
            </w:r>
            <w:r w:rsidR="00ED1E27">
              <w:rPr>
                <w:noProof/>
                <w:webHidden/>
              </w:rPr>
              <w:fldChar w:fldCharType="begin"/>
            </w:r>
            <w:r w:rsidR="00ED1E27">
              <w:rPr>
                <w:noProof/>
                <w:webHidden/>
              </w:rPr>
              <w:instrText xml:space="preserve"> PAGEREF _Toc430091132 \h </w:instrText>
            </w:r>
            <w:r w:rsidR="00ED1E27">
              <w:rPr>
                <w:noProof/>
                <w:webHidden/>
              </w:rPr>
            </w:r>
            <w:r w:rsidR="00ED1E27">
              <w:rPr>
                <w:noProof/>
                <w:webHidden/>
              </w:rPr>
              <w:fldChar w:fldCharType="separate"/>
            </w:r>
            <w:r w:rsidR="004427AD">
              <w:rPr>
                <w:noProof/>
                <w:webHidden/>
              </w:rPr>
              <w:t>29</w:t>
            </w:r>
            <w:r w:rsidR="00ED1E27">
              <w:rPr>
                <w:noProof/>
                <w:webHidden/>
              </w:rPr>
              <w:fldChar w:fldCharType="end"/>
            </w:r>
          </w:hyperlink>
        </w:p>
        <w:p w14:paraId="62C42027" w14:textId="77777777" w:rsidR="00ED1E27" w:rsidRDefault="000C10D6">
          <w:pPr>
            <w:pStyle w:val="TOC3"/>
            <w:rPr>
              <w:rFonts w:asciiTheme="minorHAnsi" w:eastAsiaTheme="minorEastAsia" w:hAnsiTheme="minorHAnsi" w:cstheme="minorBidi"/>
              <w:noProof/>
              <w:sz w:val="22"/>
              <w:szCs w:val="22"/>
              <w:lang w:eastAsia="en-AU"/>
            </w:rPr>
          </w:pPr>
          <w:hyperlink w:anchor="_Toc430091133" w:history="1">
            <w:r w:rsidR="00ED1E27" w:rsidRPr="0061785B">
              <w:rPr>
                <w:rStyle w:val="Hyperlink"/>
                <w:noProof/>
              </w:rPr>
              <w:t>Chairman</w:t>
            </w:r>
            <w:r w:rsidR="00ED1E27">
              <w:rPr>
                <w:noProof/>
                <w:webHidden/>
              </w:rPr>
              <w:tab/>
            </w:r>
            <w:r w:rsidR="00ED1E27">
              <w:rPr>
                <w:noProof/>
                <w:webHidden/>
              </w:rPr>
              <w:fldChar w:fldCharType="begin"/>
            </w:r>
            <w:r w:rsidR="00ED1E27">
              <w:rPr>
                <w:noProof/>
                <w:webHidden/>
              </w:rPr>
              <w:instrText xml:space="preserve"> PAGEREF _Toc430091133 \h </w:instrText>
            </w:r>
            <w:r w:rsidR="00ED1E27">
              <w:rPr>
                <w:noProof/>
                <w:webHidden/>
              </w:rPr>
            </w:r>
            <w:r w:rsidR="00ED1E27">
              <w:rPr>
                <w:noProof/>
                <w:webHidden/>
              </w:rPr>
              <w:fldChar w:fldCharType="separate"/>
            </w:r>
            <w:r w:rsidR="004427AD">
              <w:rPr>
                <w:noProof/>
                <w:webHidden/>
              </w:rPr>
              <w:t>29</w:t>
            </w:r>
            <w:r w:rsidR="00ED1E27">
              <w:rPr>
                <w:noProof/>
                <w:webHidden/>
              </w:rPr>
              <w:fldChar w:fldCharType="end"/>
            </w:r>
          </w:hyperlink>
        </w:p>
        <w:p w14:paraId="19126E8F" w14:textId="77777777" w:rsidR="00ED1E27" w:rsidRDefault="000C10D6">
          <w:pPr>
            <w:pStyle w:val="TOC3"/>
            <w:rPr>
              <w:rFonts w:asciiTheme="minorHAnsi" w:eastAsiaTheme="minorEastAsia" w:hAnsiTheme="minorHAnsi" w:cstheme="minorBidi"/>
              <w:noProof/>
              <w:sz w:val="22"/>
              <w:szCs w:val="22"/>
              <w:lang w:eastAsia="en-AU"/>
            </w:rPr>
          </w:pPr>
          <w:hyperlink w:anchor="_Toc430091134" w:history="1">
            <w:r w:rsidR="00ED1E27" w:rsidRPr="0061785B">
              <w:rPr>
                <w:rStyle w:val="Hyperlink"/>
                <w:noProof/>
              </w:rPr>
              <w:t>Members</w:t>
            </w:r>
            <w:r w:rsidR="00ED1E27">
              <w:rPr>
                <w:noProof/>
                <w:webHidden/>
              </w:rPr>
              <w:tab/>
            </w:r>
            <w:r w:rsidR="00ED1E27">
              <w:rPr>
                <w:noProof/>
                <w:webHidden/>
              </w:rPr>
              <w:fldChar w:fldCharType="begin"/>
            </w:r>
            <w:r w:rsidR="00ED1E27">
              <w:rPr>
                <w:noProof/>
                <w:webHidden/>
              </w:rPr>
              <w:instrText xml:space="preserve"> PAGEREF _Toc430091134 \h </w:instrText>
            </w:r>
            <w:r w:rsidR="00ED1E27">
              <w:rPr>
                <w:noProof/>
                <w:webHidden/>
              </w:rPr>
            </w:r>
            <w:r w:rsidR="00ED1E27">
              <w:rPr>
                <w:noProof/>
                <w:webHidden/>
              </w:rPr>
              <w:fldChar w:fldCharType="separate"/>
            </w:r>
            <w:r w:rsidR="004427AD">
              <w:rPr>
                <w:noProof/>
                <w:webHidden/>
              </w:rPr>
              <w:t>30</w:t>
            </w:r>
            <w:r w:rsidR="00ED1E27">
              <w:rPr>
                <w:noProof/>
                <w:webHidden/>
              </w:rPr>
              <w:fldChar w:fldCharType="end"/>
            </w:r>
          </w:hyperlink>
        </w:p>
        <w:p w14:paraId="7328171F"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35" w:history="1">
            <w:r w:rsidR="00ED1E27" w:rsidRPr="0061785B">
              <w:rPr>
                <w:rStyle w:val="Hyperlink"/>
                <w:noProof/>
                <w:lang w:val="en-US"/>
              </w:rPr>
              <w:t>Senior Officers</w:t>
            </w:r>
            <w:r w:rsidR="00ED1E27">
              <w:rPr>
                <w:noProof/>
                <w:webHidden/>
              </w:rPr>
              <w:tab/>
            </w:r>
            <w:r w:rsidR="00ED1E27">
              <w:rPr>
                <w:noProof/>
                <w:webHidden/>
              </w:rPr>
              <w:fldChar w:fldCharType="begin"/>
            </w:r>
            <w:r w:rsidR="00ED1E27">
              <w:rPr>
                <w:noProof/>
                <w:webHidden/>
              </w:rPr>
              <w:instrText xml:space="preserve"> PAGEREF _Toc430091135 \h </w:instrText>
            </w:r>
            <w:r w:rsidR="00ED1E27">
              <w:rPr>
                <w:noProof/>
                <w:webHidden/>
              </w:rPr>
            </w:r>
            <w:r w:rsidR="00ED1E27">
              <w:rPr>
                <w:noProof/>
                <w:webHidden/>
              </w:rPr>
              <w:fldChar w:fldCharType="separate"/>
            </w:r>
            <w:r w:rsidR="004427AD">
              <w:rPr>
                <w:noProof/>
                <w:webHidden/>
              </w:rPr>
              <w:t>32</w:t>
            </w:r>
            <w:r w:rsidR="00ED1E27">
              <w:rPr>
                <w:noProof/>
                <w:webHidden/>
              </w:rPr>
              <w:fldChar w:fldCharType="end"/>
            </w:r>
          </w:hyperlink>
        </w:p>
        <w:p w14:paraId="640C02C9" w14:textId="77777777" w:rsidR="00ED1E27" w:rsidRDefault="000C10D6">
          <w:pPr>
            <w:pStyle w:val="TOC1"/>
            <w:rPr>
              <w:rFonts w:asciiTheme="minorHAnsi" w:eastAsiaTheme="minorEastAsia" w:hAnsiTheme="minorHAnsi" w:cstheme="minorBidi"/>
              <w:sz w:val="22"/>
              <w:szCs w:val="22"/>
              <w:lang w:eastAsia="en-AU"/>
            </w:rPr>
          </w:pPr>
          <w:hyperlink w:anchor="_Toc430091136" w:history="1">
            <w:r w:rsidR="00ED1E27" w:rsidRPr="0061785B">
              <w:rPr>
                <w:rStyle w:val="Hyperlink"/>
              </w:rPr>
              <w:t>People</w:t>
            </w:r>
            <w:r w:rsidR="00ED1E27">
              <w:rPr>
                <w:webHidden/>
              </w:rPr>
              <w:tab/>
            </w:r>
            <w:r w:rsidR="00ED1E27">
              <w:rPr>
                <w:webHidden/>
              </w:rPr>
              <w:fldChar w:fldCharType="begin"/>
            </w:r>
            <w:r w:rsidR="00ED1E27">
              <w:rPr>
                <w:webHidden/>
              </w:rPr>
              <w:instrText xml:space="preserve"> PAGEREF _Toc430091136 \h </w:instrText>
            </w:r>
            <w:r w:rsidR="00ED1E27">
              <w:rPr>
                <w:webHidden/>
              </w:rPr>
            </w:r>
            <w:r w:rsidR="00ED1E27">
              <w:rPr>
                <w:webHidden/>
              </w:rPr>
              <w:fldChar w:fldCharType="separate"/>
            </w:r>
            <w:r w:rsidR="004427AD">
              <w:rPr>
                <w:webHidden/>
              </w:rPr>
              <w:t>34</w:t>
            </w:r>
            <w:r w:rsidR="00ED1E27">
              <w:rPr>
                <w:webHidden/>
              </w:rPr>
              <w:fldChar w:fldCharType="end"/>
            </w:r>
          </w:hyperlink>
        </w:p>
        <w:p w14:paraId="3BD3C2E5"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37" w:history="1">
            <w:r w:rsidR="00ED1E27" w:rsidRPr="0061785B">
              <w:rPr>
                <w:rStyle w:val="Hyperlink"/>
                <w:noProof/>
              </w:rPr>
              <w:t>Workforce profile</w:t>
            </w:r>
            <w:r w:rsidR="00ED1E27">
              <w:rPr>
                <w:noProof/>
                <w:webHidden/>
              </w:rPr>
              <w:tab/>
            </w:r>
            <w:r w:rsidR="00ED1E27">
              <w:rPr>
                <w:noProof/>
                <w:webHidden/>
              </w:rPr>
              <w:fldChar w:fldCharType="begin"/>
            </w:r>
            <w:r w:rsidR="00ED1E27">
              <w:rPr>
                <w:noProof/>
                <w:webHidden/>
              </w:rPr>
              <w:instrText xml:space="preserve"> PAGEREF _Toc430091137 \h </w:instrText>
            </w:r>
            <w:r w:rsidR="00ED1E27">
              <w:rPr>
                <w:noProof/>
                <w:webHidden/>
              </w:rPr>
            </w:r>
            <w:r w:rsidR="00ED1E27">
              <w:rPr>
                <w:noProof/>
                <w:webHidden/>
              </w:rPr>
              <w:fldChar w:fldCharType="separate"/>
            </w:r>
            <w:r w:rsidR="004427AD">
              <w:rPr>
                <w:noProof/>
                <w:webHidden/>
              </w:rPr>
              <w:t>34</w:t>
            </w:r>
            <w:r w:rsidR="00ED1E27">
              <w:rPr>
                <w:noProof/>
                <w:webHidden/>
              </w:rPr>
              <w:fldChar w:fldCharType="end"/>
            </w:r>
          </w:hyperlink>
        </w:p>
        <w:p w14:paraId="45E897EB"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38" w:history="1">
            <w:r w:rsidR="00ED1E27" w:rsidRPr="0061785B">
              <w:rPr>
                <w:rStyle w:val="Hyperlink"/>
                <w:noProof/>
              </w:rPr>
              <w:t>Workforce policies</w:t>
            </w:r>
            <w:r w:rsidR="00ED1E27">
              <w:rPr>
                <w:noProof/>
                <w:webHidden/>
              </w:rPr>
              <w:tab/>
            </w:r>
            <w:r w:rsidR="00ED1E27">
              <w:rPr>
                <w:noProof/>
                <w:webHidden/>
              </w:rPr>
              <w:fldChar w:fldCharType="begin"/>
            </w:r>
            <w:r w:rsidR="00ED1E27">
              <w:rPr>
                <w:noProof/>
                <w:webHidden/>
              </w:rPr>
              <w:instrText xml:space="preserve"> PAGEREF _Toc430091138 \h </w:instrText>
            </w:r>
            <w:r w:rsidR="00ED1E27">
              <w:rPr>
                <w:noProof/>
                <w:webHidden/>
              </w:rPr>
            </w:r>
            <w:r w:rsidR="00ED1E27">
              <w:rPr>
                <w:noProof/>
                <w:webHidden/>
              </w:rPr>
              <w:fldChar w:fldCharType="separate"/>
            </w:r>
            <w:r w:rsidR="004427AD">
              <w:rPr>
                <w:noProof/>
                <w:webHidden/>
              </w:rPr>
              <w:t>35</w:t>
            </w:r>
            <w:r w:rsidR="00ED1E27">
              <w:rPr>
                <w:noProof/>
                <w:webHidden/>
              </w:rPr>
              <w:fldChar w:fldCharType="end"/>
            </w:r>
          </w:hyperlink>
        </w:p>
        <w:p w14:paraId="0718EC37"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39" w:history="1">
            <w:r w:rsidR="00ED1E27" w:rsidRPr="0061785B">
              <w:rPr>
                <w:rStyle w:val="Hyperlink"/>
                <w:noProof/>
              </w:rPr>
              <w:t>Staff perceptions</w:t>
            </w:r>
            <w:r w:rsidR="00ED1E27">
              <w:rPr>
                <w:noProof/>
                <w:webHidden/>
              </w:rPr>
              <w:tab/>
            </w:r>
            <w:r w:rsidR="00ED1E27">
              <w:rPr>
                <w:noProof/>
                <w:webHidden/>
              </w:rPr>
              <w:fldChar w:fldCharType="begin"/>
            </w:r>
            <w:r w:rsidR="00ED1E27">
              <w:rPr>
                <w:noProof/>
                <w:webHidden/>
              </w:rPr>
              <w:instrText xml:space="preserve"> PAGEREF _Toc430091139 \h </w:instrText>
            </w:r>
            <w:r w:rsidR="00ED1E27">
              <w:rPr>
                <w:noProof/>
                <w:webHidden/>
              </w:rPr>
            </w:r>
            <w:r w:rsidR="00ED1E27">
              <w:rPr>
                <w:noProof/>
                <w:webHidden/>
              </w:rPr>
              <w:fldChar w:fldCharType="separate"/>
            </w:r>
            <w:r w:rsidR="004427AD">
              <w:rPr>
                <w:noProof/>
                <w:webHidden/>
              </w:rPr>
              <w:t>36</w:t>
            </w:r>
            <w:r w:rsidR="00ED1E27">
              <w:rPr>
                <w:noProof/>
                <w:webHidden/>
              </w:rPr>
              <w:fldChar w:fldCharType="end"/>
            </w:r>
          </w:hyperlink>
        </w:p>
        <w:p w14:paraId="622AA54A" w14:textId="77777777" w:rsidR="00ED1E27" w:rsidRDefault="000C10D6">
          <w:pPr>
            <w:pStyle w:val="TOC1"/>
            <w:rPr>
              <w:rFonts w:asciiTheme="minorHAnsi" w:eastAsiaTheme="minorEastAsia" w:hAnsiTheme="minorHAnsi" w:cstheme="minorBidi"/>
              <w:sz w:val="22"/>
              <w:szCs w:val="22"/>
              <w:lang w:eastAsia="en-AU"/>
            </w:rPr>
          </w:pPr>
          <w:hyperlink w:anchor="_Toc430091140" w:history="1">
            <w:r w:rsidR="00ED1E27" w:rsidRPr="0061785B">
              <w:rPr>
                <w:rStyle w:val="Hyperlink"/>
              </w:rPr>
              <w:t>Enabling legislation</w:t>
            </w:r>
            <w:r w:rsidR="00ED1E27">
              <w:rPr>
                <w:webHidden/>
              </w:rPr>
              <w:tab/>
            </w:r>
            <w:r w:rsidR="00ED1E27">
              <w:rPr>
                <w:webHidden/>
              </w:rPr>
              <w:fldChar w:fldCharType="begin"/>
            </w:r>
            <w:r w:rsidR="00ED1E27">
              <w:rPr>
                <w:webHidden/>
              </w:rPr>
              <w:instrText xml:space="preserve"> PAGEREF _Toc430091140 \h </w:instrText>
            </w:r>
            <w:r w:rsidR="00ED1E27">
              <w:rPr>
                <w:webHidden/>
              </w:rPr>
            </w:r>
            <w:r w:rsidR="00ED1E27">
              <w:rPr>
                <w:webHidden/>
              </w:rPr>
              <w:fldChar w:fldCharType="separate"/>
            </w:r>
            <w:r w:rsidR="004427AD">
              <w:rPr>
                <w:webHidden/>
              </w:rPr>
              <w:t>36</w:t>
            </w:r>
            <w:r w:rsidR="00ED1E27">
              <w:rPr>
                <w:webHidden/>
              </w:rPr>
              <w:fldChar w:fldCharType="end"/>
            </w:r>
          </w:hyperlink>
        </w:p>
        <w:p w14:paraId="1913E146"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41" w:history="1">
            <w:r w:rsidR="00ED1E27" w:rsidRPr="0061785B">
              <w:rPr>
                <w:rStyle w:val="Hyperlink"/>
                <w:noProof/>
              </w:rPr>
              <w:t>Legislation administered</w:t>
            </w:r>
            <w:r w:rsidR="00ED1E27">
              <w:rPr>
                <w:noProof/>
                <w:webHidden/>
              </w:rPr>
              <w:tab/>
            </w:r>
            <w:r w:rsidR="00ED1E27">
              <w:rPr>
                <w:noProof/>
                <w:webHidden/>
              </w:rPr>
              <w:fldChar w:fldCharType="begin"/>
            </w:r>
            <w:r w:rsidR="00ED1E27">
              <w:rPr>
                <w:noProof/>
                <w:webHidden/>
              </w:rPr>
              <w:instrText xml:space="preserve"> PAGEREF _Toc430091141 \h </w:instrText>
            </w:r>
            <w:r w:rsidR="00ED1E27">
              <w:rPr>
                <w:noProof/>
                <w:webHidden/>
              </w:rPr>
            </w:r>
            <w:r w:rsidR="00ED1E27">
              <w:rPr>
                <w:noProof/>
                <w:webHidden/>
              </w:rPr>
              <w:fldChar w:fldCharType="separate"/>
            </w:r>
            <w:r w:rsidR="004427AD">
              <w:rPr>
                <w:noProof/>
                <w:webHidden/>
              </w:rPr>
              <w:t>36</w:t>
            </w:r>
            <w:r w:rsidR="00ED1E27">
              <w:rPr>
                <w:noProof/>
                <w:webHidden/>
              </w:rPr>
              <w:fldChar w:fldCharType="end"/>
            </w:r>
          </w:hyperlink>
        </w:p>
        <w:p w14:paraId="2AB608A8" w14:textId="77777777" w:rsidR="00ED1E27" w:rsidRDefault="000C10D6">
          <w:pPr>
            <w:pStyle w:val="TOC1"/>
            <w:rPr>
              <w:rFonts w:asciiTheme="minorHAnsi" w:eastAsiaTheme="minorEastAsia" w:hAnsiTheme="minorHAnsi" w:cstheme="minorBidi"/>
              <w:sz w:val="22"/>
              <w:szCs w:val="22"/>
              <w:lang w:eastAsia="en-AU"/>
            </w:rPr>
          </w:pPr>
          <w:hyperlink w:anchor="_Toc430091142" w:history="1">
            <w:r w:rsidR="00ED1E27" w:rsidRPr="0061785B">
              <w:rPr>
                <w:rStyle w:val="Hyperlink"/>
              </w:rPr>
              <w:t>Governance</w:t>
            </w:r>
            <w:r w:rsidR="00ED1E27">
              <w:rPr>
                <w:webHidden/>
              </w:rPr>
              <w:tab/>
            </w:r>
            <w:r w:rsidR="00ED1E27">
              <w:rPr>
                <w:webHidden/>
              </w:rPr>
              <w:fldChar w:fldCharType="begin"/>
            </w:r>
            <w:r w:rsidR="00ED1E27">
              <w:rPr>
                <w:webHidden/>
              </w:rPr>
              <w:instrText xml:space="preserve"> PAGEREF _Toc430091142 \h </w:instrText>
            </w:r>
            <w:r w:rsidR="00ED1E27">
              <w:rPr>
                <w:webHidden/>
              </w:rPr>
            </w:r>
            <w:r w:rsidR="00ED1E27">
              <w:rPr>
                <w:webHidden/>
              </w:rPr>
              <w:fldChar w:fldCharType="separate"/>
            </w:r>
            <w:r w:rsidR="004427AD">
              <w:rPr>
                <w:webHidden/>
              </w:rPr>
              <w:t>39</w:t>
            </w:r>
            <w:r w:rsidR="00ED1E27">
              <w:rPr>
                <w:webHidden/>
              </w:rPr>
              <w:fldChar w:fldCharType="end"/>
            </w:r>
          </w:hyperlink>
        </w:p>
        <w:p w14:paraId="2476E0C9"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43" w:history="1">
            <w:r w:rsidR="00ED1E27" w:rsidRPr="0061785B">
              <w:rPr>
                <w:rStyle w:val="Hyperlink"/>
                <w:noProof/>
              </w:rPr>
              <w:t>Delegation of authority</w:t>
            </w:r>
            <w:r w:rsidR="00ED1E27">
              <w:rPr>
                <w:noProof/>
                <w:webHidden/>
              </w:rPr>
              <w:tab/>
            </w:r>
            <w:r w:rsidR="00ED1E27">
              <w:rPr>
                <w:noProof/>
                <w:webHidden/>
              </w:rPr>
              <w:fldChar w:fldCharType="begin"/>
            </w:r>
            <w:r w:rsidR="00ED1E27">
              <w:rPr>
                <w:noProof/>
                <w:webHidden/>
              </w:rPr>
              <w:instrText xml:space="preserve"> PAGEREF _Toc430091143 \h </w:instrText>
            </w:r>
            <w:r w:rsidR="00ED1E27">
              <w:rPr>
                <w:noProof/>
                <w:webHidden/>
              </w:rPr>
            </w:r>
            <w:r w:rsidR="00ED1E27">
              <w:rPr>
                <w:noProof/>
                <w:webHidden/>
              </w:rPr>
              <w:fldChar w:fldCharType="separate"/>
            </w:r>
            <w:r w:rsidR="004427AD">
              <w:rPr>
                <w:noProof/>
                <w:webHidden/>
              </w:rPr>
              <w:t>39</w:t>
            </w:r>
            <w:r w:rsidR="00ED1E27">
              <w:rPr>
                <w:noProof/>
                <w:webHidden/>
              </w:rPr>
              <w:fldChar w:fldCharType="end"/>
            </w:r>
          </w:hyperlink>
        </w:p>
        <w:p w14:paraId="7F9A4AFE" w14:textId="77777777" w:rsidR="00ED1E27" w:rsidRDefault="000C10D6">
          <w:pPr>
            <w:pStyle w:val="TOC3"/>
            <w:rPr>
              <w:rFonts w:asciiTheme="minorHAnsi" w:eastAsiaTheme="minorEastAsia" w:hAnsiTheme="minorHAnsi" w:cstheme="minorBidi"/>
              <w:noProof/>
              <w:sz w:val="22"/>
              <w:szCs w:val="22"/>
              <w:lang w:eastAsia="en-AU"/>
            </w:rPr>
          </w:pPr>
          <w:hyperlink w:anchor="_Toc430091144" w:history="1">
            <w:r w:rsidR="00ED1E27" w:rsidRPr="0061785B">
              <w:rPr>
                <w:rStyle w:val="Hyperlink"/>
                <w:noProof/>
              </w:rPr>
              <w:t>Audit Committee</w:t>
            </w:r>
            <w:r w:rsidR="00ED1E27">
              <w:rPr>
                <w:noProof/>
                <w:webHidden/>
              </w:rPr>
              <w:tab/>
            </w:r>
            <w:r w:rsidR="00ED1E27">
              <w:rPr>
                <w:noProof/>
                <w:webHidden/>
              </w:rPr>
              <w:fldChar w:fldCharType="begin"/>
            </w:r>
            <w:r w:rsidR="00ED1E27">
              <w:rPr>
                <w:noProof/>
                <w:webHidden/>
              </w:rPr>
              <w:instrText xml:space="preserve"> PAGEREF _Toc430091144 \h </w:instrText>
            </w:r>
            <w:r w:rsidR="00ED1E27">
              <w:rPr>
                <w:noProof/>
                <w:webHidden/>
              </w:rPr>
            </w:r>
            <w:r w:rsidR="00ED1E27">
              <w:rPr>
                <w:noProof/>
                <w:webHidden/>
              </w:rPr>
              <w:fldChar w:fldCharType="separate"/>
            </w:r>
            <w:r w:rsidR="004427AD">
              <w:rPr>
                <w:noProof/>
                <w:webHidden/>
              </w:rPr>
              <w:t>39</w:t>
            </w:r>
            <w:r w:rsidR="00ED1E27">
              <w:rPr>
                <w:noProof/>
                <w:webHidden/>
              </w:rPr>
              <w:fldChar w:fldCharType="end"/>
            </w:r>
          </w:hyperlink>
        </w:p>
        <w:p w14:paraId="5D3BF984" w14:textId="77777777" w:rsidR="00ED1E27" w:rsidRDefault="000C10D6">
          <w:pPr>
            <w:pStyle w:val="TOC3"/>
            <w:rPr>
              <w:rFonts w:asciiTheme="minorHAnsi" w:eastAsiaTheme="minorEastAsia" w:hAnsiTheme="minorHAnsi" w:cstheme="minorBidi"/>
              <w:noProof/>
              <w:sz w:val="22"/>
              <w:szCs w:val="22"/>
              <w:lang w:eastAsia="en-AU"/>
            </w:rPr>
          </w:pPr>
          <w:hyperlink w:anchor="_Toc430091145" w:history="1">
            <w:r w:rsidR="00ED1E27" w:rsidRPr="0061785B">
              <w:rPr>
                <w:rStyle w:val="Hyperlink"/>
                <w:noProof/>
              </w:rPr>
              <w:t>Costs Committee</w:t>
            </w:r>
            <w:r w:rsidR="00ED1E27">
              <w:rPr>
                <w:noProof/>
                <w:webHidden/>
              </w:rPr>
              <w:tab/>
            </w:r>
            <w:r w:rsidR="00ED1E27">
              <w:rPr>
                <w:noProof/>
                <w:webHidden/>
              </w:rPr>
              <w:fldChar w:fldCharType="begin"/>
            </w:r>
            <w:r w:rsidR="00ED1E27">
              <w:rPr>
                <w:noProof/>
                <w:webHidden/>
              </w:rPr>
              <w:instrText xml:space="preserve"> PAGEREF _Toc430091145 \h </w:instrText>
            </w:r>
            <w:r w:rsidR="00ED1E27">
              <w:rPr>
                <w:noProof/>
                <w:webHidden/>
              </w:rPr>
            </w:r>
            <w:r w:rsidR="00ED1E27">
              <w:rPr>
                <w:noProof/>
                <w:webHidden/>
              </w:rPr>
              <w:fldChar w:fldCharType="separate"/>
            </w:r>
            <w:r w:rsidR="004427AD">
              <w:rPr>
                <w:noProof/>
                <w:webHidden/>
              </w:rPr>
              <w:t>39</w:t>
            </w:r>
            <w:r w:rsidR="00ED1E27">
              <w:rPr>
                <w:noProof/>
                <w:webHidden/>
              </w:rPr>
              <w:fldChar w:fldCharType="end"/>
            </w:r>
          </w:hyperlink>
        </w:p>
        <w:p w14:paraId="60E037E9" w14:textId="77777777" w:rsidR="00ED1E27" w:rsidRDefault="000C10D6">
          <w:pPr>
            <w:pStyle w:val="TOC3"/>
            <w:rPr>
              <w:rFonts w:asciiTheme="minorHAnsi" w:eastAsiaTheme="minorEastAsia" w:hAnsiTheme="minorHAnsi" w:cstheme="minorBidi"/>
              <w:noProof/>
              <w:sz w:val="22"/>
              <w:szCs w:val="22"/>
              <w:lang w:eastAsia="en-AU"/>
            </w:rPr>
          </w:pPr>
          <w:hyperlink w:anchor="_Toc430091146" w:history="1">
            <w:r w:rsidR="00ED1E27" w:rsidRPr="0061785B">
              <w:rPr>
                <w:rStyle w:val="Hyperlink"/>
                <w:noProof/>
              </w:rPr>
              <w:t>Medical Committee</w:t>
            </w:r>
            <w:r w:rsidR="00ED1E27">
              <w:rPr>
                <w:noProof/>
                <w:webHidden/>
              </w:rPr>
              <w:tab/>
            </w:r>
            <w:r w:rsidR="00ED1E27">
              <w:rPr>
                <w:noProof/>
                <w:webHidden/>
              </w:rPr>
              <w:fldChar w:fldCharType="begin"/>
            </w:r>
            <w:r w:rsidR="00ED1E27">
              <w:rPr>
                <w:noProof/>
                <w:webHidden/>
              </w:rPr>
              <w:instrText xml:space="preserve"> PAGEREF _Toc430091146 \h </w:instrText>
            </w:r>
            <w:r w:rsidR="00ED1E27">
              <w:rPr>
                <w:noProof/>
                <w:webHidden/>
              </w:rPr>
            </w:r>
            <w:r w:rsidR="00ED1E27">
              <w:rPr>
                <w:noProof/>
                <w:webHidden/>
              </w:rPr>
              <w:fldChar w:fldCharType="separate"/>
            </w:r>
            <w:r w:rsidR="004427AD">
              <w:rPr>
                <w:noProof/>
                <w:webHidden/>
              </w:rPr>
              <w:t>40</w:t>
            </w:r>
            <w:r w:rsidR="00ED1E27">
              <w:rPr>
                <w:noProof/>
                <w:webHidden/>
              </w:rPr>
              <w:fldChar w:fldCharType="end"/>
            </w:r>
          </w:hyperlink>
        </w:p>
        <w:p w14:paraId="14CDC24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47" w:history="1">
            <w:r w:rsidR="00ED1E27" w:rsidRPr="0061785B">
              <w:rPr>
                <w:rStyle w:val="Hyperlink"/>
                <w:noProof/>
              </w:rPr>
              <w:t>Workplace consultation</w:t>
            </w:r>
            <w:r w:rsidR="00ED1E27">
              <w:rPr>
                <w:noProof/>
                <w:webHidden/>
              </w:rPr>
              <w:tab/>
            </w:r>
            <w:r w:rsidR="00ED1E27">
              <w:rPr>
                <w:noProof/>
                <w:webHidden/>
              </w:rPr>
              <w:fldChar w:fldCharType="begin"/>
            </w:r>
            <w:r w:rsidR="00ED1E27">
              <w:rPr>
                <w:noProof/>
                <w:webHidden/>
              </w:rPr>
              <w:instrText xml:space="preserve"> PAGEREF _Toc430091147 \h </w:instrText>
            </w:r>
            <w:r w:rsidR="00ED1E27">
              <w:rPr>
                <w:noProof/>
                <w:webHidden/>
              </w:rPr>
            </w:r>
            <w:r w:rsidR="00ED1E27">
              <w:rPr>
                <w:noProof/>
                <w:webHidden/>
              </w:rPr>
              <w:fldChar w:fldCharType="separate"/>
            </w:r>
            <w:r w:rsidR="004427AD">
              <w:rPr>
                <w:noProof/>
                <w:webHidden/>
              </w:rPr>
              <w:t>40</w:t>
            </w:r>
            <w:r w:rsidR="00ED1E27">
              <w:rPr>
                <w:noProof/>
                <w:webHidden/>
              </w:rPr>
              <w:fldChar w:fldCharType="end"/>
            </w:r>
          </w:hyperlink>
        </w:p>
        <w:p w14:paraId="34A224EF" w14:textId="77777777" w:rsidR="00ED1E27" w:rsidRDefault="000C10D6">
          <w:pPr>
            <w:pStyle w:val="TOC3"/>
            <w:rPr>
              <w:rFonts w:asciiTheme="minorHAnsi" w:eastAsiaTheme="minorEastAsia" w:hAnsiTheme="minorHAnsi" w:cstheme="minorBidi"/>
              <w:noProof/>
              <w:sz w:val="22"/>
              <w:szCs w:val="22"/>
              <w:lang w:eastAsia="en-AU"/>
            </w:rPr>
          </w:pPr>
          <w:hyperlink w:anchor="_Toc430091148" w:history="1">
            <w:r w:rsidR="00ED1E27" w:rsidRPr="0061785B">
              <w:rPr>
                <w:rStyle w:val="Hyperlink"/>
                <w:noProof/>
              </w:rPr>
              <w:t>Equity and Diversity Committee</w:t>
            </w:r>
            <w:r w:rsidR="00ED1E27">
              <w:rPr>
                <w:noProof/>
                <w:webHidden/>
              </w:rPr>
              <w:tab/>
            </w:r>
            <w:r w:rsidR="00ED1E27">
              <w:rPr>
                <w:noProof/>
                <w:webHidden/>
              </w:rPr>
              <w:fldChar w:fldCharType="begin"/>
            </w:r>
            <w:r w:rsidR="00ED1E27">
              <w:rPr>
                <w:noProof/>
                <w:webHidden/>
              </w:rPr>
              <w:instrText xml:space="preserve"> PAGEREF _Toc430091148 \h </w:instrText>
            </w:r>
            <w:r w:rsidR="00ED1E27">
              <w:rPr>
                <w:noProof/>
                <w:webHidden/>
              </w:rPr>
            </w:r>
            <w:r w:rsidR="00ED1E27">
              <w:rPr>
                <w:noProof/>
                <w:webHidden/>
              </w:rPr>
              <w:fldChar w:fldCharType="separate"/>
            </w:r>
            <w:r w:rsidR="004427AD">
              <w:rPr>
                <w:noProof/>
                <w:webHidden/>
              </w:rPr>
              <w:t>40</w:t>
            </w:r>
            <w:r w:rsidR="00ED1E27">
              <w:rPr>
                <w:noProof/>
                <w:webHidden/>
              </w:rPr>
              <w:fldChar w:fldCharType="end"/>
            </w:r>
          </w:hyperlink>
        </w:p>
        <w:p w14:paraId="4B6FBF30" w14:textId="77777777" w:rsidR="00ED1E27" w:rsidRDefault="000C10D6">
          <w:pPr>
            <w:pStyle w:val="TOC3"/>
            <w:rPr>
              <w:rFonts w:asciiTheme="minorHAnsi" w:eastAsiaTheme="minorEastAsia" w:hAnsiTheme="minorHAnsi" w:cstheme="minorBidi"/>
              <w:noProof/>
              <w:sz w:val="22"/>
              <w:szCs w:val="22"/>
              <w:lang w:eastAsia="en-AU"/>
            </w:rPr>
          </w:pPr>
          <w:hyperlink w:anchor="_Toc430091149" w:history="1">
            <w:r w:rsidR="00ED1E27" w:rsidRPr="0061785B">
              <w:rPr>
                <w:rStyle w:val="Hyperlink"/>
                <w:noProof/>
              </w:rPr>
              <w:t>Emergency Planning Committee</w:t>
            </w:r>
            <w:r w:rsidR="00ED1E27">
              <w:rPr>
                <w:noProof/>
                <w:webHidden/>
              </w:rPr>
              <w:tab/>
            </w:r>
            <w:r w:rsidR="00ED1E27">
              <w:rPr>
                <w:noProof/>
                <w:webHidden/>
              </w:rPr>
              <w:fldChar w:fldCharType="begin"/>
            </w:r>
            <w:r w:rsidR="00ED1E27">
              <w:rPr>
                <w:noProof/>
                <w:webHidden/>
              </w:rPr>
              <w:instrText xml:space="preserve"> PAGEREF _Toc430091149 \h </w:instrText>
            </w:r>
            <w:r w:rsidR="00ED1E27">
              <w:rPr>
                <w:noProof/>
                <w:webHidden/>
              </w:rPr>
            </w:r>
            <w:r w:rsidR="00ED1E27">
              <w:rPr>
                <w:noProof/>
                <w:webHidden/>
              </w:rPr>
              <w:fldChar w:fldCharType="separate"/>
            </w:r>
            <w:r w:rsidR="004427AD">
              <w:rPr>
                <w:noProof/>
                <w:webHidden/>
              </w:rPr>
              <w:t>41</w:t>
            </w:r>
            <w:r w:rsidR="00ED1E27">
              <w:rPr>
                <w:noProof/>
                <w:webHidden/>
              </w:rPr>
              <w:fldChar w:fldCharType="end"/>
            </w:r>
          </w:hyperlink>
        </w:p>
        <w:p w14:paraId="19067087" w14:textId="77777777" w:rsidR="00ED1E27" w:rsidRDefault="000C10D6">
          <w:pPr>
            <w:pStyle w:val="TOC3"/>
            <w:rPr>
              <w:rFonts w:asciiTheme="minorHAnsi" w:eastAsiaTheme="minorEastAsia" w:hAnsiTheme="minorHAnsi" w:cstheme="minorBidi"/>
              <w:noProof/>
              <w:sz w:val="22"/>
              <w:szCs w:val="22"/>
              <w:lang w:eastAsia="en-AU"/>
            </w:rPr>
          </w:pPr>
          <w:hyperlink w:anchor="_Toc430091150" w:history="1">
            <w:r w:rsidR="00ED1E27" w:rsidRPr="0061785B">
              <w:rPr>
                <w:rStyle w:val="Hyperlink"/>
                <w:noProof/>
              </w:rPr>
              <w:t>Innovation Support Committee</w:t>
            </w:r>
            <w:r w:rsidR="00ED1E27">
              <w:rPr>
                <w:noProof/>
                <w:webHidden/>
              </w:rPr>
              <w:tab/>
            </w:r>
            <w:r w:rsidR="00ED1E27">
              <w:rPr>
                <w:noProof/>
                <w:webHidden/>
              </w:rPr>
              <w:fldChar w:fldCharType="begin"/>
            </w:r>
            <w:r w:rsidR="00ED1E27">
              <w:rPr>
                <w:noProof/>
                <w:webHidden/>
              </w:rPr>
              <w:instrText xml:space="preserve"> PAGEREF _Toc430091150 \h </w:instrText>
            </w:r>
            <w:r w:rsidR="00ED1E27">
              <w:rPr>
                <w:noProof/>
                <w:webHidden/>
              </w:rPr>
            </w:r>
            <w:r w:rsidR="00ED1E27">
              <w:rPr>
                <w:noProof/>
                <w:webHidden/>
              </w:rPr>
              <w:fldChar w:fldCharType="separate"/>
            </w:r>
            <w:r w:rsidR="004427AD">
              <w:rPr>
                <w:noProof/>
                <w:webHidden/>
              </w:rPr>
              <w:t>41</w:t>
            </w:r>
            <w:r w:rsidR="00ED1E27">
              <w:rPr>
                <w:noProof/>
                <w:webHidden/>
              </w:rPr>
              <w:fldChar w:fldCharType="end"/>
            </w:r>
          </w:hyperlink>
        </w:p>
        <w:p w14:paraId="2717A796" w14:textId="77777777" w:rsidR="00ED1E27" w:rsidRDefault="000C10D6">
          <w:pPr>
            <w:pStyle w:val="TOC3"/>
            <w:rPr>
              <w:rFonts w:asciiTheme="minorHAnsi" w:eastAsiaTheme="minorEastAsia" w:hAnsiTheme="minorHAnsi" w:cstheme="minorBidi"/>
              <w:noProof/>
              <w:sz w:val="22"/>
              <w:szCs w:val="22"/>
              <w:lang w:eastAsia="en-AU"/>
            </w:rPr>
          </w:pPr>
          <w:hyperlink w:anchor="_Toc430091151" w:history="1">
            <w:r w:rsidR="00ED1E27" w:rsidRPr="0061785B">
              <w:rPr>
                <w:rStyle w:val="Hyperlink"/>
                <w:noProof/>
              </w:rPr>
              <w:t>Joint Consultative Committee</w:t>
            </w:r>
            <w:r w:rsidR="00ED1E27">
              <w:rPr>
                <w:noProof/>
                <w:webHidden/>
              </w:rPr>
              <w:tab/>
            </w:r>
            <w:r w:rsidR="00ED1E27">
              <w:rPr>
                <w:noProof/>
                <w:webHidden/>
              </w:rPr>
              <w:fldChar w:fldCharType="begin"/>
            </w:r>
            <w:r w:rsidR="00ED1E27">
              <w:rPr>
                <w:noProof/>
                <w:webHidden/>
              </w:rPr>
              <w:instrText xml:space="preserve"> PAGEREF _Toc430091151 \h </w:instrText>
            </w:r>
            <w:r w:rsidR="00ED1E27">
              <w:rPr>
                <w:noProof/>
                <w:webHidden/>
              </w:rPr>
            </w:r>
            <w:r w:rsidR="00ED1E27">
              <w:rPr>
                <w:noProof/>
                <w:webHidden/>
              </w:rPr>
              <w:fldChar w:fldCharType="separate"/>
            </w:r>
            <w:r w:rsidR="004427AD">
              <w:rPr>
                <w:noProof/>
                <w:webHidden/>
              </w:rPr>
              <w:t>42</w:t>
            </w:r>
            <w:r w:rsidR="00ED1E27">
              <w:rPr>
                <w:noProof/>
                <w:webHidden/>
              </w:rPr>
              <w:fldChar w:fldCharType="end"/>
            </w:r>
          </w:hyperlink>
        </w:p>
        <w:p w14:paraId="5184F657" w14:textId="77777777" w:rsidR="00ED1E27" w:rsidRDefault="000C10D6">
          <w:pPr>
            <w:pStyle w:val="TOC3"/>
            <w:rPr>
              <w:rFonts w:asciiTheme="minorHAnsi" w:eastAsiaTheme="minorEastAsia" w:hAnsiTheme="minorHAnsi" w:cstheme="minorBidi"/>
              <w:noProof/>
              <w:sz w:val="22"/>
              <w:szCs w:val="22"/>
              <w:lang w:eastAsia="en-AU"/>
            </w:rPr>
          </w:pPr>
          <w:hyperlink w:anchor="_Toc430091152" w:history="1">
            <w:r w:rsidR="00ED1E27" w:rsidRPr="0061785B">
              <w:rPr>
                <w:rStyle w:val="Hyperlink"/>
                <w:noProof/>
              </w:rPr>
              <w:t>Occupational Safety and Health Committee</w:t>
            </w:r>
            <w:r w:rsidR="00ED1E27">
              <w:rPr>
                <w:noProof/>
                <w:webHidden/>
              </w:rPr>
              <w:tab/>
            </w:r>
            <w:r w:rsidR="00ED1E27">
              <w:rPr>
                <w:noProof/>
                <w:webHidden/>
              </w:rPr>
              <w:fldChar w:fldCharType="begin"/>
            </w:r>
            <w:r w:rsidR="00ED1E27">
              <w:rPr>
                <w:noProof/>
                <w:webHidden/>
              </w:rPr>
              <w:instrText xml:space="preserve"> PAGEREF _Toc430091152 \h </w:instrText>
            </w:r>
            <w:r w:rsidR="00ED1E27">
              <w:rPr>
                <w:noProof/>
                <w:webHidden/>
              </w:rPr>
            </w:r>
            <w:r w:rsidR="00ED1E27">
              <w:rPr>
                <w:noProof/>
                <w:webHidden/>
              </w:rPr>
              <w:fldChar w:fldCharType="separate"/>
            </w:r>
            <w:r w:rsidR="004427AD">
              <w:rPr>
                <w:noProof/>
                <w:webHidden/>
              </w:rPr>
              <w:t>43</w:t>
            </w:r>
            <w:r w:rsidR="00ED1E27">
              <w:rPr>
                <w:noProof/>
                <w:webHidden/>
              </w:rPr>
              <w:fldChar w:fldCharType="end"/>
            </w:r>
          </w:hyperlink>
        </w:p>
        <w:p w14:paraId="74EB4111" w14:textId="77777777" w:rsidR="00ED1E27" w:rsidRDefault="000C10D6">
          <w:pPr>
            <w:pStyle w:val="TOC3"/>
            <w:rPr>
              <w:rFonts w:asciiTheme="minorHAnsi" w:eastAsiaTheme="minorEastAsia" w:hAnsiTheme="minorHAnsi" w:cstheme="minorBidi"/>
              <w:noProof/>
              <w:sz w:val="22"/>
              <w:szCs w:val="22"/>
              <w:lang w:eastAsia="en-AU"/>
            </w:rPr>
          </w:pPr>
          <w:hyperlink w:anchor="_Toc430091153" w:history="1">
            <w:r w:rsidR="00ED1E27" w:rsidRPr="0061785B">
              <w:rPr>
                <w:rStyle w:val="Hyperlink"/>
                <w:noProof/>
              </w:rPr>
              <w:t>KPI Performance Reporting Committee</w:t>
            </w:r>
            <w:r w:rsidR="00ED1E27">
              <w:rPr>
                <w:noProof/>
                <w:webHidden/>
              </w:rPr>
              <w:tab/>
            </w:r>
            <w:r w:rsidR="00ED1E27">
              <w:rPr>
                <w:noProof/>
                <w:webHidden/>
              </w:rPr>
              <w:fldChar w:fldCharType="begin"/>
            </w:r>
            <w:r w:rsidR="00ED1E27">
              <w:rPr>
                <w:noProof/>
                <w:webHidden/>
              </w:rPr>
              <w:instrText xml:space="preserve"> PAGEREF _Toc430091153 \h </w:instrText>
            </w:r>
            <w:r w:rsidR="00ED1E27">
              <w:rPr>
                <w:noProof/>
                <w:webHidden/>
              </w:rPr>
            </w:r>
            <w:r w:rsidR="00ED1E27">
              <w:rPr>
                <w:noProof/>
                <w:webHidden/>
              </w:rPr>
              <w:fldChar w:fldCharType="separate"/>
            </w:r>
            <w:r w:rsidR="004427AD">
              <w:rPr>
                <w:noProof/>
                <w:webHidden/>
              </w:rPr>
              <w:t>43</w:t>
            </w:r>
            <w:r w:rsidR="00ED1E27">
              <w:rPr>
                <w:noProof/>
                <w:webHidden/>
              </w:rPr>
              <w:fldChar w:fldCharType="end"/>
            </w:r>
          </w:hyperlink>
        </w:p>
        <w:p w14:paraId="002C24BD" w14:textId="77777777" w:rsidR="00ED1E27" w:rsidRDefault="000C10D6">
          <w:pPr>
            <w:pStyle w:val="TOC3"/>
            <w:rPr>
              <w:rFonts w:asciiTheme="minorHAnsi" w:eastAsiaTheme="minorEastAsia" w:hAnsiTheme="minorHAnsi" w:cstheme="minorBidi"/>
              <w:noProof/>
              <w:sz w:val="22"/>
              <w:szCs w:val="22"/>
              <w:lang w:eastAsia="en-AU"/>
            </w:rPr>
          </w:pPr>
          <w:hyperlink w:anchor="_Toc430091154" w:history="1">
            <w:r w:rsidR="00ED1E27" w:rsidRPr="0061785B">
              <w:rPr>
                <w:rStyle w:val="Hyperlink"/>
                <w:noProof/>
              </w:rPr>
              <w:t>Risk Management Review Group</w:t>
            </w:r>
            <w:r w:rsidR="00ED1E27">
              <w:rPr>
                <w:noProof/>
                <w:webHidden/>
              </w:rPr>
              <w:tab/>
            </w:r>
            <w:r w:rsidR="00ED1E27">
              <w:rPr>
                <w:noProof/>
                <w:webHidden/>
              </w:rPr>
              <w:fldChar w:fldCharType="begin"/>
            </w:r>
            <w:r w:rsidR="00ED1E27">
              <w:rPr>
                <w:noProof/>
                <w:webHidden/>
              </w:rPr>
              <w:instrText xml:space="preserve"> PAGEREF _Toc430091154 \h </w:instrText>
            </w:r>
            <w:r w:rsidR="00ED1E27">
              <w:rPr>
                <w:noProof/>
                <w:webHidden/>
              </w:rPr>
            </w:r>
            <w:r w:rsidR="00ED1E27">
              <w:rPr>
                <w:noProof/>
                <w:webHidden/>
              </w:rPr>
              <w:fldChar w:fldCharType="separate"/>
            </w:r>
            <w:r w:rsidR="004427AD">
              <w:rPr>
                <w:noProof/>
                <w:webHidden/>
              </w:rPr>
              <w:t>44</w:t>
            </w:r>
            <w:r w:rsidR="00ED1E27">
              <w:rPr>
                <w:noProof/>
                <w:webHidden/>
              </w:rPr>
              <w:fldChar w:fldCharType="end"/>
            </w:r>
          </w:hyperlink>
        </w:p>
        <w:p w14:paraId="388A0801"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55" w:history="1">
            <w:r w:rsidR="00ED1E27" w:rsidRPr="0061785B">
              <w:rPr>
                <w:rStyle w:val="Hyperlink"/>
                <w:noProof/>
              </w:rPr>
              <w:t>Complaints Handling</w:t>
            </w:r>
            <w:r w:rsidR="00ED1E27">
              <w:rPr>
                <w:noProof/>
                <w:webHidden/>
              </w:rPr>
              <w:tab/>
            </w:r>
            <w:r w:rsidR="00ED1E27">
              <w:rPr>
                <w:noProof/>
                <w:webHidden/>
              </w:rPr>
              <w:fldChar w:fldCharType="begin"/>
            </w:r>
            <w:r w:rsidR="00ED1E27">
              <w:rPr>
                <w:noProof/>
                <w:webHidden/>
              </w:rPr>
              <w:instrText xml:space="preserve"> PAGEREF _Toc430091155 \h </w:instrText>
            </w:r>
            <w:r w:rsidR="00ED1E27">
              <w:rPr>
                <w:noProof/>
                <w:webHidden/>
              </w:rPr>
            </w:r>
            <w:r w:rsidR="00ED1E27">
              <w:rPr>
                <w:noProof/>
                <w:webHidden/>
              </w:rPr>
              <w:fldChar w:fldCharType="separate"/>
            </w:r>
            <w:r w:rsidR="004427AD">
              <w:rPr>
                <w:noProof/>
                <w:webHidden/>
              </w:rPr>
              <w:t>45</w:t>
            </w:r>
            <w:r w:rsidR="00ED1E27">
              <w:rPr>
                <w:noProof/>
                <w:webHidden/>
              </w:rPr>
              <w:fldChar w:fldCharType="end"/>
            </w:r>
          </w:hyperlink>
        </w:p>
        <w:p w14:paraId="2261E1B0" w14:textId="77777777" w:rsidR="00ED1E27" w:rsidRDefault="000C10D6">
          <w:pPr>
            <w:pStyle w:val="TOC3"/>
            <w:rPr>
              <w:rFonts w:asciiTheme="minorHAnsi" w:eastAsiaTheme="minorEastAsia" w:hAnsiTheme="minorHAnsi" w:cstheme="minorBidi"/>
              <w:noProof/>
              <w:sz w:val="22"/>
              <w:szCs w:val="22"/>
              <w:lang w:eastAsia="en-AU"/>
            </w:rPr>
          </w:pPr>
          <w:hyperlink w:anchor="_Toc430091156" w:history="1">
            <w:r w:rsidR="00ED1E27" w:rsidRPr="0061785B">
              <w:rPr>
                <w:rStyle w:val="Hyperlink"/>
                <w:noProof/>
              </w:rPr>
              <w:t>Customer First Feedback Policy and Procedures</w:t>
            </w:r>
            <w:r w:rsidR="00ED1E27">
              <w:rPr>
                <w:noProof/>
                <w:webHidden/>
              </w:rPr>
              <w:tab/>
            </w:r>
            <w:r w:rsidR="00ED1E27">
              <w:rPr>
                <w:noProof/>
                <w:webHidden/>
              </w:rPr>
              <w:fldChar w:fldCharType="begin"/>
            </w:r>
            <w:r w:rsidR="00ED1E27">
              <w:rPr>
                <w:noProof/>
                <w:webHidden/>
              </w:rPr>
              <w:instrText xml:space="preserve"> PAGEREF _Toc430091156 \h </w:instrText>
            </w:r>
            <w:r w:rsidR="00ED1E27">
              <w:rPr>
                <w:noProof/>
                <w:webHidden/>
              </w:rPr>
            </w:r>
            <w:r w:rsidR="00ED1E27">
              <w:rPr>
                <w:noProof/>
                <w:webHidden/>
              </w:rPr>
              <w:fldChar w:fldCharType="separate"/>
            </w:r>
            <w:r w:rsidR="004427AD">
              <w:rPr>
                <w:noProof/>
                <w:webHidden/>
              </w:rPr>
              <w:t>45</w:t>
            </w:r>
            <w:r w:rsidR="00ED1E27">
              <w:rPr>
                <w:noProof/>
                <w:webHidden/>
              </w:rPr>
              <w:fldChar w:fldCharType="end"/>
            </w:r>
          </w:hyperlink>
        </w:p>
        <w:p w14:paraId="201BDE34" w14:textId="77777777" w:rsidR="00ED1E27" w:rsidRDefault="000C10D6">
          <w:pPr>
            <w:pStyle w:val="TOC3"/>
            <w:rPr>
              <w:rFonts w:asciiTheme="minorHAnsi" w:eastAsiaTheme="minorEastAsia" w:hAnsiTheme="minorHAnsi" w:cstheme="minorBidi"/>
              <w:noProof/>
              <w:sz w:val="22"/>
              <w:szCs w:val="22"/>
              <w:lang w:eastAsia="en-AU"/>
            </w:rPr>
          </w:pPr>
          <w:hyperlink w:anchor="_Toc430091157" w:history="1">
            <w:r w:rsidR="00ED1E27" w:rsidRPr="0061785B">
              <w:rPr>
                <w:rStyle w:val="Hyperlink"/>
                <w:noProof/>
              </w:rPr>
              <w:t>Complaints against scheme participants</w:t>
            </w:r>
            <w:r w:rsidR="00ED1E27">
              <w:rPr>
                <w:noProof/>
                <w:webHidden/>
              </w:rPr>
              <w:tab/>
            </w:r>
            <w:r w:rsidR="00ED1E27">
              <w:rPr>
                <w:noProof/>
                <w:webHidden/>
              </w:rPr>
              <w:fldChar w:fldCharType="begin"/>
            </w:r>
            <w:r w:rsidR="00ED1E27">
              <w:rPr>
                <w:noProof/>
                <w:webHidden/>
              </w:rPr>
              <w:instrText xml:space="preserve"> PAGEREF _Toc430091157 \h </w:instrText>
            </w:r>
            <w:r w:rsidR="00ED1E27">
              <w:rPr>
                <w:noProof/>
                <w:webHidden/>
              </w:rPr>
            </w:r>
            <w:r w:rsidR="00ED1E27">
              <w:rPr>
                <w:noProof/>
                <w:webHidden/>
              </w:rPr>
              <w:fldChar w:fldCharType="separate"/>
            </w:r>
            <w:r w:rsidR="004427AD">
              <w:rPr>
                <w:noProof/>
                <w:webHidden/>
              </w:rPr>
              <w:t>46</w:t>
            </w:r>
            <w:r w:rsidR="00ED1E27">
              <w:rPr>
                <w:noProof/>
                <w:webHidden/>
              </w:rPr>
              <w:fldChar w:fldCharType="end"/>
            </w:r>
          </w:hyperlink>
        </w:p>
        <w:p w14:paraId="68282C6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58" w:history="1">
            <w:r w:rsidR="00ED1E27" w:rsidRPr="0061785B">
              <w:rPr>
                <w:rStyle w:val="Hyperlink"/>
                <w:noProof/>
              </w:rPr>
              <w:t>Communications policies</w:t>
            </w:r>
            <w:r w:rsidR="00ED1E27">
              <w:rPr>
                <w:noProof/>
                <w:webHidden/>
              </w:rPr>
              <w:tab/>
            </w:r>
            <w:r w:rsidR="00ED1E27">
              <w:rPr>
                <w:noProof/>
                <w:webHidden/>
              </w:rPr>
              <w:fldChar w:fldCharType="begin"/>
            </w:r>
            <w:r w:rsidR="00ED1E27">
              <w:rPr>
                <w:noProof/>
                <w:webHidden/>
              </w:rPr>
              <w:instrText xml:space="preserve"> PAGEREF _Toc430091158 \h </w:instrText>
            </w:r>
            <w:r w:rsidR="00ED1E27">
              <w:rPr>
                <w:noProof/>
                <w:webHidden/>
              </w:rPr>
            </w:r>
            <w:r w:rsidR="00ED1E27">
              <w:rPr>
                <w:noProof/>
                <w:webHidden/>
              </w:rPr>
              <w:fldChar w:fldCharType="separate"/>
            </w:r>
            <w:r w:rsidR="004427AD">
              <w:rPr>
                <w:noProof/>
                <w:webHidden/>
              </w:rPr>
              <w:t>46</w:t>
            </w:r>
            <w:r w:rsidR="00ED1E27">
              <w:rPr>
                <w:noProof/>
                <w:webHidden/>
              </w:rPr>
              <w:fldChar w:fldCharType="end"/>
            </w:r>
          </w:hyperlink>
        </w:p>
        <w:p w14:paraId="683B8DFB" w14:textId="77777777" w:rsidR="00ED1E27" w:rsidRDefault="000C10D6">
          <w:pPr>
            <w:pStyle w:val="TOC3"/>
            <w:rPr>
              <w:rFonts w:asciiTheme="minorHAnsi" w:eastAsiaTheme="minorEastAsia" w:hAnsiTheme="minorHAnsi" w:cstheme="minorBidi"/>
              <w:noProof/>
              <w:sz w:val="22"/>
              <w:szCs w:val="22"/>
              <w:lang w:eastAsia="en-AU"/>
            </w:rPr>
          </w:pPr>
          <w:hyperlink w:anchor="_Toc430091159" w:history="1">
            <w:r w:rsidR="00ED1E27" w:rsidRPr="0061785B">
              <w:rPr>
                <w:rStyle w:val="Hyperlink"/>
                <w:noProof/>
              </w:rPr>
              <w:t>Customer Service Charter</w:t>
            </w:r>
            <w:r w:rsidR="00ED1E27">
              <w:rPr>
                <w:noProof/>
                <w:webHidden/>
              </w:rPr>
              <w:tab/>
            </w:r>
            <w:r w:rsidR="00ED1E27">
              <w:rPr>
                <w:noProof/>
                <w:webHidden/>
              </w:rPr>
              <w:fldChar w:fldCharType="begin"/>
            </w:r>
            <w:r w:rsidR="00ED1E27">
              <w:rPr>
                <w:noProof/>
                <w:webHidden/>
              </w:rPr>
              <w:instrText xml:space="preserve"> PAGEREF _Toc430091159 \h </w:instrText>
            </w:r>
            <w:r w:rsidR="00ED1E27">
              <w:rPr>
                <w:noProof/>
                <w:webHidden/>
              </w:rPr>
            </w:r>
            <w:r w:rsidR="00ED1E27">
              <w:rPr>
                <w:noProof/>
                <w:webHidden/>
              </w:rPr>
              <w:fldChar w:fldCharType="separate"/>
            </w:r>
            <w:r w:rsidR="004427AD">
              <w:rPr>
                <w:noProof/>
                <w:webHidden/>
              </w:rPr>
              <w:t>46</w:t>
            </w:r>
            <w:r w:rsidR="00ED1E27">
              <w:rPr>
                <w:noProof/>
                <w:webHidden/>
              </w:rPr>
              <w:fldChar w:fldCharType="end"/>
            </w:r>
          </w:hyperlink>
        </w:p>
        <w:p w14:paraId="4FC2C2FB" w14:textId="77777777" w:rsidR="00ED1E27" w:rsidRDefault="000C10D6">
          <w:pPr>
            <w:pStyle w:val="TOC3"/>
            <w:rPr>
              <w:rFonts w:asciiTheme="minorHAnsi" w:eastAsiaTheme="minorEastAsia" w:hAnsiTheme="minorHAnsi" w:cstheme="minorBidi"/>
              <w:noProof/>
              <w:sz w:val="22"/>
              <w:szCs w:val="22"/>
              <w:lang w:eastAsia="en-AU"/>
            </w:rPr>
          </w:pPr>
          <w:hyperlink w:anchor="_Toc430091160" w:history="1">
            <w:r w:rsidR="00ED1E27" w:rsidRPr="0061785B">
              <w:rPr>
                <w:rStyle w:val="Hyperlink"/>
                <w:rFonts w:eastAsiaTheme="majorEastAsia"/>
                <w:noProof/>
              </w:rPr>
              <w:t>Communications Protocol</w:t>
            </w:r>
            <w:r w:rsidR="00ED1E27">
              <w:rPr>
                <w:noProof/>
                <w:webHidden/>
              </w:rPr>
              <w:tab/>
            </w:r>
            <w:r w:rsidR="00ED1E27">
              <w:rPr>
                <w:noProof/>
                <w:webHidden/>
              </w:rPr>
              <w:fldChar w:fldCharType="begin"/>
            </w:r>
            <w:r w:rsidR="00ED1E27">
              <w:rPr>
                <w:noProof/>
                <w:webHidden/>
              </w:rPr>
              <w:instrText xml:space="preserve"> PAGEREF _Toc430091160 \h </w:instrText>
            </w:r>
            <w:r w:rsidR="00ED1E27">
              <w:rPr>
                <w:noProof/>
                <w:webHidden/>
              </w:rPr>
            </w:r>
            <w:r w:rsidR="00ED1E27">
              <w:rPr>
                <w:noProof/>
                <w:webHidden/>
              </w:rPr>
              <w:fldChar w:fldCharType="separate"/>
            </w:r>
            <w:r w:rsidR="004427AD">
              <w:rPr>
                <w:noProof/>
                <w:webHidden/>
              </w:rPr>
              <w:t>46</w:t>
            </w:r>
            <w:r w:rsidR="00ED1E27">
              <w:rPr>
                <w:noProof/>
                <w:webHidden/>
              </w:rPr>
              <w:fldChar w:fldCharType="end"/>
            </w:r>
          </w:hyperlink>
        </w:p>
        <w:p w14:paraId="7DBEE721" w14:textId="77777777" w:rsidR="00ED1E27" w:rsidRDefault="000C10D6">
          <w:pPr>
            <w:pStyle w:val="TOC3"/>
            <w:rPr>
              <w:rFonts w:asciiTheme="minorHAnsi" w:eastAsiaTheme="minorEastAsia" w:hAnsiTheme="minorHAnsi" w:cstheme="minorBidi"/>
              <w:noProof/>
              <w:sz w:val="22"/>
              <w:szCs w:val="22"/>
              <w:lang w:eastAsia="en-AU"/>
            </w:rPr>
          </w:pPr>
          <w:hyperlink w:anchor="_Toc430091161" w:history="1">
            <w:r w:rsidR="00ED1E27" w:rsidRPr="0061785B">
              <w:rPr>
                <w:rStyle w:val="Hyperlink"/>
                <w:noProof/>
                <w:lang w:val="en-GB" w:eastAsia="en-AU"/>
              </w:rPr>
              <w:t>Ministerial Correspondence</w:t>
            </w:r>
            <w:r w:rsidR="00ED1E27">
              <w:rPr>
                <w:noProof/>
                <w:webHidden/>
              </w:rPr>
              <w:tab/>
            </w:r>
            <w:r w:rsidR="00ED1E27">
              <w:rPr>
                <w:noProof/>
                <w:webHidden/>
              </w:rPr>
              <w:fldChar w:fldCharType="begin"/>
            </w:r>
            <w:r w:rsidR="00ED1E27">
              <w:rPr>
                <w:noProof/>
                <w:webHidden/>
              </w:rPr>
              <w:instrText xml:space="preserve"> PAGEREF _Toc430091161 \h </w:instrText>
            </w:r>
            <w:r w:rsidR="00ED1E27">
              <w:rPr>
                <w:noProof/>
                <w:webHidden/>
              </w:rPr>
            </w:r>
            <w:r w:rsidR="00ED1E27">
              <w:rPr>
                <w:noProof/>
                <w:webHidden/>
              </w:rPr>
              <w:fldChar w:fldCharType="separate"/>
            </w:r>
            <w:r w:rsidR="004427AD">
              <w:rPr>
                <w:noProof/>
                <w:webHidden/>
              </w:rPr>
              <w:t>47</w:t>
            </w:r>
            <w:r w:rsidR="00ED1E27">
              <w:rPr>
                <w:noProof/>
                <w:webHidden/>
              </w:rPr>
              <w:fldChar w:fldCharType="end"/>
            </w:r>
          </w:hyperlink>
        </w:p>
        <w:p w14:paraId="1FB5D5ED" w14:textId="77777777" w:rsidR="00ED1E27" w:rsidRDefault="000C10D6">
          <w:pPr>
            <w:pStyle w:val="TOC3"/>
            <w:rPr>
              <w:rFonts w:asciiTheme="minorHAnsi" w:eastAsiaTheme="minorEastAsia" w:hAnsiTheme="minorHAnsi" w:cstheme="minorBidi"/>
              <w:noProof/>
              <w:sz w:val="22"/>
              <w:szCs w:val="22"/>
              <w:lang w:eastAsia="en-AU"/>
            </w:rPr>
          </w:pPr>
          <w:hyperlink w:anchor="_Toc430091162" w:history="1">
            <w:r w:rsidR="00ED1E27" w:rsidRPr="0061785B">
              <w:rPr>
                <w:rStyle w:val="Hyperlink"/>
                <w:noProof/>
              </w:rPr>
              <w:t>Governance Policy: Official Communication</w:t>
            </w:r>
            <w:r w:rsidR="00ED1E27">
              <w:rPr>
                <w:noProof/>
                <w:webHidden/>
              </w:rPr>
              <w:tab/>
            </w:r>
            <w:r w:rsidR="00ED1E27">
              <w:rPr>
                <w:noProof/>
                <w:webHidden/>
              </w:rPr>
              <w:fldChar w:fldCharType="begin"/>
            </w:r>
            <w:r w:rsidR="00ED1E27">
              <w:rPr>
                <w:noProof/>
                <w:webHidden/>
              </w:rPr>
              <w:instrText xml:space="preserve"> PAGEREF _Toc430091162 \h </w:instrText>
            </w:r>
            <w:r w:rsidR="00ED1E27">
              <w:rPr>
                <w:noProof/>
                <w:webHidden/>
              </w:rPr>
            </w:r>
            <w:r w:rsidR="00ED1E27">
              <w:rPr>
                <w:noProof/>
                <w:webHidden/>
              </w:rPr>
              <w:fldChar w:fldCharType="separate"/>
            </w:r>
            <w:r w:rsidR="004427AD">
              <w:rPr>
                <w:noProof/>
                <w:webHidden/>
              </w:rPr>
              <w:t>47</w:t>
            </w:r>
            <w:r w:rsidR="00ED1E27">
              <w:rPr>
                <w:noProof/>
                <w:webHidden/>
              </w:rPr>
              <w:fldChar w:fldCharType="end"/>
            </w:r>
          </w:hyperlink>
        </w:p>
        <w:p w14:paraId="1DDC9F05" w14:textId="77777777" w:rsidR="00ED1E27" w:rsidRDefault="000C10D6">
          <w:pPr>
            <w:pStyle w:val="TOC3"/>
            <w:rPr>
              <w:rFonts w:asciiTheme="minorHAnsi" w:eastAsiaTheme="minorEastAsia" w:hAnsiTheme="minorHAnsi" w:cstheme="minorBidi"/>
              <w:noProof/>
              <w:sz w:val="22"/>
              <w:szCs w:val="22"/>
              <w:lang w:eastAsia="en-AU"/>
            </w:rPr>
          </w:pPr>
          <w:hyperlink w:anchor="_Toc430091163" w:history="1">
            <w:r w:rsidR="00ED1E27" w:rsidRPr="0061785B">
              <w:rPr>
                <w:rStyle w:val="Hyperlink"/>
                <w:noProof/>
              </w:rPr>
              <w:t>External Data Release Policy</w:t>
            </w:r>
            <w:r w:rsidR="00ED1E27">
              <w:rPr>
                <w:noProof/>
                <w:webHidden/>
              </w:rPr>
              <w:tab/>
            </w:r>
            <w:r w:rsidR="00ED1E27">
              <w:rPr>
                <w:noProof/>
                <w:webHidden/>
              </w:rPr>
              <w:fldChar w:fldCharType="begin"/>
            </w:r>
            <w:r w:rsidR="00ED1E27">
              <w:rPr>
                <w:noProof/>
                <w:webHidden/>
              </w:rPr>
              <w:instrText xml:space="preserve"> PAGEREF _Toc430091163 \h </w:instrText>
            </w:r>
            <w:r w:rsidR="00ED1E27">
              <w:rPr>
                <w:noProof/>
                <w:webHidden/>
              </w:rPr>
            </w:r>
            <w:r w:rsidR="00ED1E27">
              <w:rPr>
                <w:noProof/>
                <w:webHidden/>
              </w:rPr>
              <w:fldChar w:fldCharType="separate"/>
            </w:r>
            <w:r w:rsidR="004427AD">
              <w:rPr>
                <w:noProof/>
                <w:webHidden/>
              </w:rPr>
              <w:t>47</w:t>
            </w:r>
            <w:r w:rsidR="00ED1E27">
              <w:rPr>
                <w:noProof/>
                <w:webHidden/>
              </w:rPr>
              <w:fldChar w:fldCharType="end"/>
            </w:r>
          </w:hyperlink>
        </w:p>
        <w:p w14:paraId="33CD45F4" w14:textId="77777777" w:rsidR="00ED1E27" w:rsidRDefault="000C10D6">
          <w:pPr>
            <w:pStyle w:val="TOC3"/>
            <w:rPr>
              <w:rFonts w:asciiTheme="minorHAnsi" w:eastAsiaTheme="minorEastAsia" w:hAnsiTheme="minorHAnsi" w:cstheme="minorBidi"/>
              <w:noProof/>
              <w:sz w:val="22"/>
              <w:szCs w:val="22"/>
              <w:lang w:eastAsia="en-AU"/>
            </w:rPr>
          </w:pPr>
          <w:hyperlink w:anchor="_Toc430091164" w:history="1">
            <w:r w:rsidR="00ED1E27" w:rsidRPr="0061785B">
              <w:rPr>
                <w:rStyle w:val="Hyperlink"/>
                <w:noProof/>
              </w:rPr>
              <w:t>Restriction of Communications when dealing with Unreasonable Customer Behaviour Policy</w:t>
            </w:r>
            <w:r w:rsidR="00ED1E27">
              <w:rPr>
                <w:noProof/>
                <w:webHidden/>
              </w:rPr>
              <w:tab/>
            </w:r>
            <w:r w:rsidR="00ED1E27">
              <w:rPr>
                <w:noProof/>
                <w:webHidden/>
              </w:rPr>
              <w:fldChar w:fldCharType="begin"/>
            </w:r>
            <w:r w:rsidR="00ED1E27">
              <w:rPr>
                <w:noProof/>
                <w:webHidden/>
              </w:rPr>
              <w:instrText xml:space="preserve"> PAGEREF _Toc430091164 \h </w:instrText>
            </w:r>
            <w:r w:rsidR="00ED1E27">
              <w:rPr>
                <w:noProof/>
                <w:webHidden/>
              </w:rPr>
            </w:r>
            <w:r w:rsidR="00ED1E27">
              <w:rPr>
                <w:noProof/>
                <w:webHidden/>
              </w:rPr>
              <w:fldChar w:fldCharType="separate"/>
            </w:r>
            <w:r w:rsidR="004427AD">
              <w:rPr>
                <w:noProof/>
                <w:webHidden/>
              </w:rPr>
              <w:t>47</w:t>
            </w:r>
            <w:r w:rsidR="00ED1E27">
              <w:rPr>
                <w:noProof/>
                <w:webHidden/>
              </w:rPr>
              <w:fldChar w:fldCharType="end"/>
            </w:r>
          </w:hyperlink>
        </w:p>
        <w:p w14:paraId="650171E3" w14:textId="77777777" w:rsidR="00ED1E27" w:rsidRDefault="000C10D6">
          <w:pPr>
            <w:pStyle w:val="TOC3"/>
            <w:rPr>
              <w:rFonts w:asciiTheme="minorHAnsi" w:eastAsiaTheme="minorEastAsia" w:hAnsiTheme="minorHAnsi" w:cstheme="minorBidi"/>
              <w:noProof/>
              <w:sz w:val="22"/>
              <w:szCs w:val="22"/>
              <w:lang w:eastAsia="en-AU"/>
            </w:rPr>
          </w:pPr>
          <w:hyperlink w:anchor="_Toc430091165" w:history="1">
            <w:r w:rsidR="00ED1E27" w:rsidRPr="0061785B">
              <w:rPr>
                <w:rStyle w:val="Hyperlink"/>
                <w:noProof/>
              </w:rPr>
              <w:t>Disclosure of Personal Information Policy</w:t>
            </w:r>
            <w:r w:rsidR="00ED1E27">
              <w:rPr>
                <w:noProof/>
                <w:webHidden/>
              </w:rPr>
              <w:tab/>
            </w:r>
            <w:r w:rsidR="00ED1E27">
              <w:rPr>
                <w:noProof/>
                <w:webHidden/>
              </w:rPr>
              <w:fldChar w:fldCharType="begin"/>
            </w:r>
            <w:r w:rsidR="00ED1E27">
              <w:rPr>
                <w:noProof/>
                <w:webHidden/>
              </w:rPr>
              <w:instrText xml:space="preserve"> PAGEREF _Toc430091165 \h </w:instrText>
            </w:r>
            <w:r w:rsidR="00ED1E27">
              <w:rPr>
                <w:noProof/>
                <w:webHidden/>
              </w:rPr>
            </w:r>
            <w:r w:rsidR="00ED1E27">
              <w:rPr>
                <w:noProof/>
                <w:webHidden/>
              </w:rPr>
              <w:fldChar w:fldCharType="separate"/>
            </w:r>
            <w:r w:rsidR="004427AD">
              <w:rPr>
                <w:noProof/>
                <w:webHidden/>
              </w:rPr>
              <w:t>48</w:t>
            </w:r>
            <w:r w:rsidR="00ED1E27">
              <w:rPr>
                <w:noProof/>
                <w:webHidden/>
              </w:rPr>
              <w:fldChar w:fldCharType="end"/>
            </w:r>
          </w:hyperlink>
        </w:p>
        <w:p w14:paraId="037AFFEA" w14:textId="77777777" w:rsidR="00ED1E27" w:rsidRDefault="000C10D6">
          <w:pPr>
            <w:pStyle w:val="TOC3"/>
            <w:rPr>
              <w:rFonts w:asciiTheme="minorHAnsi" w:eastAsiaTheme="minorEastAsia" w:hAnsiTheme="minorHAnsi" w:cstheme="minorBidi"/>
              <w:noProof/>
              <w:sz w:val="22"/>
              <w:szCs w:val="22"/>
              <w:lang w:eastAsia="en-AU"/>
            </w:rPr>
          </w:pPr>
          <w:hyperlink w:anchor="_Toc430091166" w:history="1">
            <w:r w:rsidR="00ED1E27" w:rsidRPr="0061785B">
              <w:rPr>
                <w:rStyle w:val="Hyperlink"/>
                <w:noProof/>
              </w:rPr>
              <w:t>Public Interest Disclosure</w:t>
            </w:r>
            <w:r w:rsidR="00ED1E27">
              <w:rPr>
                <w:noProof/>
                <w:webHidden/>
              </w:rPr>
              <w:tab/>
            </w:r>
            <w:r w:rsidR="00ED1E27">
              <w:rPr>
                <w:noProof/>
                <w:webHidden/>
              </w:rPr>
              <w:fldChar w:fldCharType="begin"/>
            </w:r>
            <w:r w:rsidR="00ED1E27">
              <w:rPr>
                <w:noProof/>
                <w:webHidden/>
              </w:rPr>
              <w:instrText xml:space="preserve"> PAGEREF _Toc430091166 \h </w:instrText>
            </w:r>
            <w:r w:rsidR="00ED1E27">
              <w:rPr>
                <w:noProof/>
                <w:webHidden/>
              </w:rPr>
            </w:r>
            <w:r w:rsidR="00ED1E27">
              <w:rPr>
                <w:noProof/>
                <w:webHidden/>
              </w:rPr>
              <w:fldChar w:fldCharType="separate"/>
            </w:r>
            <w:r w:rsidR="004427AD">
              <w:rPr>
                <w:noProof/>
                <w:webHidden/>
              </w:rPr>
              <w:t>48</w:t>
            </w:r>
            <w:r w:rsidR="00ED1E27">
              <w:rPr>
                <w:noProof/>
                <w:webHidden/>
              </w:rPr>
              <w:fldChar w:fldCharType="end"/>
            </w:r>
          </w:hyperlink>
        </w:p>
        <w:p w14:paraId="20B85D72" w14:textId="77777777" w:rsidR="00ED1E27" w:rsidRDefault="000C10D6">
          <w:pPr>
            <w:pStyle w:val="TOC3"/>
            <w:rPr>
              <w:rFonts w:asciiTheme="minorHAnsi" w:eastAsiaTheme="minorEastAsia" w:hAnsiTheme="minorHAnsi" w:cstheme="minorBidi"/>
              <w:noProof/>
              <w:sz w:val="22"/>
              <w:szCs w:val="22"/>
              <w:lang w:eastAsia="en-AU"/>
            </w:rPr>
          </w:pPr>
          <w:hyperlink w:anchor="_Toc430091167" w:history="1">
            <w:r w:rsidR="00ED1E27" w:rsidRPr="0061785B">
              <w:rPr>
                <w:rStyle w:val="Hyperlink"/>
                <w:noProof/>
              </w:rPr>
              <w:t>Freedom of Information</w:t>
            </w:r>
            <w:r w:rsidR="00ED1E27">
              <w:rPr>
                <w:noProof/>
                <w:webHidden/>
              </w:rPr>
              <w:tab/>
            </w:r>
            <w:r w:rsidR="00ED1E27">
              <w:rPr>
                <w:noProof/>
                <w:webHidden/>
              </w:rPr>
              <w:fldChar w:fldCharType="begin"/>
            </w:r>
            <w:r w:rsidR="00ED1E27">
              <w:rPr>
                <w:noProof/>
                <w:webHidden/>
              </w:rPr>
              <w:instrText xml:space="preserve"> PAGEREF _Toc430091167 \h </w:instrText>
            </w:r>
            <w:r w:rsidR="00ED1E27">
              <w:rPr>
                <w:noProof/>
                <w:webHidden/>
              </w:rPr>
            </w:r>
            <w:r w:rsidR="00ED1E27">
              <w:rPr>
                <w:noProof/>
                <w:webHidden/>
              </w:rPr>
              <w:fldChar w:fldCharType="separate"/>
            </w:r>
            <w:r w:rsidR="004427AD">
              <w:rPr>
                <w:noProof/>
                <w:webHidden/>
              </w:rPr>
              <w:t>48</w:t>
            </w:r>
            <w:r w:rsidR="00ED1E27">
              <w:rPr>
                <w:noProof/>
                <w:webHidden/>
              </w:rPr>
              <w:fldChar w:fldCharType="end"/>
            </w:r>
          </w:hyperlink>
        </w:p>
        <w:p w14:paraId="5BE5A30C"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68" w:history="1">
            <w:r w:rsidR="00ED1E27" w:rsidRPr="0061785B">
              <w:rPr>
                <w:rStyle w:val="Hyperlink"/>
                <w:noProof/>
              </w:rPr>
              <w:t>Risk Management policies</w:t>
            </w:r>
            <w:r w:rsidR="00ED1E27">
              <w:rPr>
                <w:noProof/>
                <w:webHidden/>
              </w:rPr>
              <w:tab/>
            </w:r>
            <w:r w:rsidR="00ED1E27">
              <w:rPr>
                <w:noProof/>
                <w:webHidden/>
              </w:rPr>
              <w:fldChar w:fldCharType="begin"/>
            </w:r>
            <w:r w:rsidR="00ED1E27">
              <w:rPr>
                <w:noProof/>
                <w:webHidden/>
              </w:rPr>
              <w:instrText xml:space="preserve"> PAGEREF _Toc430091168 \h </w:instrText>
            </w:r>
            <w:r w:rsidR="00ED1E27">
              <w:rPr>
                <w:noProof/>
                <w:webHidden/>
              </w:rPr>
            </w:r>
            <w:r w:rsidR="00ED1E27">
              <w:rPr>
                <w:noProof/>
                <w:webHidden/>
              </w:rPr>
              <w:fldChar w:fldCharType="separate"/>
            </w:r>
            <w:r w:rsidR="004427AD">
              <w:rPr>
                <w:noProof/>
                <w:webHidden/>
              </w:rPr>
              <w:t>48</w:t>
            </w:r>
            <w:r w:rsidR="00ED1E27">
              <w:rPr>
                <w:noProof/>
                <w:webHidden/>
              </w:rPr>
              <w:fldChar w:fldCharType="end"/>
            </w:r>
          </w:hyperlink>
        </w:p>
        <w:p w14:paraId="13ACEBE3" w14:textId="77777777" w:rsidR="00ED1E27" w:rsidRDefault="000C10D6">
          <w:pPr>
            <w:pStyle w:val="TOC3"/>
            <w:rPr>
              <w:rFonts w:asciiTheme="minorHAnsi" w:eastAsiaTheme="minorEastAsia" w:hAnsiTheme="minorHAnsi" w:cstheme="minorBidi"/>
              <w:noProof/>
              <w:sz w:val="22"/>
              <w:szCs w:val="22"/>
              <w:lang w:eastAsia="en-AU"/>
            </w:rPr>
          </w:pPr>
          <w:hyperlink w:anchor="_Toc430091169" w:history="1">
            <w:r w:rsidR="00ED1E27" w:rsidRPr="0061785B">
              <w:rPr>
                <w:rStyle w:val="Hyperlink"/>
                <w:noProof/>
              </w:rPr>
              <w:t>Risk Management Framework</w:t>
            </w:r>
            <w:r w:rsidR="00ED1E27">
              <w:rPr>
                <w:noProof/>
                <w:webHidden/>
              </w:rPr>
              <w:tab/>
            </w:r>
            <w:r w:rsidR="00ED1E27">
              <w:rPr>
                <w:noProof/>
                <w:webHidden/>
              </w:rPr>
              <w:fldChar w:fldCharType="begin"/>
            </w:r>
            <w:r w:rsidR="00ED1E27">
              <w:rPr>
                <w:noProof/>
                <w:webHidden/>
              </w:rPr>
              <w:instrText xml:space="preserve"> PAGEREF _Toc430091169 \h </w:instrText>
            </w:r>
            <w:r w:rsidR="00ED1E27">
              <w:rPr>
                <w:noProof/>
                <w:webHidden/>
              </w:rPr>
            </w:r>
            <w:r w:rsidR="00ED1E27">
              <w:rPr>
                <w:noProof/>
                <w:webHidden/>
              </w:rPr>
              <w:fldChar w:fldCharType="separate"/>
            </w:r>
            <w:r w:rsidR="004427AD">
              <w:rPr>
                <w:noProof/>
                <w:webHidden/>
              </w:rPr>
              <w:t>48</w:t>
            </w:r>
            <w:r w:rsidR="00ED1E27">
              <w:rPr>
                <w:noProof/>
                <w:webHidden/>
              </w:rPr>
              <w:fldChar w:fldCharType="end"/>
            </w:r>
          </w:hyperlink>
        </w:p>
        <w:p w14:paraId="6BE225D9" w14:textId="77777777" w:rsidR="00ED1E27" w:rsidRDefault="000C10D6">
          <w:pPr>
            <w:pStyle w:val="TOC1"/>
            <w:rPr>
              <w:rFonts w:asciiTheme="minorHAnsi" w:eastAsiaTheme="minorEastAsia" w:hAnsiTheme="minorHAnsi" w:cstheme="minorBidi"/>
              <w:sz w:val="22"/>
              <w:szCs w:val="22"/>
              <w:lang w:eastAsia="en-AU"/>
            </w:rPr>
          </w:pPr>
          <w:hyperlink w:anchor="_Toc430091170" w:history="1">
            <w:r w:rsidR="00ED1E27" w:rsidRPr="0061785B">
              <w:rPr>
                <w:rStyle w:val="Hyperlink"/>
              </w:rPr>
              <w:t>Performance Management Framework</w:t>
            </w:r>
            <w:r w:rsidR="00ED1E27">
              <w:rPr>
                <w:webHidden/>
              </w:rPr>
              <w:tab/>
            </w:r>
            <w:r w:rsidR="00ED1E27">
              <w:rPr>
                <w:webHidden/>
              </w:rPr>
              <w:fldChar w:fldCharType="begin"/>
            </w:r>
            <w:r w:rsidR="00ED1E27">
              <w:rPr>
                <w:webHidden/>
              </w:rPr>
              <w:instrText xml:space="preserve"> PAGEREF _Toc430091170 \h </w:instrText>
            </w:r>
            <w:r w:rsidR="00ED1E27">
              <w:rPr>
                <w:webHidden/>
              </w:rPr>
            </w:r>
            <w:r w:rsidR="00ED1E27">
              <w:rPr>
                <w:webHidden/>
              </w:rPr>
              <w:fldChar w:fldCharType="separate"/>
            </w:r>
            <w:r w:rsidR="004427AD">
              <w:rPr>
                <w:webHidden/>
              </w:rPr>
              <w:t>51</w:t>
            </w:r>
            <w:r w:rsidR="00ED1E27">
              <w:rPr>
                <w:webHidden/>
              </w:rPr>
              <w:fldChar w:fldCharType="end"/>
            </w:r>
          </w:hyperlink>
        </w:p>
        <w:p w14:paraId="5DD2F37C"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71" w:history="1">
            <w:r w:rsidR="00ED1E27" w:rsidRPr="0061785B">
              <w:rPr>
                <w:rStyle w:val="Hyperlink"/>
                <w:noProof/>
              </w:rPr>
              <w:t>Outcome Based Management structure</w:t>
            </w:r>
            <w:r w:rsidR="00ED1E27">
              <w:rPr>
                <w:noProof/>
                <w:webHidden/>
              </w:rPr>
              <w:tab/>
            </w:r>
            <w:r w:rsidR="00ED1E27">
              <w:rPr>
                <w:noProof/>
                <w:webHidden/>
              </w:rPr>
              <w:fldChar w:fldCharType="begin"/>
            </w:r>
            <w:r w:rsidR="00ED1E27">
              <w:rPr>
                <w:noProof/>
                <w:webHidden/>
              </w:rPr>
              <w:instrText xml:space="preserve"> PAGEREF _Toc430091171 \h </w:instrText>
            </w:r>
            <w:r w:rsidR="00ED1E27">
              <w:rPr>
                <w:noProof/>
                <w:webHidden/>
              </w:rPr>
            </w:r>
            <w:r w:rsidR="00ED1E27">
              <w:rPr>
                <w:noProof/>
                <w:webHidden/>
              </w:rPr>
              <w:fldChar w:fldCharType="separate"/>
            </w:r>
            <w:r w:rsidR="004427AD">
              <w:rPr>
                <w:noProof/>
                <w:webHidden/>
              </w:rPr>
              <w:t>51</w:t>
            </w:r>
            <w:r w:rsidR="00ED1E27">
              <w:rPr>
                <w:noProof/>
                <w:webHidden/>
              </w:rPr>
              <w:fldChar w:fldCharType="end"/>
            </w:r>
          </w:hyperlink>
        </w:p>
        <w:p w14:paraId="00D3CD6B" w14:textId="77777777" w:rsidR="00ED1E27" w:rsidRDefault="000C10D6">
          <w:pPr>
            <w:pStyle w:val="TOC3"/>
            <w:rPr>
              <w:rFonts w:asciiTheme="minorHAnsi" w:eastAsiaTheme="minorEastAsia" w:hAnsiTheme="minorHAnsi" w:cstheme="minorBidi"/>
              <w:noProof/>
              <w:sz w:val="22"/>
              <w:szCs w:val="22"/>
              <w:lang w:eastAsia="en-AU"/>
            </w:rPr>
          </w:pPr>
          <w:hyperlink w:anchor="_Toc430091172" w:history="1">
            <w:r w:rsidR="00ED1E27" w:rsidRPr="0061785B">
              <w:rPr>
                <w:rStyle w:val="Hyperlink"/>
                <w:noProof/>
              </w:rPr>
              <w:t>Other government goals</w:t>
            </w:r>
            <w:r w:rsidR="00ED1E27">
              <w:rPr>
                <w:noProof/>
                <w:webHidden/>
              </w:rPr>
              <w:tab/>
            </w:r>
            <w:r w:rsidR="00ED1E27">
              <w:rPr>
                <w:noProof/>
                <w:webHidden/>
              </w:rPr>
              <w:fldChar w:fldCharType="begin"/>
            </w:r>
            <w:r w:rsidR="00ED1E27">
              <w:rPr>
                <w:noProof/>
                <w:webHidden/>
              </w:rPr>
              <w:instrText xml:space="preserve"> PAGEREF _Toc430091172 \h </w:instrText>
            </w:r>
            <w:r w:rsidR="00ED1E27">
              <w:rPr>
                <w:noProof/>
                <w:webHidden/>
              </w:rPr>
            </w:r>
            <w:r w:rsidR="00ED1E27">
              <w:rPr>
                <w:noProof/>
                <w:webHidden/>
              </w:rPr>
              <w:fldChar w:fldCharType="separate"/>
            </w:r>
            <w:r w:rsidR="004427AD">
              <w:rPr>
                <w:noProof/>
                <w:webHidden/>
              </w:rPr>
              <w:t>53</w:t>
            </w:r>
            <w:r w:rsidR="00ED1E27">
              <w:rPr>
                <w:noProof/>
                <w:webHidden/>
              </w:rPr>
              <w:fldChar w:fldCharType="end"/>
            </w:r>
          </w:hyperlink>
        </w:p>
        <w:p w14:paraId="587C2E87" w14:textId="77777777" w:rsidR="00ED1E27" w:rsidRDefault="000C10D6">
          <w:pPr>
            <w:pStyle w:val="TOC3"/>
            <w:rPr>
              <w:rFonts w:asciiTheme="minorHAnsi" w:eastAsiaTheme="minorEastAsia" w:hAnsiTheme="minorHAnsi" w:cstheme="minorBidi"/>
              <w:noProof/>
              <w:sz w:val="22"/>
              <w:szCs w:val="22"/>
              <w:lang w:eastAsia="en-AU"/>
            </w:rPr>
          </w:pPr>
          <w:hyperlink w:anchor="_Toc430091173" w:history="1">
            <w:r w:rsidR="00ED1E27" w:rsidRPr="0061785B">
              <w:rPr>
                <w:rStyle w:val="Hyperlink"/>
                <w:noProof/>
              </w:rPr>
              <w:t>Shared responsibilities with other agencies</w:t>
            </w:r>
            <w:r w:rsidR="00ED1E27">
              <w:rPr>
                <w:noProof/>
                <w:webHidden/>
              </w:rPr>
              <w:tab/>
            </w:r>
            <w:r w:rsidR="00ED1E27">
              <w:rPr>
                <w:noProof/>
                <w:webHidden/>
              </w:rPr>
              <w:fldChar w:fldCharType="begin"/>
            </w:r>
            <w:r w:rsidR="00ED1E27">
              <w:rPr>
                <w:noProof/>
                <w:webHidden/>
              </w:rPr>
              <w:instrText xml:space="preserve"> PAGEREF _Toc430091173 \h </w:instrText>
            </w:r>
            <w:r w:rsidR="00ED1E27">
              <w:rPr>
                <w:noProof/>
                <w:webHidden/>
              </w:rPr>
            </w:r>
            <w:r w:rsidR="00ED1E27">
              <w:rPr>
                <w:noProof/>
                <w:webHidden/>
              </w:rPr>
              <w:fldChar w:fldCharType="separate"/>
            </w:r>
            <w:r w:rsidR="004427AD">
              <w:rPr>
                <w:noProof/>
                <w:webHidden/>
              </w:rPr>
              <w:t>53</w:t>
            </w:r>
            <w:r w:rsidR="00ED1E27">
              <w:rPr>
                <w:noProof/>
                <w:webHidden/>
              </w:rPr>
              <w:fldChar w:fldCharType="end"/>
            </w:r>
          </w:hyperlink>
        </w:p>
        <w:p w14:paraId="2F11D4C6"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74" w:history="1">
            <w:r w:rsidR="00ED1E27" w:rsidRPr="0061785B">
              <w:rPr>
                <w:rStyle w:val="Hyperlink"/>
                <w:noProof/>
              </w:rPr>
              <w:t>How we measure our performance</w:t>
            </w:r>
            <w:r w:rsidR="00ED1E27">
              <w:rPr>
                <w:noProof/>
                <w:webHidden/>
              </w:rPr>
              <w:tab/>
            </w:r>
            <w:r w:rsidR="00ED1E27">
              <w:rPr>
                <w:noProof/>
                <w:webHidden/>
              </w:rPr>
              <w:fldChar w:fldCharType="begin"/>
            </w:r>
            <w:r w:rsidR="00ED1E27">
              <w:rPr>
                <w:noProof/>
                <w:webHidden/>
              </w:rPr>
              <w:instrText xml:space="preserve"> PAGEREF _Toc430091174 \h </w:instrText>
            </w:r>
            <w:r w:rsidR="00ED1E27">
              <w:rPr>
                <w:noProof/>
                <w:webHidden/>
              </w:rPr>
            </w:r>
            <w:r w:rsidR="00ED1E27">
              <w:rPr>
                <w:noProof/>
                <w:webHidden/>
              </w:rPr>
              <w:fldChar w:fldCharType="separate"/>
            </w:r>
            <w:r w:rsidR="004427AD">
              <w:rPr>
                <w:noProof/>
                <w:webHidden/>
              </w:rPr>
              <w:t>53</w:t>
            </w:r>
            <w:r w:rsidR="00ED1E27">
              <w:rPr>
                <w:noProof/>
                <w:webHidden/>
              </w:rPr>
              <w:fldChar w:fldCharType="end"/>
            </w:r>
          </w:hyperlink>
        </w:p>
        <w:p w14:paraId="5A1C8C2A" w14:textId="77777777" w:rsidR="00ED1E27" w:rsidRDefault="000C10D6">
          <w:pPr>
            <w:pStyle w:val="TOC3"/>
            <w:rPr>
              <w:rFonts w:asciiTheme="minorHAnsi" w:eastAsiaTheme="minorEastAsia" w:hAnsiTheme="minorHAnsi" w:cstheme="minorBidi"/>
              <w:noProof/>
              <w:sz w:val="22"/>
              <w:szCs w:val="22"/>
              <w:lang w:eastAsia="en-AU"/>
            </w:rPr>
          </w:pPr>
          <w:hyperlink w:anchor="_Toc430091175" w:history="1">
            <w:r w:rsidR="00ED1E27" w:rsidRPr="0061785B">
              <w:rPr>
                <w:rStyle w:val="Hyperlink"/>
                <w:noProof/>
              </w:rPr>
              <w:t>Key Performance Indicators (KPIs)</w:t>
            </w:r>
            <w:r w:rsidR="00ED1E27">
              <w:rPr>
                <w:noProof/>
                <w:webHidden/>
              </w:rPr>
              <w:tab/>
            </w:r>
            <w:r w:rsidR="00ED1E27">
              <w:rPr>
                <w:noProof/>
                <w:webHidden/>
              </w:rPr>
              <w:fldChar w:fldCharType="begin"/>
            </w:r>
            <w:r w:rsidR="00ED1E27">
              <w:rPr>
                <w:noProof/>
                <w:webHidden/>
              </w:rPr>
              <w:instrText xml:space="preserve"> PAGEREF _Toc430091175 \h </w:instrText>
            </w:r>
            <w:r w:rsidR="00ED1E27">
              <w:rPr>
                <w:noProof/>
                <w:webHidden/>
              </w:rPr>
            </w:r>
            <w:r w:rsidR="00ED1E27">
              <w:rPr>
                <w:noProof/>
                <w:webHidden/>
              </w:rPr>
              <w:fldChar w:fldCharType="separate"/>
            </w:r>
            <w:r w:rsidR="004427AD">
              <w:rPr>
                <w:noProof/>
                <w:webHidden/>
              </w:rPr>
              <w:t>54</w:t>
            </w:r>
            <w:r w:rsidR="00ED1E27">
              <w:rPr>
                <w:noProof/>
                <w:webHidden/>
              </w:rPr>
              <w:fldChar w:fldCharType="end"/>
            </w:r>
          </w:hyperlink>
        </w:p>
        <w:p w14:paraId="143A181A" w14:textId="77777777" w:rsidR="00ED1E27" w:rsidRDefault="000C10D6">
          <w:pPr>
            <w:pStyle w:val="TOC3"/>
            <w:rPr>
              <w:rFonts w:asciiTheme="minorHAnsi" w:eastAsiaTheme="minorEastAsia" w:hAnsiTheme="minorHAnsi" w:cstheme="minorBidi"/>
              <w:noProof/>
              <w:sz w:val="22"/>
              <w:szCs w:val="22"/>
              <w:lang w:eastAsia="en-AU"/>
            </w:rPr>
          </w:pPr>
          <w:hyperlink w:anchor="_Toc430091176" w:history="1">
            <w:r w:rsidR="00ED1E27" w:rsidRPr="0061785B">
              <w:rPr>
                <w:rStyle w:val="Hyperlink"/>
                <w:noProof/>
              </w:rPr>
              <w:t>Changes to Key Performance Indicators (KPIs) in 2014/15</w:t>
            </w:r>
            <w:r w:rsidR="00ED1E27">
              <w:rPr>
                <w:noProof/>
                <w:webHidden/>
              </w:rPr>
              <w:tab/>
            </w:r>
            <w:r w:rsidR="00ED1E27">
              <w:rPr>
                <w:noProof/>
                <w:webHidden/>
              </w:rPr>
              <w:fldChar w:fldCharType="begin"/>
            </w:r>
            <w:r w:rsidR="00ED1E27">
              <w:rPr>
                <w:noProof/>
                <w:webHidden/>
              </w:rPr>
              <w:instrText xml:space="preserve"> PAGEREF _Toc430091176 \h </w:instrText>
            </w:r>
            <w:r w:rsidR="00ED1E27">
              <w:rPr>
                <w:noProof/>
                <w:webHidden/>
              </w:rPr>
            </w:r>
            <w:r w:rsidR="00ED1E27">
              <w:rPr>
                <w:noProof/>
                <w:webHidden/>
              </w:rPr>
              <w:fldChar w:fldCharType="separate"/>
            </w:r>
            <w:r w:rsidR="004427AD">
              <w:rPr>
                <w:noProof/>
                <w:webHidden/>
              </w:rPr>
              <w:t>55</w:t>
            </w:r>
            <w:r w:rsidR="00ED1E27">
              <w:rPr>
                <w:noProof/>
                <w:webHidden/>
              </w:rPr>
              <w:fldChar w:fldCharType="end"/>
            </w:r>
          </w:hyperlink>
        </w:p>
        <w:p w14:paraId="13BB660E"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77" w:history="1">
            <w:r w:rsidR="00ED1E27" w:rsidRPr="0061785B">
              <w:rPr>
                <w:rStyle w:val="Hyperlink"/>
                <w:noProof/>
              </w:rPr>
              <w:t>Strategic Plan 2012 – 2015</w:t>
            </w:r>
            <w:r w:rsidR="00ED1E27">
              <w:rPr>
                <w:noProof/>
                <w:webHidden/>
              </w:rPr>
              <w:tab/>
            </w:r>
            <w:r w:rsidR="00ED1E27">
              <w:rPr>
                <w:noProof/>
                <w:webHidden/>
              </w:rPr>
              <w:fldChar w:fldCharType="begin"/>
            </w:r>
            <w:r w:rsidR="00ED1E27">
              <w:rPr>
                <w:noProof/>
                <w:webHidden/>
              </w:rPr>
              <w:instrText xml:space="preserve"> PAGEREF _Toc430091177 \h </w:instrText>
            </w:r>
            <w:r w:rsidR="00ED1E27">
              <w:rPr>
                <w:noProof/>
                <w:webHidden/>
              </w:rPr>
            </w:r>
            <w:r w:rsidR="00ED1E27">
              <w:rPr>
                <w:noProof/>
                <w:webHidden/>
              </w:rPr>
              <w:fldChar w:fldCharType="separate"/>
            </w:r>
            <w:r w:rsidR="004427AD">
              <w:rPr>
                <w:noProof/>
                <w:webHidden/>
              </w:rPr>
              <w:t>56</w:t>
            </w:r>
            <w:r w:rsidR="00ED1E27">
              <w:rPr>
                <w:noProof/>
                <w:webHidden/>
              </w:rPr>
              <w:fldChar w:fldCharType="end"/>
            </w:r>
          </w:hyperlink>
        </w:p>
        <w:p w14:paraId="1746DAF0" w14:textId="77777777" w:rsidR="00ED1E27" w:rsidRDefault="000C10D6">
          <w:pPr>
            <w:pStyle w:val="TOC3"/>
            <w:rPr>
              <w:rFonts w:asciiTheme="minorHAnsi" w:eastAsiaTheme="minorEastAsia" w:hAnsiTheme="minorHAnsi" w:cstheme="minorBidi"/>
              <w:noProof/>
              <w:sz w:val="22"/>
              <w:szCs w:val="22"/>
              <w:lang w:eastAsia="en-AU"/>
            </w:rPr>
          </w:pPr>
          <w:hyperlink w:anchor="_Toc430091178" w:history="1">
            <w:r w:rsidR="00ED1E27" w:rsidRPr="0061785B">
              <w:rPr>
                <w:rStyle w:val="Hyperlink"/>
                <w:noProof/>
              </w:rPr>
              <w:t>Outlook for the future</w:t>
            </w:r>
            <w:r w:rsidR="00ED1E27">
              <w:rPr>
                <w:noProof/>
                <w:webHidden/>
              </w:rPr>
              <w:tab/>
            </w:r>
            <w:r w:rsidR="00ED1E27">
              <w:rPr>
                <w:noProof/>
                <w:webHidden/>
              </w:rPr>
              <w:fldChar w:fldCharType="begin"/>
            </w:r>
            <w:r w:rsidR="00ED1E27">
              <w:rPr>
                <w:noProof/>
                <w:webHidden/>
              </w:rPr>
              <w:instrText xml:space="preserve"> PAGEREF _Toc430091178 \h </w:instrText>
            </w:r>
            <w:r w:rsidR="00ED1E27">
              <w:rPr>
                <w:noProof/>
                <w:webHidden/>
              </w:rPr>
            </w:r>
            <w:r w:rsidR="00ED1E27">
              <w:rPr>
                <w:noProof/>
                <w:webHidden/>
              </w:rPr>
              <w:fldChar w:fldCharType="separate"/>
            </w:r>
            <w:r w:rsidR="004427AD">
              <w:rPr>
                <w:noProof/>
                <w:webHidden/>
              </w:rPr>
              <w:t>57</w:t>
            </w:r>
            <w:r w:rsidR="00ED1E27">
              <w:rPr>
                <w:noProof/>
                <w:webHidden/>
              </w:rPr>
              <w:fldChar w:fldCharType="end"/>
            </w:r>
          </w:hyperlink>
        </w:p>
        <w:p w14:paraId="1449F757" w14:textId="77777777" w:rsidR="00ED1E27" w:rsidRDefault="000C10D6">
          <w:pPr>
            <w:pStyle w:val="TOC1"/>
            <w:rPr>
              <w:rFonts w:asciiTheme="minorHAnsi" w:eastAsiaTheme="minorEastAsia" w:hAnsiTheme="minorHAnsi" w:cstheme="minorBidi"/>
              <w:sz w:val="22"/>
              <w:szCs w:val="22"/>
              <w:lang w:eastAsia="en-AU"/>
            </w:rPr>
          </w:pPr>
          <w:hyperlink w:anchor="_Toc430091179" w:history="1">
            <w:r w:rsidR="00ED1E27" w:rsidRPr="00ED1E27">
              <w:rPr>
                <w:rStyle w:val="Strong"/>
              </w:rPr>
              <w:t>Section 2: Scheme Performance</w:t>
            </w:r>
            <w:r w:rsidR="00ED1E27">
              <w:rPr>
                <w:webHidden/>
              </w:rPr>
              <w:tab/>
            </w:r>
            <w:r w:rsidR="00ED1E27">
              <w:rPr>
                <w:webHidden/>
              </w:rPr>
              <w:fldChar w:fldCharType="begin"/>
            </w:r>
            <w:r w:rsidR="00ED1E27">
              <w:rPr>
                <w:webHidden/>
              </w:rPr>
              <w:instrText xml:space="preserve"> PAGEREF _Toc430091179 \h </w:instrText>
            </w:r>
            <w:r w:rsidR="00ED1E27">
              <w:rPr>
                <w:webHidden/>
              </w:rPr>
            </w:r>
            <w:r w:rsidR="00ED1E27">
              <w:rPr>
                <w:webHidden/>
              </w:rPr>
              <w:fldChar w:fldCharType="separate"/>
            </w:r>
            <w:r w:rsidR="004427AD">
              <w:rPr>
                <w:webHidden/>
              </w:rPr>
              <w:t>59</w:t>
            </w:r>
            <w:r w:rsidR="00ED1E27">
              <w:rPr>
                <w:webHidden/>
              </w:rPr>
              <w:fldChar w:fldCharType="end"/>
            </w:r>
          </w:hyperlink>
        </w:p>
        <w:p w14:paraId="74A28963" w14:textId="77777777" w:rsidR="00ED1E27" w:rsidRDefault="000C10D6">
          <w:pPr>
            <w:pStyle w:val="TOC1"/>
            <w:rPr>
              <w:rFonts w:asciiTheme="minorHAnsi" w:eastAsiaTheme="minorEastAsia" w:hAnsiTheme="minorHAnsi" w:cstheme="minorBidi"/>
              <w:sz w:val="22"/>
              <w:szCs w:val="22"/>
              <w:lang w:eastAsia="en-AU"/>
            </w:rPr>
          </w:pPr>
          <w:hyperlink w:anchor="_Toc430091180" w:history="1">
            <w:r w:rsidR="00ED1E27" w:rsidRPr="0061785B">
              <w:rPr>
                <w:rStyle w:val="Hyperlink"/>
              </w:rPr>
              <w:t>Open and transparent reporting</w:t>
            </w:r>
            <w:r w:rsidR="00ED1E27">
              <w:rPr>
                <w:webHidden/>
              </w:rPr>
              <w:tab/>
            </w:r>
            <w:r w:rsidR="00ED1E27">
              <w:rPr>
                <w:webHidden/>
              </w:rPr>
              <w:fldChar w:fldCharType="begin"/>
            </w:r>
            <w:r w:rsidR="00ED1E27">
              <w:rPr>
                <w:webHidden/>
              </w:rPr>
              <w:instrText xml:space="preserve"> PAGEREF _Toc430091180 \h </w:instrText>
            </w:r>
            <w:r w:rsidR="00ED1E27">
              <w:rPr>
                <w:webHidden/>
              </w:rPr>
            </w:r>
            <w:r w:rsidR="00ED1E27">
              <w:rPr>
                <w:webHidden/>
              </w:rPr>
              <w:fldChar w:fldCharType="separate"/>
            </w:r>
            <w:r w:rsidR="004427AD">
              <w:rPr>
                <w:webHidden/>
              </w:rPr>
              <w:t>59</w:t>
            </w:r>
            <w:r w:rsidR="00ED1E27">
              <w:rPr>
                <w:webHidden/>
              </w:rPr>
              <w:fldChar w:fldCharType="end"/>
            </w:r>
          </w:hyperlink>
        </w:p>
        <w:p w14:paraId="1A7D916E" w14:textId="77777777" w:rsidR="00ED1E27" w:rsidRDefault="000C10D6">
          <w:pPr>
            <w:pStyle w:val="TOC1"/>
            <w:rPr>
              <w:rFonts w:asciiTheme="minorHAnsi" w:eastAsiaTheme="minorEastAsia" w:hAnsiTheme="minorHAnsi" w:cstheme="minorBidi"/>
              <w:sz w:val="22"/>
              <w:szCs w:val="22"/>
              <w:lang w:eastAsia="en-AU"/>
            </w:rPr>
          </w:pPr>
          <w:hyperlink w:anchor="_Toc430091181" w:history="1">
            <w:r w:rsidR="00ED1E27" w:rsidRPr="0061785B">
              <w:rPr>
                <w:rStyle w:val="Hyperlink"/>
              </w:rPr>
              <w:t>Comparative overview</w:t>
            </w:r>
            <w:r w:rsidR="00ED1E27">
              <w:rPr>
                <w:webHidden/>
              </w:rPr>
              <w:tab/>
            </w:r>
            <w:r w:rsidR="00ED1E27">
              <w:rPr>
                <w:webHidden/>
              </w:rPr>
              <w:fldChar w:fldCharType="begin"/>
            </w:r>
            <w:r w:rsidR="00ED1E27">
              <w:rPr>
                <w:webHidden/>
              </w:rPr>
              <w:instrText xml:space="preserve"> PAGEREF _Toc430091181 \h </w:instrText>
            </w:r>
            <w:r w:rsidR="00ED1E27">
              <w:rPr>
                <w:webHidden/>
              </w:rPr>
            </w:r>
            <w:r w:rsidR="00ED1E27">
              <w:rPr>
                <w:webHidden/>
              </w:rPr>
              <w:fldChar w:fldCharType="separate"/>
            </w:r>
            <w:r w:rsidR="004427AD">
              <w:rPr>
                <w:webHidden/>
              </w:rPr>
              <w:t>60</w:t>
            </w:r>
            <w:r w:rsidR="00ED1E27">
              <w:rPr>
                <w:webHidden/>
              </w:rPr>
              <w:fldChar w:fldCharType="end"/>
            </w:r>
          </w:hyperlink>
        </w:p>
        <w:p w14:paraId="5E40E32E" w14:textId="77777777" w:rsidR="00ED1E27" w:rsidRDefault="000C10D6">
          <w:pPr>
            <w:pStyle w:val="TOC1"/>
            <w:rPr>
              <w:rFonts w:asciiTheme="minorHAnsi" w:eastAsiaTheme="minorEastAsia" w:hAnsiTheme="minorHAnsi" w:cstheme="minorBidi"/>
              <w:sz w:val="22"/>
              <w:szCs w:val="22"/>
              <w:lang w:eastAsia="en-AU"/>
            </w:rPr>
          </w:pPr>
          <w:hyperlink w:anchor="_Toc430091182" w:history="1">
            <w:r w:rsidR="00ED1E27" w:rsidRPr="0061785B">
              <w:rPr>
                <w:rStyle w:val="Hyperlink"/>
              </w:rPr>
              <w:t>2014/15 scheme performance report</w:t>
            </w:r>
            <w:r w:rsidR="00ED1E27">
              <w:rPr>
                <w:webHidden/>
              </w:rPr>
              <w:tab/>
            </w:r>
            <w:r w:rsidR="00ED1E27">
              <w:rPr>
                <w:webHidden/>
              </w:rPr>
              <w:fldChar w:fldCharType="begin"/>
            </w:r>
            <w:r w:rsidR="00ED1E27">
              <w:rPr>
                <w:webHidden/>
              </w:rPr>
              <w:instrText xml:space="preserve"> PAGEREF _Toc430091182 \h </w:instrText>
            </w:r>
            <w:r w:rsidR="00ED1E27">
              <w:rPr>
                <w:webHidden/>
              </w:rPr>
            </w:r>
            <w:r w:rsidR="00ED1E27">
              <w:rPr>
                <w:webHidden/>
              </w:rPr>
              <w:fldChar w:fldCharType="separate"/>
            </w:r>
            <w:r w:rsidR="004427AD">
              <w:rPr>
                <w:webHidden/>
              </w:rPr>
              <w:t>60</w:t>
            </w:r>
            <w:r w:rsidR="00ED1E27">
              <w:rPr>
                <w:webHidden/>
              </w:rPr>
              <w:fldChar w:fldCharType="end"/>
            </w:r>
          </w:hyperlink>
        </w:p>
        <w:p w14:paraId="7A583AB7"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83" w:history="1">
            <w:r w:rsidR="00ED1E27" w:rsidRPr="0061785B">
              <w:rPr>
                <w:rStyle w:val="Hyperlink"/>
                <w:noProof/>
                <w:lang w:val="en-US"/>
              </w:rPr>
              <w:t>Claim numbers</w:t>
            </w:r>
            <w:r w:rsidR="00ED1E27">
              <w:rPr>
                <w:noProof/>
                <w:webHidden/>
              </w:rPr>
              <w:tab/>
            </w:r>
            <w:r w:rsidR="00ED1E27">
              <w:rPr>
                <w:noProof/>
                <w:webHidden/>
              </w:rPr>
              <w:fldChar w:fldCharType="begin"/>
            </w:r>
            <w:r w:rsidR="00ED1E27">
              <w:rPr>
                <w:noProof/>
                <w:webHidden/>
              </w:rPr>
              <w:instrText xml:space="preserve"> PAGEREF _Toc430091183 \h </w:instrText>
            </w:r>
            <w:r w:rsidR="00ED1E27">
              <w:rPr>
                <w:noProof/>
                <w:webHidden/>
              </w:rPr>
            </w:r>
            <w:r w:rsidR="00ED1E27">
              <w:rPr>
                <w:noProof/>
                <w:webHidden/>
              </w:rPr>
              <w:fldChar w:fldCharType="separate"/>
            </w:r>
            <w:r w:rsidR="004427AD">
              <w:rPr>
                <w:noProof/>
                <w:webHidden/>
              </w:rPr>
              <w:t>60</w:t>
            </w:r>
            <w:r w:rsidR="00ED1E27">
              <w:rPr>
                <w:noProof/>
                <w:webHidden/>
              </w:rPr>
              <w:fldChar w:fldCharType="end"/>
            </w:r>
          </w:hyperlink>
        </w:p>
        <w:p w14:paraId="25D18AF9"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84" w:history="1">
            <w:r w:rsidR="00ED1E27" w:rsidRPr="0061785B">
              <w:rPr>
                <w:rStyle w:val="Hyperlink"/>
                <w:noProof/>
                <w:lang w:val="en-US"/>
              </w:rPr>
              <w:t>Claim trends</w:t>
            </w:r>
            <w:r w:rsidR="00ED1E27">
              <w:rPr>
                <w:noProof/>
                <w:webHidden/>
              </w:rPr>
              <w:tab/>
            </w:r>
            <w:r w:rsidR="00ED1E27">
              <w:rPr>
                <w:noProof/>
                <w:webHidden/>
              </w:rPr>
              <w:fldChar w:fldCharType="begin"/>
            </w:r>
            <w:r w:rsidR="00ED1E27">
              <w:rPr>
                <w:noProof/>
                <w:webHidden/>
              </w:rPr>
              <w:instrText xml:space="preserve"> PAGEREF _Toc430091184 \h </w:instrText>
            </w:r>
            <w:r w:rsidR="00ED1E27">
              <w:rPr>
                <w:noProof/>
                <w:webHidden/>
              </w:rPr>
            </w:r>
            <w:r w:rsidR="00ED1E27">
              <w:rPr>
                <w:noProof/>
                <w:webHidden/>
              </w:rPr>
              <w:fldChar w:fldCharType="separate"/>
            </w:r>
            <w:r w:rsidR="004427AD">
              <w:rPr>
                <w:noProof/>
                <w:webHidden/>
              </w:rPr>
              <w:t>61</w:t>
            </w:r>
            <w:r w:rsidR="00ED1E27">
              <w:rPr>
                <w:noProof/>
                <w:webHidden/>
              </w:rPr>
              <w:fldChar w:fldCharType="end"/>
            </w:r>
          </w:hyperlink>
        </w:p>
        <w:p w14:paraId="72CD3C1C"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85" w:history="1">
            <w:r w:rsidR="00ED1E27" w:rsidRPr="0061785B">
              <w:rPr>
                <w:rStyle w:val="Hyperlink"/>
                <w:noProof/>
                <w:lang w:val="en-US"/>
              </w:rPr>
              <w:t>Frequency rates</w:t>
            </w:r>
            <w:r w:rsidR="00ED1E27">
              <w:rPr>
                <w:noProof/>
                <w:webHidden/>
              </w:rPr>
              <w:tab/>
            </w:r>
            <w:r w:rsidR="00ED1E27">
              <w:rPr>
                <w:noProof/>
                <w:webHidden/>
              </w:rPr>
              <w:fldChar w:fldCharType="begin"/>
            </w:r>
            <w:r w:rsidR="00ED1E27">
              <w:rPr>
                <w:noProof/>
                <w:webHidden/>
              </w:rPr>
              <w:instrText xml:space="preserve"> PAGEREF _Toc430091185 \h </w:instrText>
            </w:r>
            <w:r w:rsidR="00ED1E27">
              <w:rPr>
                <w:noProof/>
                <w:webHidden/>
              </w:rPr>
            </w:r>
            <w:r w:rsidR="00ED1E27">
              <w:rPr>
                <w:noProof/>
                <w:webHidden/>
              </w:rPr>
              <w:fldChar w:fldCharType="separate"/>
            </w:r>
            <w:r w:rsidR="004427AD">
              <w:rPr>
                <w:noProof/>
                <w:webHidden/>
              </w:rPr>
              <w:t>63</w:t>
            </w:r>
            <w:r w:rsidR="00ED1E27">
              <w:rPr>
                <w:noProof/>
                <w:webHidden/>
              </w:rPr>
              <w:fldChar w:fldCharType="end"/>
            </w:r>
          </w:hyperlink>
        </w:p>
        <w:p w14:paraId="4687ED37" w14:textId="77777777" w:rsidR="00ED1E27" w:rsidRDefault="000C10D6">
          <w:pPr>
            <w:pStyle w:val="TOC3"/>
            <w:rPr>
              <w:rFonts w:asciiTheme="minorHAnsi" w:eastAsiaTheme="minorEastAsia" w:hAnsiTheme="minorHAnsi" w:cstheme="minorBidi"/>
              <w:noProof/>
              <w:sz w:val="22"/>
              <w:szCs w:val="22"/>
              <w:lang w:eastAsia="en-AU"/>
            </w:rPr>
          </w:pPr>
          <w:hyperlink w:anchor="_Toc430091186" w:history="1">
            <w:r w:rsidR="00ED1E27" w:rsidRPr="0061785B">
              <w:rPr>
                <w:rStyle w:val="Hyperlink"/>
                <w:noProof/>
                <w:lang w:val="en-US"/>
              </w:rPr>
              <w:t>Frequency of lost time claims by industry</w:t>
            </w:r>
            <w:r w:rsidR="00ED1E27">
              <w:rPr>
                <w:noProof/>
                <w:webHidden/>
              </w:rPr>
              <w:tab/>
            </w:r>
            <w:r w:rsidR="00ED1E27">
              <w:rPr>
                <w:noProof/>
                <w:webHidden/>
              </w:rPr>
              <w:fldChar w:fldCharType="begin"/>
            </w:r>
            <w:r w:rsidR="00ED1E27">
              <w:rPr>
                <w:noProof/>
                <w:webHidden/>
              </w:rPr>
              <w:instrText xml:space="preserve"> PAGEREF _Toc430091186 \h </w:instrText>
            </w:r>
            <w:r w:rsidR="00ED1E27">
              <w:rPr>
                <w:noProof/>
                <w:webHidden/>
              </w:rPr>
            </w:r>
            <w:r w:rsidR="00ED1E27">
              <w:rPr>
                <w:noProof/>
                <w:webHidden/>
              </w:rPr>
              <w:fldChar w:fldCharType="separate"/>
            </w:r>
            <w:r w:rsidR="004427AD">
              <w:rPr>
                <w:noProof/>
                <w:webHidden/>
              </w:rPr>
              <w:t>63</w:t>
            </w:r>
            <w:r w:rsidR="00ED1E27">
              <w:rPr>
                <w:noProof/>
                <w:webHidden/>
              </w:rPr>
              <w:fldChar w:fldCharType="end"/>
            </w:r>
          </w:hyperlink>
        </w:p>
        <w:p w14:paraId="67A43829"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87" w:history="1">
            <w:r w:rsidR="00ED1E27" w:rsidRPr="0061785B">
              <w:rPr>
                <w:rStyle w:val="Hyperlink"/>
                <w:noProof/>
                <w:lang w:val="en-US"/>
              </w:rPr>
              <w:t>Scheme payments 2014/15</w:t>
            </w:r>
            <w:r w:rsidR="00ED1E27">
              <w:rPr>
                <w:noProof/>
                <w:webHidden/>
              </w:rPr>
              <w:tab/>
            </w:r>
            <w:r w:rsidR="00ED1E27">
              <w:rPr>
                <w:noProof/>
                <w:webHidden/>
              </w:rPr>
              <w:fldChar w:fldCharType="begin"/>
            </w:r>
            <w:r w:rsidR="00ED1E27">
              <w:rPr>
                <w:noProof/>
                <w:webHidden/>
              </w:rPr>
              <w:instrText xml:space="preserve"> PAGEREF _Toc430091187 \h </w:instrText>
            </w:r>
            <w:r w:rsidR="00ED1E27">
              <w:rPr>
                <w:noProof/>
                <w:webHidden/>
              </w:rPr>
            </w:r>
            <w:r w:rsidR="00ED1E27">
              <w:rPr>
                <w:noProof/>
                <w:webHidden/>
              </w:rPr>
              <w:fldChar w:fldCharType="separate"/>
            </w:r>
            <w:r w:rsidR="004427AD">
              <w:rPr>
                <w:noProof/>
                <w:webHidden/>
              </w:rPr>
              <w:t>65</w:t>
            </w:r>
            <w:r w:rsidR="00ED1E27">
              <w:rPr>
                <w:noProof/>
                <w:webHidden/>
              </w:rPr>
              <w:fldChar w:fldCharType="end"/>
            </w:r>
          </w:hyperlink>
        </w:p>
        <w:p w14:paraId="220B6D4A"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88" w:history="1">
            <w:r w:rsidR="00ED1E27" w:rsidRPr="0061785B">
              <w:rPr>
                <w:rStyle w:val="Hyperlink"/>
                <w:noProof/>
                <w:lang w:val="en-US"/>
              </w:rPr>
              <w:t>Average recommended premium rates</w:t>
            </w:r>
            <w:r w:rsidR="00ED1E27">
              <w:rPr>
                <w:noProof/>
                <w:webHidden/>
              </w:rPr>
              <w:tab/>
            </w:r>
            <w:r w:rsidR="00ED1E27">
              <w:rPr>
                <w:noProof/>
                <w:webHidden/>
              </w:rPr>
              <w:fldChar w:fldCharType="begin"/>
            </w:r>
            <w:r w:rsidR="00ED1E27">
              <w:rPr>
                <w:noProof/>
                <w:webHidden/>
              </w:rPr>
              <w:instrText xml:space="preserve"> PAGEREF _Toc430091188 \h </w:instrText>
            </w:r>
            <w:r w:rsidR="00ED1E27">
              <w:rPr>
                <w:noProof/>
                <w:webHidden/>
              </w:rPr>
            </w:r>
            <w:r w:rsidR="00ED1E27">
              <w:rPr>
                <w:noProof/>
                <w:webHidden/>
              </w:rPr>
              <w:fldChar w:fldCharType="separate"/>
            </w:r>
            <w:r w:rsidR="004427AD">
              <w:rPr>
                <w:noProof/>
                <w:webHidden/>
              </w:rPr>
              <w:t>65</w:t>
            </w:r>
            <w:r w:rsidR="00ED1E27">
              <w:rPr>
                <w:noProof/>
                <w:webHidden/>
              </w:rPr>
              <w:fldChar w:fldCharType="end"/>
            </w:r>
          </w:hyperlink>
        </w:p>
        <w:p w14:paraId="2B6C750B"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89" w:history="1">
            <w:r w:rsidR="00ED1E27" w:rsidRPr="0061785B">
              <w:rPr>
                <w:rStyle w:val="Hyperlink"/>
                <w:noProof/>
              </w:rPr>
              <w:t>Scheme payments and premium</w:t>
            </w:r>
            <w:r w:rsidR="00ED1E27" w:rsidRPr="0061785B">
              <w:rPr>
                <w:rStyle w:val="Hyperlink"/>
                <w:noProof/>
                <w:lang w:val="en-US"/>
              </w:rPr>
              <w:t xml:space="preserve"> income</w:t>
            </w:r>
            <w:r w:rsidR="00ED1E27">
              <w:rPr>
                <w:noProof/>
                <w:webHidden/>
              </w:rPr>
              <w:tab/>
            </w:r>
            <w:r w:rsidR="00ED1E27">
              <w:rPr>
                <w:noProof/>
                <w:webHidden/>
              </w:rPr>
              <w:fldChar w:fldCharType="begin"/>
            </w:r>
            <w:r w:rsidR="00ED1E27">
              <w:rPr>
                <w:noProof/>
                <w:webHidden/>
              </w:rPr>
              <w:instrText xml:space="preserve"> PAGEREF _Toc430091189 \h </w:instrText>
            </w:r>
            <w:r w:rsidR="00ED1E27">
              <w:rPr>
                <w:noProof/>
                <w:webHidden/>
              </w:rPr>
            </w:r>
            <w:r w:rsidR="00ED1E27">
              <w:rPr>
                <w:noProof/>
                <w:webHidden/>
              </w:rPr>
              <w:fldChar w:fldCharType="separate"/>
            </w:r>
            <w:r w:rsidR="004427AD">
              <w:rPr>
                <w:noProof/>
                <w:webHidden/>
              </w:rPr>
              <w:t>66</w:t>
            </w:r>
            <w:r w:rsidR="00ED1E27">
              <w:rPr>
                <w:noProof/>
                <w:webHidden/>
              </w:rPr>
              <w:fldChar w:fldCharType="end"/>
            </w:r>
          </w:hyperlink>
        </w:p>
        <w:p w14:paraId="7AD2F39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90" w:history="1">
            <w:r w:rsidR="00ED1E27" w:rsidRPr="0061785B">
              <w:rPr>
                <w:rStyle w:val="Hyperlink"/>
                <w:noProof/>
                <w:lang w:val="en-US"/>
              </w:rPr>
              <w:t>Settlements</w:t>
            </w:r>
            <w:r w:rsidR="00ED1E27">
              <w:rPr>
                <w:noProof/>
                <w:webHidden/>
              </w:rPr>
              <w:tab/>
            </w:r>
            <w:r w:rsidR="00ED1E27">
              <w:rPr>
                <w:noProof/>
                <w:webHidden/>
              </w:rPr>
              <w:fldChar w:fldCharType="begin"/>
            </w:r>
            <w:r w:rsidR="00ED1E27">
              <w:rPr>
                <w:noProof/>
                <w:webHidden/>
              </w:rPr>
              <w:instrText xml:space="preserve"> PAGEREF _Toc430091190 \h </w:instrText>
            </w:r>
            <w:r w:rsidR="00ED1E27">
              <w:rPr>
                <w:noProof/>
                <w:webHidden/>
              </w:rPr>
            </w:r>
            <w:r w:rsidR="00ED1E27">
              <w:rPr>
                <w:noProof/>
                <w:webHidden/>
              </w:rPr>
              <w:fldChar w:fldCharType="separate"/>
            </w:r>
            <w:r w:rsidR="004427AD">
              <w:rPr>
                <w:noProof/>
                <w:webHidden/>
              </w:rPr>
              <w:t>67</w:t>
            </w:r>
            <w:r w:rsidR="00ED1E27">
              <w:rPr>
                <w:noProof/>
                <w:webHidden/>
              </w:rPr>
              <w:fldChar w:fldCharType="end"/>
            </w:r>
          </w:hyperlink>
        </w:p>
        <w:p w14:paraId="09D71A4F" w14:textId="77777777" w:rsidR="00ED1E27" w:rsidRDefault="000C10D6">
          <w:pPr>
            <w:pStyle w:val="TOC1"/>
            <w:rPr>
              <w:rFonts w:asciiTheme="minorHAnsi" w:eastAsiaTheme="minorEastAsia" w:hAnsiTheme="minorHAnsi" w:cstheme="minorBidi"/>
              <w:sz w:val="22"/>
              <w:szCs w:val="22"/>
              <w:lang w:eastAsia="en-AU"/>
            </w:rPr>
          </w:pPr>
          <w:hyperlink w:anchor="_Toc430091191" w:history="1">
            <w:r w:rsidR="00ED1E27" w:rsidRPr="00ED1E27">
              <w:rPr>
                <w:rStyle w:val="Strong"/>
              </w:rPr>
              <w:t>Section 3: Report on Operations</w:t>
            </w:r>
            <w:r w:rsidR="00ED1E27">
              <w:rPr>
                <w:webHidden/>
              </w:rPr>
              <w:tab/>
            </w:r>
            <w:r w:rsidR="00ED1E27">
              <w:rPr>
                <w:webHidden/>
              </w:rPr>
              <w:fldChar w:fldCharType="begin"/>
            </w:r>
            <w:r w:rsidR="00ED1E27">
              <w:rPr>
                <w:webHidden/>
              </w:rPr>
              <w:instrText xml:space="preserve"> PAGEREF _Toc430091191 \h </w:instrText>
            </w:r>
            <w:r w:rsidR="00ED1E27">
              <w:rPr>
                <w:webHidden/>
              </w:rPr>
            </w:r>
            <w:r w:rsidR="00ED1E27">
              <w:rPr>
                <w:webHidden/>
              </w:rPr>
              <w:fldChar w:fldCharType="separate"/>
            </w:r>
            <w:r w:rsidR="004427AD">
              <w:rPr>
                <w:webHidden/>
              </w:rPr>
              <w:t>68</w:t>
            </w:r>
            <w:r w:rsidR="00ED1E27">
              <w:rPr>
                <w:webHidden/>
              </w:rPr>
              <w:fldChar w:fldCharType="end"/>
            </w:r>
          </w:hyperlink>
        </w:p>
        <w:p w14:paraId="1C18FC54" w14:textId="77777777" w:rsidR="00ED1E27" w:rsidRDefault="000C10D6">
          <w:pPr>
            <w:pStyle w:val="TOC1"/>
            <w:rPr>
              <w:rFonts w:asciiTheme="minorHAnsi" w:eastAsiaTheme="minorEastAsia" w:hAnsiTheme="minorHAnsi" w:cstheme="minorBidi"/>
              <w:sz w:val="22"/>
              <w:szCs w:val="22"/>
              <w:lang w:eastAsia="en-AU"/>
            </w:rPr>
          </w:pPr>
          <w:hyperlink w:anchor="_Toc430091192" w:history="1">
            <w:r w:rsidR="00ED1E27" w:rsidRPr="0061785B">
              <w:rPr>
                <w:rStyle w:val="Hyperlink"/>
              </w:rPr>
              <w:t>Service 1: Scheme Regulation</w:t>
            </w:r>
            <w:r w:rsidR="00ED1E27">
              <w:rPr>
                <w:webHidden/>
              </w:rPr>
              <w:tab/>
            </w:r>
            <w:r w:rsidR="00ED1E27">
              <w:rPr>
                <w:webHidden/>
              </w:rPr>
              <w:fldChar w:fldCharType="begin"/>
            </w:r>
            <w:r w:rsidR="00ED1E27">
              <w:rPr>
                <w:webHidden/>
              </w:rPr>
              <w:instrText xml:space="preserve"> PAGEREF _Toc430091192 \h </w:instrText>
            </w:r>
            <w:r w:rsidR="00ED1E27">
              <w:rPr>
                <w:webHidden/>
              </w:rPr>
            </w:r>
            <w:r w:rsidR="00ED1E27">
              <w:rPr>
                <w:webHidden/>
              </w:rPr>
              <w:fldChar w:fldCharType="separate"/>
            </w:r>
            <w:r w:rsidR="004427AD">
              <w:rPr>
                <w:webHidden/>
              </w:rPr>
              <w:t>68</w:t>
            </w:r>
            <w:r w:rsidR="00ED1E27">
              <w:rPr>
                <w:webHidden/>
              </w:rPr>
              <w:fldChar w:fldCharType="end"/>
            </w:r>
          </w:hyperlink>
        </w:p>
        <w:p w14:paraId="0594DBC4" w14:textId="77777777" w:rsidR="00ED1E27" w:rsidRDefault="000C10D6">
          <w:pPr>
            <w:pStyle w:val="TOC1"/>
            <w:rPr>
              <w:rFonts w:asciiTheme="minorHAnsi" w:eastAsiaTheme="minorEastAsia" w:hAnsiTheme="minorHAnsi" w:cstheme="minorBidi"/>
              <w:sz w:val="22"/>
              <w:szCs w:val="22"/>
              <w:lang w:eastAsia="en-AU"/>
            </w:rPr>
          </w:pPr>
          <w:hyperlink w:anchor="_Toc430091193" w:history="1">
            <w:r w:rsidR="00ED1E27" w:rsidRPr="0061785B">
              <w:rPr>
                <w:rStyle w:val="Hyperlink"/>
              </w:rPr>
              <w:t>Regulating employers</w:t>
            </w:r>
            <w:r w:rsidR="00ED1E27">
              <w:rPr>
                <w:webHidden/>
              </w:rPr>
              <w:tab/>
            </w:r>
            <w:r w:rsidR="00ED1E27">
              <w:rPr>
                <w:webHidden/>
              </w:rPr>
              <w:fldChar w:fldCharType="begin"/>
            </w:r>
            <w:r w:rsidR="00ED1E27">
              <w:rPr>
                <w:webHidden/>
              </w:rPr>
              <w:instrText xml:space="preserve"> PAGEREF _Toc430091193 \h </w:instrText>
            </w:r>
            <w:r w:rsidR="00ED1E27">
              <w:rPr>
                <w:webHidden/>
              </w:rPr>
            </w:r>
            <w:r w:rsidR="00ED1E27">
              <w:rPr>
                <w:webHidden/>
              </w:rPr>
              <w:fldChar w:fldCharType="separate"/>
            </w:r>
            <w:r w:rsidR="004427AD">
              <w:rPr>
                <w:webHidden/>
              </w:rPr>
              <w:t>68</w:t>
            </w:r>
            <w:r w:rsidR="00ED1E27">
              <w:rPr>
                <w:webHidden/>
              </w:rPr>
              <w:fldChar w:fldCharType="end"/>
            </w:r>
          </w:hyperlink>
        </w:p>
        <w:p w14:paraId="3ABF98FD"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94" w:history="1">
            <w:r w:rsidR="00ED1E27" w:rsidRPr="0061785B">
              <w:rPr>
                <w:rStyle w:val="Hyperlink"/>
                <w:noProof/>
              </w:rPr>
              <w:t>Review of employer-focused compliance activities</w:t>
            </w:r>
            <w:r w:rsidR="00ED1E27">
              <w:rPr>
                <w:noProof/>
                <w:webHidden/>
              </w:rPr>
              <w:tab/>
            </w:r>
            <w:r w:rsidR="00ED1E27">
              <w:rPr>
                <w:noProof/>
                <w:webHidden/>
              </w:rPr>
              <w:fldChar w:fldCharType="begin"/>
            </w:r>
            <w:r w:rsidR="00ED1E27">
              <w:rPr>
                <w:noProof/>
                <w:webHidden/>
              </w:rPr>
              <w:instrText xml:space="preserve"> PAGEREF _Toc430091194 \h </w:instrText>
            </w:r>
            <w:r w:rsidR="00ED1E27">
              <w:rPr>
                <w:noProof/>
                <w:webHidden/>
              </w:rPr>
            </w:r>
            <w:r w:rsidR="00ED1E27">
              <w:rPr>
                <w:noProof/>
                <w:webHidden/>
              </w:rPr>
              <w:fldChar w:fldCharType="separate"/>
            </w:r>
            <w:r w:rsidR="004427AD">
              <w:rPr>
                <w:noProof/>
                <w:webHidden/>
              </w:rPr>
              <w:t>69</w:t>
            </w:r>
            <w:r w:rsidR="00ED1E27">
              <w:rPr>
                <w:noProof/>
                <w:webHidden/>
              </w:rPr>
              <w:fldChar w:fldCharType="end"/>
            </w:r>
          </w:hyperlink>
        </w:p>
        <w:p w14:paraId="635CF0E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95" w:history="1">
            <w:r w:rsidR="00ED1E27" w:rsidRPr="0061785B">
              <w:rPr>
                <w:rStyle w:val="Hyperlink"/>
                <w:noProof/>
              </w:rPr>
              <w:t>Targeting injury management &amp; return to work obligations</w:t>
            </w:r>
            <w:r w:rsidR="00ED1E27">
              <w:rPr>
                <w:noProof/>
                <w:webHidden/>
              </w:rPr>
              <w:tab/>
            </w:r>
            <w:r w:rsidR="00ED1E27">
              <w:rPr>
                <w:noProof/>
                <w:webHidden/>
              </w:rPr>
              <w:fldChar w:fldCharType="begin"/>
            </w:r>
            <w:r w:rsidR="00ED1E27">
              <w:rPr>
                <w:noProof/>
                <w:webHidden/>
              </w:rPr>
              <w:instrText xml:space="preserve"> PAGEREF _Toc430091195 \h </w:instrText>
            </w:r>
            <w:r w:rsidR="00ED1E27">
              <w:rPr>
                <w:noProof/>
                <w:webHidden/>
              </w:rPr>
            </w:r>
            <w:r w:rsidR="00ED1E27">
              <w:rPr>
                <w:noProof/>
                <w:webHidden/>
              </w:rPr>
              <w:fldChar w:fldCharType="separate"/>
            </w:r>
            <w:r w:rsidR="004427AD">
              <w:rPr>
                <w:noProof/>
                <w:webHidden/>
              </w:rPr>
              <w:t>70</w:t>
            </w:r>
            <w:r w:rsidR="00ED1E27">
              <w:rPr>
                <w:noProof/>
                <w:webHidden/>
              </w:rPr>
              <w:fldChar w:fldCharType="end"/>
            </w:r>
          </w:hyperlink>
        </w:p>
        <w:p w14:paraId="7F91F92C"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196" w:history="1">
            <w:r w:rsidR="00ED1E27" w:rsidRPr="0061785B">
              <w:rPr>
                <w:rStyle w:val="Hyperlink"/>
                <w:noProof/>
              </w:rPr>
              <w:t>Regional compliance visits</w:t>
            </w:r>
            <w:r w:rsidR="00ED1E27">
              <w:rPr>
                <w:noProof/>
                <w:webHidden/>
              </w:rPr>
              <w:tab/>
            </w:r>
            <w:r w:rsidR="00ED1E27">
              <w:rPr>
                <w:noProof/>
                <w:webHidden/>
              </w:rPr>
              <w:fldChar w:fldCharType="begin"/>
            </w:r>
            <w:r w:rsidR="00ED1E27">
              <w:rPr>
                <w:noProof/>
                <w:webHidden/>
              </w:rPr>
              <w:instrText xml:space="preserve"> PAGEREF _Toc430091196 \h </w:instrText>
            </w:r>
            <w:r w:rsidR="00ED1E27">
              <w:rPr>
                <w:noProof/>
                <w:webHidden/>
              </w:rPr>
            </w:r>
            <w:r w:rsidR="00ED1E27">
              <w:rPr>
                <w:noProof/>
                <w:webHidden/>
              </w:rPr>
              <w:fldChar w:fldCharType="separate"/>
            </w:r>
            <w:r w:rsidR="004427AD">
              <w:rPr>
                <w:noProof/>
                <w:webHidden/>
              </w:rPr>
              <w:t>70</w:t>
            </w:r>
            <w:r w:rsidR="00ED1E27">
              <w:rPr>
                <w:noProof/>
                <w:webHidden/>
              </w:rPr>
              <w:fldChar w:fldCharType="end"/>
            </w:r>
          </w:hyperlink>
        </w:p>
        <w:p w14:paraId="1E10FC7B" w14:textId="77777777" w:rsidR="00ED1E27" w:rsidRDefault="000C10D6">
          <w:pPr>
            <w:pStyle w:val="TOC3"/>
            <w:rPr>
              <w:rFonts w:asciiTheme="minorHAnsi" w:eastAsiaTheme="minorEastAsia" w:hAnsiTheme="minorHAnsi" w:cstheme="minorBidi"/>
              <w:noProof/>
              <w:sz w:val="22"/>
              <w:szCs w:val="22"/>
              <w:lang w:eastAsia="en-AU"/>
            </w:rPr>
          </w:pPr>
          <w:hyperlink w:anchor="_Toc430091197" w:history="1">
            <w:r w:rsidR="00ED1E27" w:rsidRPr="0061785B">
              <w:rPr>
                <w:rStyle w:val="Hyperlink"/>
                <w:noProof/>
              </w:rPr>
              <w:t>Albany and Denmark</w:t>
            </w:r>
            <w:r w:rsidR="00ED1E27">
              <w:rPr>
                <w:noProof/>
                <w:webHidden/>
              </w:rPr>
              <w:tab/>
            </w:r>
            <w:r w:rsidR="00ED1E27">
              <w:rPr>
                <w:noProof/>
                <w:webHidden/>
              </w:rPr>
              <w:fldChar w:fldCharType="begin"/>
            </w:r>
            <w:r w:rsidR="00ED1E27">
              <w:rPr>
                <w:noProof/>
                <w:webHidden/>
              </w:rPr>
              <w:instrText xml:space="preserve"> PAGEREF _Toc430091197 \h </w:instrText>
            </w:r>
            <w:r w:rsidR="00ED1E27">
              <w:rPr>
                <w:noProof/>
                <w:webHidden/>
              </w:rPr>
            </w:r>
            <w:r w:rsidR="00ED1E27">
              <w:rPr>
                <w:noProof/>
                <w:webHidden/>
              </w:rPr>
              <w:fldChar w:fldCharType="separate"/>
            </w:r>
            <w:r w:rsidR="004427AD">
              <w:rPr>
                <w:noProof/>
                <w:webHidden/>
              </w:rPr>
              <w:t>70</w:t>
            </w:r>
            <w:r w:rsidR="00ED1E27">
              <w:rPr>
                <w:noProof/>
                <w:webHidden/>
              </w:rPr>
              <w:fldChar w:fldCharType="end"/>
            </w:r>
          </w:hyperlink>
        </w:p>
        <w:p w14:paraId="0CB2B8F4" w14:textId="77777777" w:rsidR="00ED1E27" w:rsidRDefault="000C10D6">
          <w:pPr>
            <w:pStyle w:val="TOC3"/>
            <w:rPr>
              <w:rFonts w:asciiTheme="minorHAnsi" w:eastAsiaTheme="minorEastAsia" w:hAnsiTheme="minorHAnsi" w:cstheme="minorBidi"/>
              <w:noProof/>
              <w:sz w:val="22"/>
              <w:szCs w:val="22"/>
              <w:lang w:eastAsia="en-AU"/>
            </w:rPr>
          </w:pPr>
          <w:hyperlink w:anchor="_Toc430091198" w:history="1">
            <w:r w:rsidR="00ED1E27" w:rsidRPr="0061785B">
              <w:rPr>
                <w:rStyle w:val="Hyperlink"/>
                <w:rFonts w:eastAsiaTheme="majorEastAsia"/>
                <w:noProof/>
                <w:lang w:val="en-US" w:eastAsia="en-AU"/>
              </w:rPr>
              <w:t>Kalgoorlie-Boulder</w:t>
            </w:r>
            <w:r w:rsidR="00ED1E27">
              <w:rPr>
                <w:noProof/>
                <w:webHidden/>
              </w:rPr>
              <w:tab/>
            </w:r>
            <w:r w:rsidR="00ED1E27">
              <w:rPr>
                <w:noProof/>
                <w:webHidden/>
              </w:rPr>
              <w:fldChar w:fldCharType="begin"/>
            </w:r>
            <w:r w:rsidR="00ED1E27">
              <w:rPr>
                <w:noProof/>
                <w:webHidden/>
              </w:rPr>
              <w:instrText xml:space="preserve"> PAGEREF _Toc430091198 \h </w:instrText>
            </w:r>
            <w:r w:rsidR="00ED1E27">
              <w:rPr>
                <w:noProof/>
                <w:webHidden/>
              </w:rPr>
            </w:r>
            <w:r w:rsidR="00ED1E27">
              <w:rPr>
                <w:noProof/>
                <w:webHidden/>
              </w:rPr>
              <w:fldChar w:fldCharType="separate"/>
            </w:r>
            <w:r w:rsidR="004427AD">
              <w:rPr>
                <w:noProof/>
                <w:webHidden/>
              </w:rPr>
              <w:t>71</w:t>
            </w:r>
            <w:r w:rsidR="00ED1E27">
              <w:rPr>
                <w:noProof/>
                <w:webHidden/>
              </w:rPr>
              <w:fldChar w:fldCharType="end"/>
            </w:r>
          </w:hyperlink>
        </w:p>
        <w:p w14:paraId="3F6E19F2" w14:textId="77777777" w:rsidR="00ED1E27" w:rsidRDefault="000C10D6">
          <w:pPr>
            <w:pStyle w:val="TOC3"/>
            <w:rPr>
              <w:rFonts w:asciiTheme="minorHAnsi" w:eastAsiaTheme="minorEastAsia" w:hAnsiTheme="minorHAnsi" w:cstheme="minorBidi"/>
              <w:noProof/>
              <w:sz w:val="22"/>
              <w:szCs w:val="22"/>
              <w:lang w:eastAsia="en-AU"/>
            </w:rPr>
          </w:pPr>
          <w:hyperlink w:anchor="_Toc430091199" w:history="1">
            <w:r w:rsidR="00ED1E27" w:rsidRPr="0061785B">
              <w:rPr>
                <w:rStyle w:val="Hyperlink"/>
                <w:noProof/>
              </w:rPr>
              <w:t>Case Study 1 – Regional compliance activities (Kalgoorlie)</w:t>
            </w:r>
            <w:r w:rsidR="00ED1E27">
              <w:rPr>
                <w:noProof/>
                <w:webHidden/>
              </w:rPr>
              <w:tab/>
            </w:r>
            <w:r w:rsidR="00ED1E27">
              <w:rPr>
                <w:noProof/>
                <w:webHidden/>
              </w:rPr>
              <w:fldChar w:fldCharType="begin"/>
            </w:r>
            <w:r w:rsidR="00ED1E27">
              <w:rPr>
                <w:noProof/>
                <w:webHidden/>
              </w:rPr>
              <w:instrText xml:space="preserve"> PAGEREF _Toc430091199 \h </w:instrText>
            </w:r>
            <w:r w:rsidR="00ED1E27">
              <w:rPr>
                <w:noProof/>
                <w:webHidden/>
              </w:rPr>
            </w:r>
            <w:r w:rsidR="00ED1E27">
              <w:rPr>
                <w:noProof/>
                <w:webHidden/>
              </w:rPr>
              <w:fldChar w:fldCharType="separate"/>
            </w:r>
            <w:r w:rsidR="004427AD">
              <w:rPr>
                <w:noProof/>
                <w:webHidden/>
              </w:rPr>
              <w:t>72</w:t>
            </w:r>
            <w:r w:rsidR="00ED1E27">
              <w:rPr>
                <w:noProof/>
                <w:webHidden/>
              </w:rPr>
              <w:fldChar w:fldCharType="end"/>
            </w:r>
          </w:hyperlink>
        </w:p>
        <w:p w14:paraId="7DE62051"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00" w:history="1">
            <w:r w:rsidR="00ED1E27" w:rsidRPr="0061785B">
              <w:rPr>
                <w:rStyle w:val="Hyperlink"/>
                <w:noProof/>
              </w:rPr>
              <w:t>Acting on noise-induced hearing loss</w:t>
            </w:r>
            <w:r w:rsidR="00ED1E27">
              <w:rPr>
                <w:noProof/>
                <w:webHidden/>
              </w:rPr>
              <w:tab/>
            </w:r>
            <w:r w:rsidR="00ED1E27">
              <w:rPr>
                <w:noProof/>
                <w:webHidden/>
              </w:rPr>
              <w:fldChar w:fldCharType="begin"/>
            </w:r>
            <w:r w:rsidR="00ED1E27">
              <w:rPr>
                <w:noProof/>
                <w:webHidden/>
              </w:rPr>
              <w:instrText xml:space="preserve"> PAGEREF _Toc430091200 \h </w:instrText>
            </w:r>
            <w:r w:rsidR="00ED1E27">
              <w:rPr>
                <w:noProof/>
                <w:webHidden/>
              </w:rPr>
            </w:r>
            <w:r w:rsidR="00ED1E27">
              <w:rPr>
                <w:noProof/>
                <w:webHidden/>
              </w:rPr>
              <w:fldChar w:fldCharType="separate"/>
            </w:r>
            <w:r w:rsidR="004427AD">
              <w:rPr>
                <w:noProof/>
                <w:webHidden/>
              </w:rPr>
              <w:t>73</w:t>
            </w:r>
            <w:r w:rsidR="00ED1E27">
              <w:rPr>
                <w:noProof/>
                <w:webHidden/>
              </w:rPr>
              <w:fldChar w:fldCharType="end"/>
            </w:r>
          </w:hyperlink>
        </w:p>
        <w:p w14:paraId="0072C79A" w14:textId="77777777" w:rsidR="00ED1E27" w:rsidRDefault="000C10D6">
          <w:pPr>
            <w:pStyle w:val="TOC1"/>
            <w:rPr>
              <w:rFonts w:asciiTheme="minorHAnsi" w:eastAsiaTheme="minorEastAsia" w:hAnsiTheme="minorHAnsi" w:cstheme="minorBidi"/>
              <w:sz w:val="22"/>
              <w:szCs w:val="22"/>
              <w:lang w:eastAsia="en-AU"/>
            </w:rPr>
          </w:pPr>
          <w:hyperlink w:anchor="_Toc430091201" w:history="1">
            <w:r w:rsidR="00ED1E27" w:rsidRPr="0061785B">
              <w:rPr>
                <w:rStyle w:val="Hyperlink"/>
                <w:lang w:val="en-US"/>
              </w:rPr>
              <w:t>Regulating service providers</w:t>
            </w:r>
            <w:r w:rsidR="00ED1E27">
              <w:rPr>
                <w:webHidden/>
              </w:rPr>
              <w:tab/>
            </w:r>
            <w:r w:rsidR="00ED1E27">
              <w:rPr>
                <w:webHidden/>
              </w:rPr>
              <w:fldChar w:fldCharType="begin"/>
            </w:r>
            <w:r w:rsidR="00ED1E27">
              <w:rPr>
                <w:webHidden/>
              </w:rPr>
              <w:instrText xml:space="preserve"> PAGEREF _Toc430091201 \h </w:instrText>
            </w:r>
            <w:r w:rsidR="00ED1E27">
              <w:rPr>
                <w:webHidden/>
              </w:rPr>
            </w:r>
            <w:r w:rsidR="00ED1E27">
              <w:rPr>
                <w:webHidden/>
              </w:rPr>
              <w:fldChar w:fldCharType="separate"/>
            </w:r>
            <w:r w:rsidR="004427AD">
              <w:rPr>
                <w:webHidden/>
              </w:rPr>
              <w:t>74</w:t>
            </w:r>
            <w:r w:rsidR="00ED1E27">
              <w:rPr>
                <w:webHidden/>
              </w:rPr>
              <w:fldChar w:fldCharType="end"/>
            </w:r>
          </w:hyperlink>
        </w:p>
        <w:p w14:paraId="4E60224E" w14:textId="77777777" w:rsidR="00ED1E27" w:rsidRDefault="000C10D6">
          <w:pPr>
            <w:pStyle w:val="TOC3"/>
            <w:rPr>
              <w:rFonts w:asciiTheme="minorHAnsi" w:eastAsiaTheme="minorEastAsia" w:hAnsiTheme="minorHAnsi" w:cstheme="minorBidi"/>
              <w:noProof/>
              <w:sz w:val="22"/>
              <w:szCs w:val="22"/>
              <w:lang w:eastAsia="en-AU"/>
            </w:rPr>
          </w:pPr>
          <w:hyperlink w:anchor="_Toc430091202" w:history="1">
            <w:r w:rsidR="00ED1E27" w:rsidRPr="0061785B">
              <w:rPr>
                <w:rStyle w:val="Hyperlink"/>
                <w:noProof/>
              </w:rPr>
              <w:t>Complaints about service providers</w:t>
            </w:r>
            <w:r w:rsidR="00ED1E27">
              <w:rPr>
                <w:noProof/>
                <w:webHidden/>
              </w:rPr>
              <w:tab/>
            </w:r>
            <w:r w:rsidR="00ED1E27">
              <w:rPr>
                <w:noProof/>
                <w:webHidden/>
              </w:rPr>
              <w:fldChar w:fldCharType="begin"/>
            </w:r>
            <w:r w:rsidR="00ED1E27">
              <w:rPr>
                <w:noProof/>
                <w:webHidden/>
              </w:rPr>
              <w:instrText xml:space="preserve"> PAGEREF _Toc430091202 \h </w:instrText>
            </w:r>
            <w:r w:rsidR="00ED1E27">
              <w:rPr>
                <w:noProof/>
                <w:webHidden/>
              </w:rPr>
            </w:r>
            <w:r w:rsidR="00ED1E27">
              <w:rPr>
                <w:noProof/>
                <w:webHidden/>
              </w:rPr>
              <w:fldChar w:fldCharType="separate"/>
            </w:r>
            <w:r w:rsidR="004427AD">
              <w:rPr>
                <w:noProof/>
                <w:webHidden/>
              </w:rPr>
              <w:t>76</w:t>
            </w:r>
            <w:r w:rsidR="00ED1E27">
              <w:rPr>
                <w:noProof/>
                <w:webHidden/>
              </w:rPr>
              <w:fldChar w:fldCharType="end"/>
            </w:r>
          </w:hyperlink>
        </w:p>
        <w:p w14:paraId="5910EF7D"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03" w:history="1">
            <w:r w:rsidR="00ED1E27" w:rsidRPr="0061785B">
              <w:rPr>
                <w:rStyle w:val="Hyperlink"/>
                <w:noProof/>
                <w:lang w:val="en-US"/>
              </w:rPr>
              <w:t>Insurers and self-insurers</w:t>
            </w:r>
            <w:r w:rsidR="00ED1E27">
              <w:rPr>
                <w:noProof/>
                <w:webHidden/>
              </w:rPr>
              <w:tab/>
            </w:r>
            <w:r w:rsidR="00ED1E27">
              <w:rPr>
                <w:noProof/>
                <w:webHidden/>
              </w:rPr>
              <w:fldChar w:fldCharType="begin"/>
            </w:r>
            <w:r w:rsidR="00ED1E27">
              <w:rPr>
                <w:noProof/>
                <w:webHidden/>
              </w:rPr>
              <w:instrText xml:space="preserve"> PAGEREF _Toc430091203 \h </w:instrText>
            </w:r>
            <w:r w:rsidR="00ED1E27">
              <w:rPr>
                <w:noProof/>
                <w:webHidden/>
              </w:rPr>
            </w:r>
            <w:r w:rsidR="00ED1E27">
              <w:rPr>
                <w:noProof/>
                <w:webHidden/>
              </w:rPr>
              <w:fldChar w:fldCharType="separate"/>
            </w:r>
            <w:r w:rsidR="004427AD">
              <w:rPr>
                <w:noProof/>
                <w:webHidden/>
              </w:rPr>
              <w:t>77</w:t>
            </w:r>
            <w:r w:rsidR="00ED1E27">
              <w:rPr>
                <w:noProof/>
                <w:webHidden/>
              </w:rPr>
              <w:fldChar w:fldCharType="end"/>
            </w:r>
          </w:hyperlink>
        </w:p>
        <w:p w14:paraId="79C07BF4" w14:textId="77777777" w:rsidR="00ED1E27" w:rsidRDefault="000C10D6">
          <w:pPr>
            <w:pStyle w:val="TOC3"/>
            <w:rPr>
              <w:rFonts w:asciiTheme="minorHAnsi" w:eastAsiaTheme="minorEastAsia" w:hAnsiTheme="minorHAnsi" w:cstheme="minorBidi"/>
              <w:noProof/>
              <w:sz w:val="22"/>
              <w:szCs w:val="22"/>
              <w:lang w:eastAsia="en-AU"/>
            </w:rPr>
          </w:pPr>
          <w:hyperlink w:anchor="_Toc430091204" w:history="1">
            <w:r w:rsidR="00ED1E27" w:rsidRPr="0061785B">
              <w:rPr>
                <w:rStyle w:val="Hyperlink"/>
                <w:noProof/>
              </w:rPr>
              <w:t>Insurer monitoring</w:t>
            </w:r>
            <w:r w:rsidR="00ED1E27">
              <w:rPr>
                <w:noProof/>
                <w:webHidden/>
              </w:rPr>
              <w:tab/>
            </w:r>
            <w:r w:rsidR="00ED1E27">
              <w:rPr>
                <w:noProof/>
                <w:webHidden/>
              </w:rPr>
              <w:fldChar w:fldCharType="begin"/>
            </w:r>
            <w:r w:rsidR="00ED1E27">
              <w:rPr>
                <w:noProof/>
                <w:webHidden/>
              </w:rPr>
              <w:instrText xml:space="preserve"> PAGEREF _Toc430091204 \h </w:instrText>
            </w:r>
            <w:r w:rsidR="00ED1E27">
              <w:rPr>
                <w:noProof/>
                <w:webHidden/>
              </w:rPr>
            </w:r>
            <w:r w:rsidR="00ED1E27">
              <w:rPr>
                <w:noProof/>
                <w:webHidden/>
              </w:rPr>
              <w:fldChar w:fldCharType="separate"/>
            </w:r>
            <w:r w:rsidR="004427AD">
              <w:rPr>
                <w:noProof/>
                <w:webHidden/>
              </w:rPr>
              <w:t>77</w:t>
            </w:r>
            <w:r w:rsidR="00ED1E27">
              <w:rPr>
                <w:noProof/>
                <w:webHidden/>
              </w:rPr>
              <w:fldChar w:fldCharType="end"/>
            </w:r>
          </w:hyperlink>
        </w:p>
        <w:p w14:paraId="68602EE8" w14:textId="77777777" w:rsidR="00ED1E27" w:rsidRDefault="000C10D6">
          <w:pPr>
            <w:pStyle w:val="TOC3"/>
            <w:rPr>
              <w:rFonts w:asciiTheme="minorHAnsi" w:eastAsiaTheme="minorEastAsia" w:hAnsiTheme="minorHAnsi" w:cstheme="minorBidi"/>
              <w:noProof/>
              <w:sz w:val="22"/>
              <w:szCs w:val="22"/>
              <w:lang w:eastAsia="en-AU"/>
            </w:rPr>
          </w:pPr>
          <w:hyperlink w:anchor="_Toc430091205" w:history="1">
            <w:r w:rsidR="00ED1E27" w:rsidRPr="0061785B">
              <w:rPr>
                <w:rStyle w:val="Hyperlink"/>
                <w:noProof/>
              </w:rPr>
              <w:t>Insurer complaints</w:t>
            </w:r>
            <w:r w:rsidR="00ED1E27">
              <w:rPr>
                <w:noProof/>
                <w:webHidden/>
              </w:rPr>
              <w:tab/>
            </w:r>
            <w:r w:rsidR="00ED1E27">
              <w:rPr>
                <w:noProof/>
                <w:webHidden/>
              </w:rPr>
              <w:fldChar w:fldCharType="begin"/>
            </w:r>
            <w:r w:rsidR="00ED1E27">
              <w:rPr>
                <w:noProof/>
                <w:webHidden/>
              </w:rPr>
              <w:instrText xml:space="preserve"> PAGEREF _Toc430091205 \h </w:instrText>
            </w:r>
            <w:r w:rsidR="00ED1E27">
              <w:rPr>
                <w:noProof/>
                <w:webHidden/>
              </w:rPr>
            </w:r>
            <w:r w:rsidR="00ED1E27">
              <w:rPr>
                <w:noProof/>
                <w:webHidden/>
              </w:rPr>
              <w:fldChar w:fldCharType="separate"/>
            </w:r>
            <w:r w:rsidR="004427AD">
              <w:rPr>
                <w:noProof/>
                <w:webHidden/>
              </w:rPr>
              <w:t>77</w:t>
            </w:r>
            <w:r w:rsidR="00ED1E27">
              <w:rPr>
                <w:noProof/>
                <w:webHidden/>
              </w:rPr>
              <w:fldChar w:fldCharType="end"/>
            </w:r>
          </w:hyperlink>
        </w:p>
        <w:p w14:paraId="4CF47071"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06" w:history="1">
            <w:r w:rsidR="00ED1E27" w:rsidRPr="0061785B">
              <w:rPr>
                <w:rStyle w:val="Hyperlink"/>
                <w:noProof/>
                <w:lang w:val="en-US"/>
              </w:rPr>
              <w:t>Registered agents</w:t>
            </w:r>
            <w:r w:rsidR="00ED1E27">
              <w:rPr>
                <w:noProof/>
                <w:webHidden/>
              </w:rPr>
              <w:tab/>
            </w:r>
            <w:r w:rsidR="00ED1E27">
              <w:rPr>
                <w:noProof/>
                <w:webHidden/>
              </w:rPr>
              <w:fldChar w:fldCharType="begin"/>
            </w:r>
            <w:r w:rsidR="00ED1E27">
              <w:rPr>
                <w:noProof/>
                <w:webHidden/>
              </w:rPr>
              <w:instrText xml:space="preserve"> PAGEREF _Toc430091206 \h </w:instrText>
            </w:r>
            <w:r w:rsidR="00ED1E27">
              <w:rPr>
                <w:noProof/>
                <w:webHidden/>
              </w:rPr>
            </w:r>
            <w:r w:rsidR="00ED1E27">
              <w:rPr>
                <w:noProof/>
                <w:webHidden/>
              </w:rPr>
              <w:fldChar w:fldCharType="separate"/>
            </w:r>
            <w:r w:rsidR="004427AD">
              <w:rPr>
                <w:noProof/>
                <w:webHidden/>
              </w:rPr>
              <w:t>78</w:t>
            </w:r>
            <w:r w:rsidR="00ED1E27">
              <w:rPr>
                <w:noProof/>
                <w:webHidden/>
              </w:rPr>
              <w:fldChar w:fldCharType="end"/>
            </w:r>
          </w:hyperlink>
        </w:p>
        <w:p w14:paraId="588A8A0C" w14:textId="77777777" w:rsidR="00ED1E27" w:rsidRDefault="000C10D6">
          <w:pPr>
            <w:pStyle w:val="TOC3"/>
            <w:rPr>
              <w:rFonts w:asciiTheme="minorHAnsi" w:eastAsiaTheme="minorEastAsia" w:hAnsiTheme="minorHAnsi" w:cstheme="minorBidi"/>
              <w:noProof/>
              <w:sz w:val="22"/>
              <w:szCs w:val="22"/>
              <w:lang w:eastAsia="en-AU"/>
            </w:rPr>
          </w:pPr>
          <w:hyperlink w:anchor="_Toc430091207" w:history="1">
            <w:r w:rsidR="00ED1E27" w:rsidRPr="0061785B">
              <w:rPr>
                <w:rStyle w:val="Hyperlink"/>
                <w:noProof/>
              </w:rPr>
              <w:t>Registered agent complaints</w:t>
            </w:r>
            <w:r w:rsidR="00ED1E27">
              <w:rPr>
                <w:noProof/>
                <w:webHidden/>
              </w:rPr>
              <w:tab/>
            </w:r>
            <w:r w:rsidR="00ED1E27">
              <w:rPr>
                <w:noProof/>
                <w:webHidden/>
              </w:rPr>
              <w:fldChar w:fldCharType="begin"/>
            </w:r>
            <w:r w:rsidR="00ED1E27">
              <w:rPr>
                <w:noProof/>
                <w:webHidden/>
              </w:rPr>
              <w:instrText xml:space="preserve"> PAGEREF _Toc430091207 \h </w:instrText>
            </w:r>
            <w:r w:rsidR="00ED1E27">
              <w:rPr>
                <w:noProof/>
                <w:webHidden/>
              </w:rPr>
            </w:r>
            <w:r w:rsidR="00ED1E27">
              <w:rPr>
                <w:noProof/>
                <w:webHidden/>
              </w:rPr>
              <w:fldChar w:fldCharType="separate"/>
            </w:r>
            <w:r w:rsidR="004427AD">
              <w:rPr>
                <w:noProof/>
                <w:webHidden/>
              </w:rPr>
              <w:t>78</w:t>
            </w:r>
            <w:r w:rsidR="00ED1E27">
              <w:rPr>
                <w:noProof/>
                <w:webHidden/>
              </w:rPr>
              <w:fldChar w:fldCharType="end"/>
            </w:r>
          </w:hyperlink>
        </w:p>
        <w:p w14:paraId="55DED6E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08" w:history="1">
            <w:r w:rsidR="00ED1E27" w:rsidRPr="0061785B">
              <w:rPr>
                <w:rStyle w:val="Hyperlink"/>
                <w:noProof/>
                <w:lang w:val="en-US"/>
              </w:rPr>
              <w:t>Workplace rehabilitation providers</w:t>
            </w:r>
            <w:r w:rsidR="00ED1E27">
              <w:rPr>
                <w:noProof/>
                <w:webHidden/>
              </w:rPr>
              <w:tab/>
            </w:r>
            <w:r w:rsidR="00ED1E27">
              <w:rPr>
                <w:noProof/>
                <w:webHidden/>
              </w:rPr>
              <w:fldChar w:fldCharType="begin"/>
            </w:r>
            <w:r w:rsidR="00ED1E27">
              <w:rPr>
                <w:noProof/>
                <w:webHidden/>
              </w:rPr>
              <w:instrText xml:space="preserve"> PAGEREF _Toc430091208 \h </w:instrText>
            </w:r>
            <w:r w:rsidR="00ED1E27">
              <w:rPr>
                <w:noProof/>
                <w:webHidden/>
              </w:rPr>
            </w:r>
            <w:r w:rsidR="00ED1E27">
              <w:rPr>
                <w:noProof/>
                <w:webHidden/>
              </w:rPr>
              <w:fldChar w:fldCharType="separate"/>
            </w:r>
            <w:r w:rsidR="004427AD">
              <w:rPr>
                <w:noProof/>
                <w:webHidden/>
              </w:rPr>
              <w:t>78</w:t>
            </w:r>
            <w:r w:rsidR="00ED1E27">
              <w:rPr>
                <w:noProof/>
                <w:webHidden/>
              </w:rPr>
              <w:fldChar w:fldCharType="end"/>
            </w:r>
          </w:hyperlink>
        </w:p>
        <w:p w14:paraId="60E684DA" w14:textId="77777777" w:rsidR="00ED1E27" w:rsidRDefault="000C10D6">
          <w:pPr>
            <w:pStyle w:val="TOC3"/>
            <w:rPr>
              <w:rFonts w:asciiTheme="minorHAnsi" w:eastAsiaTheme="minorEastAsia" w:hAnsiTheme="minorHAnsi" w:cstheme="minorBidi"/>
              <w:noProof/>
              <w:sz w:val="22"/>
              <w:szCs w:val="22"/>
              <w:lang w:eastAsia="en-AU"/>
            </w:rPr>
          </w:pPr>
          <w:hyperlink w:anchor="_Toc430091209" w:history="1">
            <w:r w:rsidR="00ED1E27" w:rsidRPr="0061785B">
              <w:rPr>
                <w:rStyle w:val="Hyperlink"/>
                <w:noProof/>
              </w:rPr>
              <w:t>Audit framework</w:t>
            </w:r>
            <w:r w:rsidR="00ED1E27">
              <w:rPr>
                <w:noProof/>
                <w:webHidden/>
              </w:rPr>
              <w:tab/>
            </w:r>
            <w:r w:rsidR="00ED1E27">
              <w:rPr>
                <w:noProof/>
                <w:webHidden/>
              </w:rPr>
              <w:fldChar w:fldCharType="begin"/>
            </w:r>
            <w:r w:rsidR="00ED1E27">
              <w:rPr>
                <w:noProof/>
                <w:webHidden/>
              </w:rPr>
              <w:instrText xml:space="preserve"> PAGEREF _Toc430091209 \h </w:instrText>
            </w:r>
            <w:r w:rsidR="00ED1E27">
              <w:rPr>
                <w:noProof/>
                <w:webHidden/>
              </w:rPr>
            </w:r>
            <w:r w:rsidR="00ED1E27">
              <w:rPr>
                <w:noProof/>
                <w:webHidden/>
              </w:rPr>
              <w:fldChar w:fldCharType="separate"/>
            </w:r>
            <w:r w:rsidR="004427AD">
              <w:rPr>
                <w:noProof/>
                <w:webHidden/>
              </w:rPr>
              <w:t>78</w:t>
            </w:r>
            <w:r w:rsidR="00ED1E27">
              <w:rPr>
                <w:noProof/>
                <w:webHidden/>
              </w:rPr>
              <w:fldChar w:fldCharType="end"/>
            </w:r>
          </w:hyperlink>
        </w:p>
        <w:p w14:paraId="0683767E" w14:textId="77777777" w:rsidR="00ED1E27" w:rsidRDefault="000C10D6">
          <w:pPr>
            <w:pStyle w:val="TOC3"/>
            <w:rPr>
              <w:rFonts w:asciiTheme="minorHAnsi" w:eastAsiaTheme="minorEastAsia" w:hAnsiTheme="minorHAnsi" w:cstheme="minorBidi"/>
              <w:noProof/>
              <w:sz w:val="22"/>
              <w:szCs w:val="22"/>
              <w:lang w:eastAsia="en-AU"/>
            </w:rPr>
          </w:pPr>
          <w:hyperlink w:anchor="_Toc430091210" w:history="1">
            <w:r w:rsidR="00ED1E27" w:rsidRPr="0061785B">
              <w:rPr>
                <w:rStyle w:val="Hyperlink"/>
                <w:noProof/>
              </w:rPr>
              <w:t>Workplace rehabilitation provider complaints</w:t>
            </w:r>
            <w:r w:rsidR="00ED1E27">
              <w:rPr>
                <w:noProof/>
                <w:webHidden/>
              </w:rPr>
              <w:tab/>
            </w:r>
            <w:r w:rsidR="00ED1E27">
              <w:rPr>
                <w:noProof/>
                <w:webHidden/>
              </w:rPr>
              <w:fldChar w:fldCharType="begin"/>
            </w:r>
            <w:r w:rsidR="00ED1E27">
              <w:rPr>
                <w:noProof/>
                <w:webHidden/>
              </w:rPr>
              <w:instrText xml:space="preserve"> PAGEREF _Toc430091210 \h </w:instrText>
            </w:r>
            <w:r w:rsidR="00ED1E27">
              <w:rPr>
                <w:noProof/>
                <w:webHidden/>
              </w:rPr>
            </w:r>
            <w:r w:rsidR="00ED1E27">
              <w:rPr>
                <w:noProof/>
                <w:webHidden/>
              </w:rPr>
              <w:fldChar w:fldCharType="separate"/>
            </w:r>
            <w:r w:rsidR="004427AD">
              <w:rPr>
                <w:noProof/>
                <w:webHidden/>
              </w:rPr>
              <w:t>78</w:t>
            </w:r>
            <w:r w:rsidR="00ED1E27">
              <w:rPr>
                <w:noProof/>
                <w:webHidden/>
              </w:rPr>
              <w:fldChar w:fldCharType="end"/>
            </w:r>
          </w:hyperlink>
        </w:p>
        <w:p w14:paraId="7C656456"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11" w:history="1">
            <w:r w:rsidR="00ED1E27" w:rsidRPr="0061785B">
              <w:rPr>
                <w:rStyle w:val="Hyperlink"/>
                <w:noProof/>
              </w:rPr>
              <w:t>Approved audiometric officers</w:t>
            </w:r>
            <w:r w:rsidR="00ED1E27">
              <w:rPr>
                <w:noProof/>
                <w:webHidden/>
              </w:rPr>
              <w:tab/>
            </w:r>
            <w:r w:rsidR="00ED1E27">
              <w:rPr>
                <w:noProof/>
                <w:webHidden/>
              </w:rPr>
              <w:fldChar w:fldCharType="begin"/>
            </w:r>
            <w:r w:rsidR="00ED1E27">
              <w:rPr>
                <w:noProof/>
                <w:webHidden/>
              </w:rPr>
              <w:instrText xml:space="preserve"> PAGEREF _Toc430091211 \h </w:instrText>
            </w:r>
            <w:r w:rsidR="00ED1E27">
              <w:rPr>
                <w:noProof/>
                <w:webHidden/>
              </w:rPr>
            </w:r>
            <w:r w:rsidR="00ED1E27">
              <w:rPr>
                <w:noProof/>
                <w:webHidden/>
              </w:rPr>
              <w:fldChar w:fldCharType="separate"/>
            </w:r>
            <w:r w:rsidR="004427AD">
              <w:rPr>
                <w:noProof/>
                <w:webHidden/>
              </w:rPr>
              <w:t>79</w:t>
            </w:r>
            <w:r w:rsidR="00ED1E27">
              <w:rPr>
                <w:noProof/>
                <w:webHidden/>
              </w:rPr>
              <w:fldChar w:fldCharType="end"/>
            </w:r>
          </w:hyperlink>
        </w:p>
        <w:p w14:paraId="58C729A8"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12" w:history="1">
            <w:r w:rsidR="00ED1E27" w:rsidRPr="0061785B">
              <w:rPr>
                <w:rStyle w:val="Hyperlink"/>
                <w:noProof/>
              </w:rPr>
              <w:t>Approved Medical Specialists</w:t>
            </w:r>
            <w:r w:rsidR="00ED1E27">
              <w:rPr>
                <w:noProof/>
                <w:webHidden/>
              </w:rPr>
              <w:tab/>
            </w:r>
            <w:r w:rsidR="00ED1E27">
              <w:rPr>
                <w:noProof/>
                <w:webHidden/>
              </w:rPr>
              <w:fldChar w:fldCharType="begin"/>
            </w:r>
            <w:r w:rsidR="00ED1E27">
              <w:rPr>
                <w:noProof/>
                <w:webHidden/>
              </w:rPr>
              <w:instrText xml:space="preserve"> PAGEREF _Toc430091212 \h </w:instrText>
            </w:r>
            <w:r w:rsidR="00ED1E27">
              <w:rPr>
                <w:noProof/>
                <w:webHidden/>
              </w:rPr>
            </w:r>
            <w:r w:rsidR="00ED1E27">
              <w:rPr>
                <w:noProof/>
                <w:webHidden/>
              </w:rPr>
              <w:fldChar w:fldCharType="separate"/>
            </w:r>
            <w:r w:rsidR="004427AD">
              <w:rPr>
                <w:noProof/>
                <w:webHidden/>
              </w:rPr>
              <w:t>79</w:t>
            </w:r>
            <w:r w:rsidR="00ED1E27">
              <w:rPr>
                <w:noProof/>
                <w:webHidden/>
              </w:rPr>
              <w:fldChar w:fldCharType="end"/>
            </w:r>
          </w:hyperlink>
        </w:p>
        <w:p w14:paraId="6B95F9F4" w14:textId="77777777" w:rsidR="00ED1E27" w:rsidRDefault="000C10D6">
          <w:pPr>
            <w:pStyle w:val="TOC3"/>
            <w:rPr>
              <w:rFonts w:asciiTheme="minorHAnsi" w:eastAsiaTheme="minorEastAsia" w:hAnsiTheme="minorHAnsi" w:cstheme="minorBidi"/>
              <w:noProof/>
              <w:sz w:val="22"/>
              <w:szCs w:val="22"/>
              <w:lang w:eastAsia="en-AU"/>
            </w:rPr>
          </w:pPr>
          <w:hyperlink w:anchor="_Toc430091213" w:history="1">
            <w:r w:rsidR="00ED1E27" w:rsidRPr="0061785B">
              <w:rPr>
                <w:rStyle w:val="Hyperlink"/>
                <w:noProof/>
              </w:rPr>
              <w:t>Complaints against Approved Medical Specialists</w:t>
            </w:r>
            <w:r w:rsidR="00ED1E27">
              <w:rPr>
                <w:noProof/>
                <w:webHidden/>
              </w:rPr>
              <w:tab/>
            </w:r>
            <w:r w:rsidR="00ED1E27">
              <w:rPr>
                <w:noProof/>
                <w:webHidden/>
              </w:rPr>
              <w:fldChar w:fldCharType="begin"/>
            </w:r>
            <w:r w:rsidR="00ED1E27">
              <w:rPr>
                <w:noProof/>
                <w:webHidden/>
              </w:rPr>
              <w:instrText xml:space="preserve"> PAGEREF _Toc430091213 \h </w:instrText>
            </w:r>
            <w:r w:rsidR="00ED1E27">
              <w:rPr>
                <w:noProof/>
                <w:webHidden/>
              </w:rPr>
            </w:r>
            <w:r w:rsidR="00ED1E27">
              <w:rPr>
                <w:noProof/>
                <w:webHidden/>
              </w:rPr>
              <w:fldChar w:fldCharType="separate"/>
            </w:r>
            <w:r w:rsidR="004427AD">
              <w:rPr>
                <w:noProof/>
                <w:webHidden/>
              </w:rPr>
              <w:t>79</w:t>
            </w:r>
            <w:r w:rsidR="00ED1E27">
              <w:rPr>
                <w:noProof/>
                <w:webHidden/>
              </w:rPr>
              <w:fldChar w:fldCharType="end"/>
            </w:r>
          </w:hyperlink>
        </w:p>
        <w:p w14:paraId="73A3035E" w14:textId="77777777" w:rsidR="00ED1E27" w:rsidRDefault="000C10D6">
          <w:pPr>
            <w:pStyle w:val="TOC1"/>
            <w:rPr>
              <w:rFonts w:asciiTheme="minorHAnsi" w:eastAsiaTheme="minorEastAsia" w:hAnsiTheme="minorHAnsi" w:cstheme="minorBidi"/>
              <w:sz w:val="22"/>
              <w:szCs w:val="22"/>
              <w:lang w:eastAsia="en-AU"/>
            </w:rPr>
          </w:pPr>
          <w:hyperlink w:anchor="_Toc430091214" w:history="1">
            <w:r w:rsidR="00ED1E27" w:rsidRPr="0061785B">
              <w:rPr>
                <w:rStyle w:val="Hyperlink"/>
              </w:rPr>
              <w:t>Improving scheme performance</w:t>
            </w:r>
            <w:r w:rsidR="00ED1E27">
              <w:rPr>
                <w:webHidden/>
              </w:rPr>
              <w:tab/>
            </w:r>
            <w:r w:rsidR="00ED1E27">
              <w:rPr>
                <w:webHidden/>
              </w:rPr>
              <w:fldChar w:fldCharType="begin"/>
            </w:r>
            <w:r w:rsidR="00ED1E27">
              <w:rPr>
                <w:webHidden/>
              </w:rPr>
              <w:instrText xml:space="preserve"> PAGEREF _Toc430091214 \h </w:instrText>
            </w:r>
            <w:r w:rsidR="00ED1E27">
              <w:rPr>
                <w:webHidden/>
              </w:rPr>
            </w:r>
            <w:r w:rsidR="00ED1E27">
              <w:rPr>
                <w:webHidden/>
              </w:rPr>
              <w:fldChar w:fldCharType="separate"/>
            </w:r>
            <w:r w:rsidR="004427AD">
              <w:rPr>
                <w:webHidden/>
              </w:rPr>
              <w:t>80</w:t>
            </w:r>
            <w:r w:rsidR="00ED1E27">
              <w:rPr>
                <w:webHidden/>
              </w:rPr>
              <w:fldChar w:fldCharType="end"/>
            </w:r>
          </w:hyperlink>
        </w:p>
        <w:p w14:paraId="4FC52568"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15" w:history="1">
            <w:r w:rsidR="00ED1E27" w:rsidRPr="0061785B">
              <w:rPr>
                <w:rStyle w:val="Hyperlink"/>
                <w:noProof/>
              </w:rPr>
              <w:t>National Insurer Data Specification</w:t>
            </w:r>
            <w:r w:rsidR="00ED1E27">
              <w:rPr>
                <w:noProof/>
                <w:webHidden/>
              </w:rPr>
              <w:tab/>
            </w:r>
            <w:r w:rsidR="00ED1E27">
              <w:rPr>
                <w:noProof/>
                <w:webHidden/>
              </w:rPr>
              <w:fldChar w:fldCharType="begin"/>
            </w:r>
            <w:r w:rsidR="00ED1E27">
              <w:rPr>
                <w:noProof/>
                <w:webHidden/>
              </w:rPr>
              <w:instrText xml:space="preserve"> PAGEREF _Toc430091215 \h </w:instrText>
            </w:r>
            <w:r w:rsidR="00ED1E27">
              <w:rPr>
                <w:noProof/>
                <w:webHidden/>
              </w:rPr>
            </w:r>
            <w:r w:rsidR="00ED1E27">
              <w:rPr>
                <w:noProof/>
                <w:webHidden/>
              </w:rPr>
              <w:fldChar w:fldCharType="separate"/>
            </w:r>
            <w:r w:rsidR="004427AD">
              <w:rPr>
                <w:noProof/>
                <w:webHidden/>
              </w:rPr>
              <w:t>80</w:t>
            </w:r>
            <w:r w:rsidR="00ED1E27">
              <w:rPr>
                <w:noProof/>
                <w:webHidden/>
              </w:rPr>
              <w:fldChar w:fldCharType="end"/>
            </w:r>
          </w:hyperlink>
        </w:p>
        <w:p w14:paraId="5938F526"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16" w:history="1">
            <w:r w:rsidR="00ED1E27" w:rsidRPr="0061785B">
              <w:rPr>
                <w:rStyle w:val="Hyperlink"/>
                <w:noProof/>
              </w:rPr>
              <w:t>New industry classes for recommended premium rates</w:t>
            </w:r>
            <w:r w:rsidR="00ED1E27">
              <w:rPr>
                <w:noProof/>
                <w:webHidden/>
              </w:rPr>
              <w:tab/>
            </w:r>
            <w:r w:rsidR="00ED1E27">
              <w:rPr>
                <w:noProof/>
                <w:webHidden/>
              </w:rPr>
              <w:fldChar w:fldCharType="begin"/>
            </w:r>
            <w:r w:rsidR="00ED1E27">
              <w:rPr>
                <w:noProof/>
                <w:webHidden/>
              </w:rPr>
              <w:instrText xml:space="preserve"> PAGEREF _Toc430091216 \h </w:instrText>
            </w:r>
            <w:r w:rsidR="00ED1E27">
              <w:rPr>
                <w:noProof/>
                <w:webHidden/>
              </w:rPr>
            </w:r>
            <w:r w:rsidR="00ED1E27">
              <w:rPr>
                <w:noProof/>
                <w:webHidden/>
              </w:rPr>
              <w:fldChar w:fldCharType="separate"/>
            </w:r>
            <w:r w:rsidR="004427AD">
              <w:rPr>
                <w:noProof/>
                <w:webHidden/>
              </w:rPr>
              <w:t>80</w:t>
            </w:r>
            <w:r w:rsidR="00ED1E27">
              <w:rPr>
                <w:noProof/>
                <w:webHidden/>
              </w:rPr>
              <w:fldChar w:fldCharType="end"/>
            </w:r>
          </w:hyperlink>
        </w:p>
        <w:p w14:paraId="7921A1FF" w14:textId="77777777" w:rsidR="00ED1E27" w:rsidRDefault="000C10D6">
          <w:pPr>
            <w:pStyle w:val="TOC1"/>
            <w:rPr>
              <w:rFonts w:asciiTheme="minorHAnsi" w:eastAsiaTheme="minorEastAsia" w:hAnsiTheme="minorHAnsi" w:cstheme="minorBidi"/>
              <w:sz w:val="22"/>
              <w:szCs w:val="22"/>
              <w:lang w:eastAsia="en-AU"/>
            </w:rPr>
          </w:pPr>
          <w:hyperlink w:anchor="_Toc430091217" w:history="1">
            <w:r w:rsidR="00ED1E27" w:rsidRPr="0061785B">
              <w:rPr>
                <w:rStyle w:val="Hyperlink"/>
              </w:rPr>
              <w:t>Progressing legislative reform</w:t>
            </w:r>
            <w:r w:rsidR="00ED1E27">
              <w:rPr>
                <w:webHidden/>
              </w:rPr>
              <w:tab/>
            </w:r>
            <w:r w:rsidR="00ED1E27">
              <w:rPr>
                <w:webHidden/>
              </w:rPr>
              <w:fldChar w:fldCharType="begin"/>
            </w:r>
            <w:r w:rsidR="00ED1E27">
              <w:rPr>
                <w:webHidden/>
              </w:rPr>
              <w:instrText xml:space="preserve"> PAGEREF _Toc430091217 \h </w:instrText>
            </w:r>
            <w:r w:rsidR="00ED1E27">
              <w:rPr>
                <w:webHidden/>
              </w:rPr>
            </w:r>
            <w:r w:rsidR="00ED1E27">
              <w:rPr>
                <w:webHidden/>
              </w:rPr>
              <w:fldChar w:fldCharType="separate"/>
            </w:r>
            <w:r w:rsidR="004427AD">
              <w:rPr>
                <w:webHidden/>
              </w:rPr>
              <w:t>81</w:t>
            </w:r>
            <w:r w:rsidR="00ED1E27">
              <w:rPr>
                <w:webHidden/>
              </w:rPr>
              <w:fldChar w:fldCharType="end"/>
            </w:r>
          </w:hyperlink>
        </w:p>
        <w:p w14:paraId="1A50A2C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18" w:history="1">
            <w:r w:rsidR="00ED1E27" w:rsidRPr="0061785B">
              <w:rPr>
                <w:rStyle w:val="Hyperlink"/>
                <w:noProof/>
              </w:rPr>
              <w:t>Recognition of acupuncture as an ‘approved treatment’</w:t>
            </w:r>
            <w:r w:rsidR="00ED1E27">
              <w:rPr>
                <w:noProof/>
                <w:webHidden/>
              </w:rPr>
              <w:tab/>
            </w:r>
            <w:r w:rsidR="00ED1E27">
              <w:rPr>
                <w:noProof/>
                <w:webHidden/>
              </w:rPr>
              <w:fldChar w:fldCharType="begin"/>
            </w:r>
            <w:r w:rsidR="00ED1E27">
              <w:rPr>
                <w:noProof/>
                <w:webHidden/>
              </w:rPr>
              <w:instrText xml:space="preserve"> PAGEREF _Toc430091218 \h </w:instrText>
            </w:r>
            <w:r w:rsidR="00ED1E27">
              <w:rPr>
                <w:noProof/>
                <w:webHidden/>
              </w:rPr>
            </w:r>
            <w:r w:rsidR="00ED1E27">
              <w:rPr>
                <w:noProof/>
                <w:webHidden/>
              </w:rPr>
              <w:fldChar w:fldCharType="separate"/>
            </w:r>
            <w:r w:rsidR="004427AD">
              <w:rPr>
                <w:noProof/>
                <w:webHidden/>
              </w:rPr>
              <w:t>81</w:t>
            </w:r>
            <w:r w:rsidR="00ED1E27">
              <w:rPr>
                <w:noProof/>
                <w:webHidden/>
              </w:rPr>
              <w:fldChar w:fldCharType="end"/>
            </w:r>
          </w:hyperlink>
        </w:p>
        <w:p w14:paraId="2280AE57"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19" w:history="1">
            <w:r w:rsidR="00ED1E27" w:rsidRPr="0061785B">
              <w:rPr>
                <w:rStyle w:val="Hyperlink"/>
                <w:noProof/>
              </w:rPr>
              <w:t>Costs determination review</w:t>
            </w:r>
            <w:r w:rsidR="00ED1E27">
              <w:rPr>
                <w:noProof/>
                <w:webHidden/>
              </w:rPr>
              <w:tab/>
            </w:r>
            <w:r w:rsidR="00ED1E27">
              <w:rPr>
                <w:noProof/>
                <w:webHidden/>
              </w:rPr>
              <w:fldChar w:fldCharType="begin"/>
            </w:r>
            <w:r w:rsidR="00ED1E27">
              <w:rPr>
                <w:noProof/>
                <w:webHidden/>
              </w:rPr>
              <w:instrText xml:space="preserve"> PAGEREF _Toc430091219 \h </w:instrText>
            </w:r>
            <w:r w:rsidR="00ED1E27">
              <w:rPr>
                <w:noProof/>
                <w:webHidden/>
              </w:rPr>
            </w:r>
            <w:r w:rsidR="00ED1E27">
              <w:rPr>
                <w:noProof/>
                <w:webHidden/>
              </w:rPr>
              <w:fldChar w:fldCharType="separate"/>
            </w:r>
            <w:r w:rsidR="004427AD">
              <w:rPr>
                <w:noProof/>
                <w:webHidden/>
              </w:rPr>
              <w:t>81</w:t>
            </w:r>
            <w:r w:rsidR="00ED1E27">
              <w:rPr>
                <w:noProof/>
                <w:webHidden/>
              </w:rPr>
              <w:fldChar w:fldCharType="end"/>
            </w:r>
          </w:hyperlink>
        </w:p>
        <w:p w14:paraId="3DAD0C7B" w14:textId="77777777" w:rsidR="00ED1E27" w:rsidRDefault="000C10D6">
          <w:pPr>
            <w:pStyle w:val="TOC1"/>
            <w:rPr>
              <w:rFonts w:asciiTheme="minorHAnsi" w:eastAsiaTheme="minorEastAsia" w:hAnsiTheme="minorHAnsi" w:cstheme="minorBidi"/>
              <w:sz w:val="22"/>
              <w:szCs w:val="22"/>
              <w:lang w:eastAsia="en-AU"/>
            </w:rPr>
          </w:pPr>
          <w:hyperlink w:anchor="_Toc430091220" w:history="1">
            <w:r w:rsidR="00ED1E27" w:rsidRPr="0061785B">
              <w:rPr>
                <w:rStyle w:val="Hyperlink"/>
              </w:rPr>
              <w:t>Service 2: Scheme Services</w:t>
            </w:r>
            <w:r w:rsidR="00ED1E27">
              <w:rPr>
                <w:webHidden/>
              </w:rPr>
              <w:tab/>
            </w:r>
            <w:r w:rsidR="00ED1E27">
              <w:rPr>
                <w:webHidden/>
              </w:rPr>
              <w:fldChar w:fldCharType="begin"/>
            </w:r>
            <w:r w:rsidR="00ED1E27">
              <w:rPr>
                <w:webHidden/>
              </w:rPr>
              <w:instrText xml:space="preserve"> PAGEREF _Toc430091220 \h </w:instrText>
            </w:r>
            <w:r w:rsidR="00ED1E27">
              <w:rPr>
                <w:webHidden/>
              </w:rPr>
            </w:r>
            <w:r w:rsidR="00ED1E27">
              <w:rPr>
                <w:webHidden/>
              </w:rPr>
              <w:fldChar w:fldCharType="separate"/>
            </w:r>
            <w:r w:rsidR="004427AD">
              <w:rPr>
                <w:webHidden/>
              </w:rPr>
              <w:t>82</w:t>
            </w:r>
            <w:r w:rsidR="00ED1E27">
              <w:rPr>
                <w:webHidden/>
              </w:rPr>
              <w:fldChar w:fldCharType="end"/>
            </w:r>
          </w:hyperlink>
        </w:p>
        <w:p w14:paraId="32C4B276" w14:textId="77777777" w:rsidR="00ED1E27" w:rsidRDefault="000C10D6">
          <w:pPr>
            <w:pStyle w:val="TOC1"/>
            <w:rPr>
              <w:rFonts w:asciiTheme="minorHAnsi" w:eastAsiaTheme="minorEastAsia" w:hAnsiTheme="minorHAnsi" w:cstheme="minorBidi"/>
              <w:sz w:val="22"/>
              <w:szCs w:val="22"/>
              <w:lang w:eastAsia="en-AU"/>
            </w:rPr>
          </w:pPr>
          <w:hyperlink w:anchor="_Toc430091221" w:history="1">
            <w:r w:rsidR="00ED1E27" w:rsidRPr="0061785B">
              <w:rPr>
                <w:rStyle w:val="Hyperlink"/>
              </w:rPr>
              <w:t>Resolving disputes</w:t>
            </w:r>
            <w:r w:rsidR="00ED1E27">
              <w:rPr>
                <w:webHidden/>
              </w:rPr>
              <w:tab/>
            </w:r>
            <w:r w:rsidR="00ED1E27">
              <w:rPr>
                <w:webHidden/>
              </w:rPr>
              <w:fldChar w:fldCharType="begin"/>
            </w:r>
            <w:r w:rsidR="00ED1E27">
              <w:rPr>
                <w:webHidden/>
              </w:rPr>
              <w:instrText xml:space="preserve"> PAGEREF _Toc430091221 \h </w:instrText>
            </w:r>
            <w:r w:rsidR="00ED1E27">
              <w:rPr>
                <w:webHidden/>
              </w:rPr>
            </w:r>
            <w:r w:rsidR="00ED1E27">
              <w:rPr>
                <w:webHidden/>
              </w:rPr>
              <w:fldChar w:fldCharType="separate"/>
            </w:r>
            <w:r w:rsidR="004427AD">
              <w:rPr>
                <w:webHidden/>
              </w:rPr>
              <w:t>82</w:t>
            </w:r>
            <w:r w:rsidR="00ED1E27">
              <w:rPr>
                <w:webHidden/>
              </w:rPr>
              <w:fldChar w:fldCharType="end"/>
            </w:r>
          </w:hyperlink>
        </w:p>
        <w:p w14:paraId="3EFF224C"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22" w:history="1">
            <w:r w:rsidR="00ED1E27" w:rsidRPr="0061785B">
              <w:rPr>
                <w:rStyle w:val="Hyperlink"/>
                <w:noProof/>
              </w:rPr>
              <w:t>Dispute resolution performance</w:t>
            </w:r>
            <w:r w:rsidR="00ED1E27">
              <w:rPr>
                <w:noProof/>
                <w:webHidden/>
              </w:rPr>
              <w:tab/>
            </w:r>
            <w:r w:rsidR="00ED1E27">
              <w:rPr>
                <w:noProof/>
                <w:webHidden/>
              </w:rPr>
              <w:fldChar w:fldCharType="begin"/>
            </w:r>
            <w:r w:rsidR="00ED1E27">
              <w:rPr>
                <w:noProof/>
                <w:webHidden/>
              </w:rPr>
              <w:instrText xml:space="preserve"> PAGEREF _Toc430091222 \h </w:instrText>
            </w:r>
            <w:r w:rsidR="00ED1E27">
              <w:rPr>
                <w:noProof/>
                <w:webHidden/>
              </w:rPr>
            </w:r>
            <w:r w:rsidR="00ED1E27">
              <w:rPr>
                <w:noProof/>
                <w:webHidden/>
              </w:rPr>
              <w:fldChar w:fldCharType="separate"/>
            </w:r>
            <w:r w:rsidR="004427AD">
              <w:rPr>
                <w:noProof/>
                <w:webHidden/>
              </w:rPr>
              <w:t>83</w:t>
            </w:r>
            <w:r w:rsidR="00ED1E27">
              <w:rPr>
                <w:noProof/>
                <w:webHidden/>
              </w:rPr>
              <w:fldChar w:fldCharType="end"/>
            </w:r>
          </w:hyperlink>
        </w:p>
        <w:p w14:paraId="5CD397BF"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23" w:history="1">
            <w:r w:rsidR="00ED1E27" w:rsidRPr="0061785B">
              <w:rPr>
                <w:rStyle w:val="Hyperlink"/>
                <w:noProof/>
              </w:rPr>
              <w:t>Review of the Rules</w:t>
            </w:r>
            <w:r w:rsidR="00ED1E27">
              <w:rPr>
                <w:noProof/>
                <w:webHidden/>
              </w:rPr>
              <w:tab/>
            </w:r>
            <w:r w:rsidR="00ED1E27">
              <w:rPr>
                <w:noProof/>
                <w:webHidden/>
              </w:rPr>
              <w:fldChar w:fldCharType="begin"/>
            </w:r>
            <w:r w:rsidR="00ED1E27">
              <w:rPr>
                <w:noProof/>
                <w:webHidden/>
              </w:rPr>
              <w:instrText xml:space="preserve"> PAGEREF _Toc430091223 \h </w:instrText>
            </w:r>
            <w:r w:rsidR="00ED1E27">
              <w:rPr>
                <w:noProof/>
                <w:webHidden/>
              </w:rPr>
            </w:r>
            <w:r w:rsidR="00ED1E27">
              <w:rPr>
                <w:noProof/>
                <w:webHidden/>
              </w:rPr>
              <w:fldChar w:fldCharType="separate"/>
            </w:r>
            <w:r w:rsidR="004427AD">
              <w:rPr>
                <w:noProof/>
                <w:webHidden/>
              </w:rPr>
              <w:t>84</w:t>
            </w:r>
            <w:r w:rsidR="00ED1E27">
              <w:rPr>
                <w:noProof/>
                <w:webHidden/>
              </w:rPr>
              <w:fldChar w:fldCharType="end"/>
            </w:r>
          </w:hyperlink>
        </w:p>
        <w:p w14:paraId="3C7167EF"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24" w:history="1">
            <w:r w:rsidR="00ED1E27" w:rsidRPr="0061785B">
              <w:rPr>
                <w:rStyle w:val="Hyperlink"/>
                <w:noProof/>
              </w:rPr>
              <w:t>Analysis of disputes consuming above average CAS resources</w:t>
            </w:r>
            <w:r w:rsidR="00ED1E27">
              <w:rPr>
                <w:noProof/>
                <w:webHidden/>
              </w:rPr>
              <w:tab/>
            </w:r>
            <w:r w:rsidR="00ED1E27">
              <w:rPr>
                <w:noProof/>
                <w:webHidden/>
              </w:rPr>
              <w:fldChar w:fldCharType="begin"/>
            </w:r>
            <w:r w:rsidR="00ED1E27">
              <w:rPr>
                <w:noProof/>
                <w:webHidden/>
              </w:rPr>
              <w:instrText xml:space="preserve"> PAGEREF _Toc430091224 \h </w:instrText>
            </w:r>
            <w:r w:rsidR="00ED1E27">
              <w:rPr>
                <w:noProof/>
                <w:webHidden/>
              </w:rPr>
            </w:r>
            <w:r w:rsidR="00ED1E27">
              <w:rPr>
                <w:noProof/>
                <w:webHidden/>
              </w:rPr>
              <w:fldChar w:fldCharType="separate"/>
            </w:r>
            <w:r w:rsidR="004427AD">
              <w:rPr>
                <w:noProof/>
                <w:webHidden/>
              </w:rPr>
              <w:t>84</w:t>
            </w:r>
            <w:r w:rsidR="00ED1E27">
              <w:rPr>
                <w:noProof/>
                <w:webHidden/>
              </w:rPr>
              <w:fldChar w:fldCharType="end"/>
            </w:r>
          </w:hyperlink>
        </w:p>
        <w:p w14:paraId="65AD04BA"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25" w:history="1">
            <w:r w:rsidR="00ED1E27" w:rsidRPr="0061785B">
              <w:rPr>
                <w:rStyle w:val="Hyperlink"/>
                <w:noProof/>
              </w:rPr>
              <w:t>Trial of Standard Order template</w:t>
            </w:r>
            <w:r w:rsidR="00ED1E27">
              <w:rPr>
                <w:noProof/>
                <w:webHidden/>
              </w:rPr>
              <w:tab/>
            </w:r>
            <w:r w:rsidR="00ED1E27">
              <w:rPr>
                <w:noProof/>
                <w:webHidden/>
              </w:rPr>
              <w:fldChar w:fldCharType="begin"/>
            </w:r>
            <w:r w:rsidR="00ED1E27">
              <w:rPr>
                <w:noProof/>
                <w:webHidden/>
              </w:rPr>
              <w:instrText xml:space="preserve"> PAGEREF _Toc430091225 \h </w:instrText>
            </w:r>
            <w:r w:rsidR="00ED1E27">
              <w:rPr>
                <w:noProof/>
                <w:webHidden/>
              </w:rPr>
            </w:r>
            <w:r w:rsidR="00ED1E27">
              <w:rPr>
                <w:noProof/>
                <w:webHidden/>
              </w:rPr>
              <w:fldChar w:fldCharType="separate"/>
            </w:r>
            <w:r w:rsidR="004427AD">
              <w:rPr>
                <w:noProof/>
                <w:webHidden/>
              </w:rPr>
              <w:t>85</w:t>
            </w:r>
            <w:r w:rsidR="00ED1E27">
              <w:rPr>
                <w:noProof/>
                <w:webHidden/>
              </w:rPr>
              <w:fldChar w:fldCharType="end"/>
            </w:r>
          </w:hyperlink>
        </w:p>
        <w:p w14:paraId="399B49A8"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26" w:history="1">
            <w:r w:rsidR="00ED1E27" w:rsidRPr="0061785B">
              <w:rPr>
                <w:rStyle w:val="Hyperlink"/>
                <w:noProof/>
              </w:rPr>
              <w:t>Advocacy training program</w:t>
            </w:r>
            <w:r w:rsidR="00ED1E27">
              <w:rPr>
                <w:noProof/>
                <w:webHidden/>
              </w:rPr>
              <w:tab/>
            </w:r>
            <w:r w:rsidR="00ED1E27">
              <w:rPr>
                <w:noProof/>
                <w:webHidden/>
              </w:rPr>
              <w:fldChar w:fldCharType="begin"/>
            </w:r>
            <w:r w:rsidR="00ED1E27">
              <w:rPr>
                <w:noProof/>
                <w:webHidden/>
              </w:rPr>
              <w:instrText xml:space="preserve"> PAGEREF _Toc430091226 \h </w:instrText>
            </w:r>
            <w:r w:rsidR="00ED1E27">
              <w:rPr>
                <w:noProof/>
                <w:webHidden/>
              </w:rPr>
            </w:r>
            <w:r w:rsidR="00ED1E27">
              <w:rPr>
                <w:noProof/>
                <w:webHidden/>
              </w:rPr>
              <w:fldChar w:fldCharType="separate"/>
            </w:r>
            <w:r w:rsidR="004427AD">
              <w:rPr>
                <w:noProof/>
                <w:webHidden/>
              </w:rPr>
              <w:t>85</w:t>
            </w:r>
            <w:r w:rsidR="00ED1E27">
              <w:rPr>
                <w:noProof/>
                <w:webHidden/>
              </w:rPr>
              <w:fldChar w:fldCharType="end"/>
            </w:r>
          </w:hyperlink>
        </w:p>
        <w:p w14:paraId="15659610" w14:textId="77777777" w:rsidR="00ED1E27" w:rsidRDefault="000C10D6">
          <w:pPr>
            <w:pStyle w:val="TOC1"/>
            <w:rPr>
              <w:rFonts w:asciiTheme="minorHAnsi" w:eastAsiaTheme="minorEastAsia" w:hAnsiTheme="minorHAnsi" w:cstheme="minorBidi"/>
              <w:sz w:val="22"/>
              <w:szCs w:val="22"/>
              <w:lang w:eastAsia="en-AU"/>
            </w:rPr>
          </w:pPr>
          <w:hyperlink w:anchor="_Toc430091227" w:history="1">
            <w:r w:rsidR="00ED1E27" w:rsidRPr="0061785B">
              <w:rPr>
                <w:rStyle w:val="Hyperlink"/>
              </w:rPr>
              <w:t>Education and information</w:t>
            </w:r>
            <w:r w:rsidR="00ED1E27">
              <w:rPr>
                <w:webHidden/>
              </w:rPr>
              <w:tab/>
            </w:r>
            <w:r w:rsidR="00ED1E27">
              <w:rPr>
                <w:webHidden/>
              </w:rPr>
              <w:fldChar w:fldCharType="begin"/>
            </w:r>
            <w:r w:rsidR="00ED1E27">
              <w:rPr>
                <w:webHidden/>
              </w:rPr>
              <w:instrText xml:space="preserve"> PAGEREF _Toc430091227 \h </w:instrText>
            </w:r>
            <w:r w:rsidR="00ED1E27">
              <w:rPr>
                <w:webHidden/>
              </w:rPr>
            </w:r>
            <w:r w:rsidR="00ED1E27">
              <w:rPr>
                <w:webHidden/>
              </w:rPr>
              <w:fldChar w:fldCharType="separate"/>
            </w:r>
            <w:r w:rsidR="004427AD">
              <w:rPr>
                <w:webHidden/>
              </w:rPr>
              <w:t>86</w:t>
            </w:r>
            <w:r w:rsidR="00ED1E27">
              <w:rPr>
                <w:webHidden/>
              </w:rPr>
              <w:fldChar w:fldCharType="end"/>
            </w:r>
          </w:hyperlink>
        </w:p>
        <w:p w14:paraId="753AAA18"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28" w:history="1">
            <w:r w:rsidR="00ED1E27" w:rsidRPr="0061785B">
              <w:rPr>
                <w:rStyle w:val="Hyperlink"/>
                <w:noProof/>
              </w:rPr>
              <w:t>Publications</w:t>
            </w:r>
            <w:r w:rsidR="00ED1E27">
              <w:rPr>
                <w:noProof/>
                <w:webHidden/>
              </w:rPr>
              <w:tab/>
            </w:r>
            <w:r w:rsidR="00ED1E27">
              <w:rPr>
                <w:noProof/>
                <w:webHidden/>
              </w:rPr>
              <w:fldChar w:fldCharType="begin"/>
            </w:r>
            <w:r w:rsidR="00ED1E27">
              <w:rPr>
                <w:noProof/>
                <w:webHidden/>
              </w:rPr>
              <w:instrText xml:space="preserve"> PAGEREF _Toc430091228 \h </w:instrText>
            </w:r>
            <w:r w:rsidR="00ED1E27">
              <w:rPr>
                <w:noProof/>
                <w:webHidden/>
              </w:rPr>
            </w:r>
            <w:r w:rsidR="00ED1E27">
              <w:rPr>
                <w:noProof/>
                <w:webHidden/>
              </w:rPr>
              <w:fldChar w:fldCharType="separate"/>
            </w:r>
            <w:r w:rsidR="004427AD">
              <w:rPr>
                <w:noProof/>
                <w:webHidden/>
              </w:rPr>
              <w:t>86</w:t>
            </w:r>
            <w:r w:rsidR="00ED1E27">
              <w:rPr>
                <w:noProof/>
                <w:webHidden/>
              </w:rPr>
              <w:fldChar w:fldCharType="end"/>
            </w:r>
          </w:hyperlink>
        </w:p>
        <w:p w14:paraId="669C4318"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29" w:history="1">
            <w:r w:rsidR="00ED1E27" w:rsidRPr="0061785B">
              <w:rPr>
                <w:rStyle w:val="Hyperlink"/>
                <w:noProof/>
              </w:rPr>
              <w:t>Website</w:t>
            </w:r>
            <w:r w:rsidR="00ED1E27">
              <w:rPr>
                <w:noProof/>
                <w:webHidden/>
              </w:rPr>
              <w:tab/>
            </w:r>
            <w:r w:rsidR="00ED1E27">
              <w:rPr>
                <w:noProof/>
                <w:webHidden/>
              </w:rPr>
              <w:fldChar w:fldCharType="begin"/>
            </w:r>
            <w:r w:rsidR="00ED1E27">
              <w:rPr>
                <w:noProof/>
                <w:webHidden/>
              </w:rPr>
              <w:instrText xml:space="preserve"> PAGEREF _Toc430091229 \h </w:instrText>
            </w:r>
            <w:r w:rsidR="00ED1E27">
              <w:rPr>
                <w:noProof/>
                <w:webHidden/>
              </w:rPr>
            </w:r>
            <w:r w:rsidR="00ED1E27">
              <w:rPr>
                <w:noProof/>
                <w:webHidden/>
              </w:rPr>
              <w:fldChar w:fldCharType="separate"/>
            </w:r>
            <w:r w:rsidR="004427AD">
              <w:rPr>
                <w:noProof/>
                <w:webHidden/>
              </w:rPr>
              <w:t>88</w:t>
            </w:r>
            <w:r w:rsidR="00ED1E27">
              <w:rPr>
                <w:noProof/>
                <w:webHidden/>
              </w:rPr>
              <w:fldChar w:fldCharType="end"/>
            </w:r>
          </w:hyperlink>
        </w:p>
        <w:p w14:paraId="13C6CA9C" w14:textId="77777777" w:rsidR="00ED1E27" w:rsidRDefault="000C10D6">
          <w:pPr>
            <w:pStyle w:val="TOC3"/>
            <w:rPr>
              <w:rFonts w:asciiTheme="minorHAnsi" w:eastAsiaTheme="minorEastAsia" w:hAnsiTheme="minorHAnsi" w:cstheme="minorBidi"/>
              <w:noProof/>
              <w:sz w:val="22"/>
              <w:szCs w:val="22"/>
              <w:lang w:eastAsia="en-AU"/>
            </w:rPr>
          </w:pPr>
          <w:hyperlink w:anchor="_Toc430091230" w:history="1">
            <w:r w:rsidR="00ED1E27" w:rsidRPr="0061785B">
              <w:rPr>
                <w:rStyle w:val="Hyperlink"/>
                <w:noProof/>
              </w:rPr>
              <w:t>Replacement of external website</w:t>
            </w:r>
            <w:r w:rsidR="00ED1E27">
              <w:rPr>
                <w:noProof/>
                <w:webHidden/>
              </w:rPr>
              <w:tab/>
            </w:r>
            <w:r w:rsidR="00ED1E27">
              <w:rPr>
                <w:noProof/>
                <w:webHidden/>
              </w:rPr>
              <w:fldChar w:fldCharType="begin"/>
            </w:r>
            <w:r w:rsidR="00ED1E27">
              <w:rPr>
                <w:noProof/>
                <w:webHidden/>
              </w:rPr>
              <w:instrText xml:space="preserve"> PAGEREF _Toc430091230 \h </w:instrText>
            </w:r>
            <w:r w:rsidR="00ED1E27">
              <w:rPr>
                <w:noProof/>
                <w:webHidden/>
              </w:rPr>
            </w:r>
            <w:r w:rsidR="00ED1E27">
              <w:rPr>
                <w:noProof/>
                <w:webHidden/>
              </w:rPr>
              <w:fldChar w:fldCharType="separate"/>
            </w:r>
            <w:r w:rsidR="004427AD">
              <w:rPr>
                <w:noProof/>
                <w:webHidden/>
              </w:rPr>
              <w:t>88</w:t>
            </w:r>
            <w:r w:rsidR="00ED1E27">
              <w:rPr>
                <w:noProof/>
                <w:webHidden/>
              </w:rPr>
              <w:fldChar w:fldCharType="end"/>
            </w:r>
          </w:hyperlink>
        </w:p>
        <w:p w14:paraId="4C5782CF" w14:textId="77777777" w:rsidR="00ED1E27" w:rsidRDefault="000C10D6">
          <w:pPr>
            <w:pStyle w:val="TOC3"/>
            <w:rPr>
              <w:rFonts w:asciiTheme="minorHAnsi" w:eastAsiaTheme="minorEastAsia" w:hAnsiTheme="minorHAnsi" w:cstheme="minorBidi"/>
              <w:noProof/>
              <w:sz w:val="22"/>
              <w:szCs w:val="22"/>
              <w:lang w:eastAsia="en-AU"/>
            </w:rPr>
          </w:pPr>
          <w:hyperlink w:anchor="_Toc430091231" w:history="1">
            <w:r w:rsidR="00ED1E27" w:rsidRPr="0061785B">
              <w:rPr>
                <w:rStyle w:val="Hyperlink"/>
                <w:noProof/>
              </w:rPr>
              <w:t>Downloads</w:t>
            </w:r>
            <w:r w:rsidR="00ED1E27">
              <w:rPr>
                <w:noProof/>
                <w:webHidden/>
              </w:rPr>
              <w:tab/>
            </w:r>
            <w:r w:rsidR="00ED1E27">
              <w:rPr>
                <w:noProof/>
                <w:webHidden/>
              </w:rPr>
              <w:fldChar w:fldCharType="begin"/>
            </w:r>
            <w:r w:rsidR="00ED1E27">
              <w:rPr>
                <w:noProof/>
                <w:webHidden/>
              </w:rPr>
              <w:instrText xml:space="preserve"> PAGEREF _Toc430091231 \h </w:instrText>
            </w:r>
            <w:r w:rsidR="00ED1E27">
              <w:rPr>
                <w:noProof/>
                <w:webHidden/>
              </w:rPr>
            </w:r>
            <w:r w:rsidR="00ED1E27">
              <w:rPr>
                <w:noProof/>
                <w:webHidden/>
              </w:rPr>
              <w:fldChar w:fldCharType="separate"/>
            </w:r>
            <w:r w:rsidR="004427AD">
              <w:rPr>
                <w:noProof/>
                <w:webHidden/>
              </w:rPr>
              <w:t>88</w:t>
            </w:r>
            <w:r w:rsidR="00ED1E27">
              <w:rPr>
                <w:noProof/>
                <w:webHidden/>
              </w:rPr>
              <w:fldChar w:fldCharType="end"/>
            </w:r>
          </w:hyperlink>
        </w:p>
        <w:p w14:paraId="54422B9F" w14:textId="77777777" w:rsidR="00ED1E27" w:rsidRDefault="000C10D6">
          <w:pPr>
            <w:pStyle w:val="TOC3"/>
            <w:rPr>
              <w:rFonts w:asciiTheme="minorHAnsi" w:eastAsiaTheme="minorEastAsia" w:hAnsiTheme="minorHAnsi" w:cstheme="minorBidi"/>
              <w:noProof/>
              <w:sz w:val="22"/>
              <w:szCs w:val="22"/>
              <w:lang w:eastAsia="en-AU"/>
            </w:rPr>
          </w:pPr>
          <w:hyperlink w:anchor="_Toc430091232" w:history="1">
            <w:r w:rsidR="00ED1E27" w:rsidRPr="0061785B">
              <w:rPr>
                <w:rStyle w:val="Hyperlink"/>
                <w:noProof/>
              </w:rPr>
              <w:t>Site visits – previous Website 1 July 2014 to 7 October 2014</w:t>
            </w:r>
            <w:r w:rsidR="00ED1E27">
              <w:rPr>
                <w:noProof/>
                <w:webHidden/>
              </w:rPr>
              <w:tab/>
            </w:r>
            <w:r w:rsidR="00ED1E27">
              <w:rPr>
                <w:noProof/>
                <w:webHidden/>
              </w:rPr>
              <w:fldChar w:fldCharType="begin"/>
            </w:r>
            <w:r w:rsidR="00ED1E27">
              <w:rPr>
                <w:noProof/>
                <w:webHidden/>
              </w:rPr>
              <w:instrText xml:space="preserve"> PAGEREF _Toc430091232 \h </w:instrText>
            </w:r>
            <w:r w:rsidR="00ED1E27">
              <w:rPr>
                <w:noProof/>
                <w:webHidden/>
              </w:rPr>
            </w:r>
            <w:r w:rsidR="00ED1E27">
              <w:rPr>
                <w:noProof/>
                <w:webHidden/>
              </w:rPr>
              <w:fldChar w:fldCharType="separate"/>
            </w:r>
            <w:r w:rsidR="004427AD">
              <w:rPr>
                <w:noProof/>
                <w:webHidden/>
              </w:rPr>
              <w:t>89</w:t>
            </w:r>
            <w:r w:rsidR="00ED1E27">
              <w:rPr>
                <w:noProof/>
                <w:webHidden/>
              </w:rPr>
              <w:fldChar w:fldCharType="end"/>
            </w:r>
          </w:hyperlink>
        </w:p>
        <w:p w14:paraId="0990463C" w14:textId="77777777" w:rsidR="00ED1E27" w:rsidRDefault="000C10D6">
          <w:pPr>
            <w:pStyle w:val="TOC3"/>
            <w:rPr>
              <w:rFonts w:asciiTheme="minorHAnsi" w:eastAsiaTheme="minorEastAsia" w:hAnsiTheme="minorHAnsi" w:cstheme="minorBidi"/>
              <w:noProof/>
              <w:sz w:val="22"/>
              <w:szCs w:val="22"/>
              <w:lang w:eastAsia="en-AU"/>
            </w:rPr>
          </w:pPr>
          <w:hyperlink w:anchor="_Toc430091233" w:history="1">
            <w:r w:rsidR="00ED1E27" w:rsidRPr="0061785B">
              <w:rPr>
                <w:rStyle w:val="Hyperlink"/>
                <w:noProof/>
              </w:rPr>
              <w:t>Traffic sources - previous Website 1 July 2014 to 7 October 2014</w:t>
            </w:r>
            <w:r w:rsidR="00ED1E27">
              <w:rPr>
                <w:noProof/>
                <w:webHidden/>
              </w:rPr>
              <w:tab/>
            </w:r>
            <w:r w:rsidR="00ED1E27">
              <w:rPr>
                <w:noProof/>
                <w:webHidden/>
              </w:rPr>
              <w:fldChar w:fldCharType="begin"/>
            </w:r>
            <w:r w:rsidR="00ED1E27">
              <w:rPr>
                <w:noProof/>
                <w:webHidden/>
              </w:rPr>
              <w:instrText xml:space="preserve"> PAGEREF _Toc430091233 \h </w:instrText>
            </w:r>
            <w:r w:rsidR="00ED1E27">
              <w:rPr>
                <w:noProof/>
                <w:webHidden/>
              </w:rPr>
            </w:r>
            <w:r w:rsidR="00ED1E27">
              <w:rPr>
                <w:noProof/>
                <w:webHidden/>
              </w:rPr>
              <w:fldChar w:fldCharType="separate"/>
            </w:r>
            <w:r w:rsidR="004427AD">
              <w:rPr>
                <w:noProof/>
                <w:webHidden/>
              </w:rPr>
              <w:t>89</w:t>
            </w:r>
            <w:r w:rsidR="00ED1E27">
              <w:rPr>
                <w:noProof/>
                <w:webHidden/>
              </w:rPr>
              <w:fldChar w:fldCharType="end"/>
            </w:r>
          </w:hyperlink>
        </w:p>
        <w:p w14:paraId="7EE32C9B" w14:textId="77777777" w:rsidR="00ED1E27" w:rsidRDefault="000C10D6">
          <w:pPr>
            <w:pStyle w:val="TOC3"/>
            <w:rPr>
              <w:rFonts w:asciiTheme="minorHAnsi" w:eastAsiaTheme="minorEastAsia" w:hAnsiTheme="minorHAnsi" w:cstheme="minorBidi"/>
              <w:noProof/>
              <w:sz w:val="22"/>
              <w:szCs w:val="22"/>
              <w:lang w:eastAsia="en-AU"/>
            </w:rPr>
          </w:pPr>
          <w:hyperlink w:anchor="_Toc430091234" w:history="1">
            <w:r w:rsidR="00ED1E27" w:rsidRPr="0061785B">
              <w:rPr>
                <w:rStyle w:val="Hyperlink"/>
                <w:noProof/>
              </w:rPr>
              <w:t>Site visits – New Website 8 October 2014 to 30 June 2015</w:t>
            </w:r>
            <w:r w:rsidR="00ED1E27">
              <w:rPr>
                <w:noProof/>
                <w:webHidden/>
              </w:rPr>
              <w:tab/>
            </w:r>
            <w:r w:rsidR="00ED1E27">
              <w:rPr>
                <w:noProof/>
                <w:webHidden/>
              </w:rPr>
              <w:fldChar w:fldCharType="begin"/>
            </w:r>
            <w:r w:rsidR="00ED1E27">
              <w:rPr>
                <w:noProof/>
                <w:webHidden/>
              </w:rPr>
              <w:instrText xml:space="preserve"> PAGEREF _Toc430091234 \h </w:instrText>
            </w:r>
            <w:r w:rsidR="00ED1E27">
              <w:rPr>
                <w:noProof/>
                <w:webHidden/>
              </w:rPr>
            </w:r>
            <w:r w:rsidR="00ED1E27">
              <w:rPr>
                <w:noProof/>
                <w:webHidden/>
              </w:rPr>
              <w:fldChar w:fldCharType="separate"/>
            </w:r>
            <w:r w:rsidR="004427AD">
              <w:rPr>
                <w:noProof/>
                <w:webHidden/>
              </w:rPr>
              <w:t>90</w:t>
            </w:r>
            <w:r w:rsidR="00ED1E27">
              <w:rPr>
                <w:noProof/>
                <w:webHidden/>
              </w:rPr>
              <w:fldChar w:fldCharType="end"/>
            </w:r>
          </w:hyperlink>
        </w:p>
        <w:p w14:paraId="6C333B14" w14:textId="77777777" w:rsidR="00ED1E27" w:rsidRDefault="000C10D6">
          <w:pPr>
            <w:pStyle w:val="TOC3"/>
            <w:rPr>
              <w:rFonts w:asciiTheme="minorHAnsi" w:eastAsiaTheme="minorEastAsia" w:hAnsiTheme="minorHAnsi" w:cstheme="minorBidi"/>
              <w:noProof/>
              <w:sz w:val="22"/>
              <w:szCs w:val="22"/>
              <w:lang w:eastAsia="en-AU"/>
            </w:rPr>
          </w:pPr>
          <w:hyperlink w:anchor="_Toc430091235" w:history="1">
            <w:r w:rsidR="00ED1E27" w:rsidRPr="0061785B">
              <w:rPr>
                <w:rStyle w:val="Hyperlink"/>
                <w:noProof/>
              </w:rPr>
              <w:t>Traffic sources - New Website 8 October 2014 to 30 June 2015</w:t>
            </w:r>
            <w:r w:rsidR="00ED1E27">
              <w:rPr>
                <w:noProof/>
                <w:webHidden/>
              </w:rPr>
              <w:tab/>
            </w:r>
            <w:r w:rsidR="00ED1E27">
              <w:rPr>
                <w:noProof/>
                <w:webHidden/>
              </w:rPr>
              <w:fldChar w:fldCharType="begin"/>
            </w:r>
            <w:r w:rsidR="00ED1E27">
              <w:rPr>
                <w:noProof/>
                <w:webHidden/>
              </w:rPr>
              <w:instrText xml:space="preserve"> PAGEREF _Toc430091235 \h </w:instrText>
            </w:r>
            <w:r w:rsidR="00ED1E27">
              <w:rPr>
                <w:noProof/>
                <w:webHidden/>
              </w:rPr>
            </w:r>
            <w:r w:rsidR="00ED1E27">
              <w:rPr>
                <w:noProof/>
                <w:webHidden/>
              </w:rPr>
              <w:fldChar w:fldCharType="separate"/>
            </w:r>
            <w:r w:rsidR="004427AD">
              <w:rPr>
                <w:noProof/>
                <w:webHidden/>
              </w:rPr>
              <w:t>90</w:t>
            </w:r>
            <w:r w:rsidR="00ED1E27">
              <w:rPr>
                <w:noProof/>
                <w:webHidden/>
              </w:rPr>
              <w:fldChar w:fldCharType="end"/>
            </w:r>
          </w:hyperlink>
        </w:p>
        <w:p w14:paraId="046E6960" w14:textId="77777777" w:rsidR="00ED1E27" w:rsidRDefault="000C10D6">
          <w:pPr>
            <w:pStyle w:val="TOC3"/>
            <w:rPr>
              <w:rFonts w:asciiTheme="minorHAnsi" w:eastAsiaTheme="minorEastAsia" w:hAnsiTheme="minorHAnsi" w:cstheme="minorBidi"/>
              <w:noProof/>
              <w:sz w:val="22"/>
              <w:szCs w:val="22"/>
              <w:lang w:eastAsia="en-AU"/>
            </w:rPr>
          </w:pPr>
          <w:hyperlink w:anchor="_Toc430091236" w:history="1">
            <w:r w:rsidR="00ED1E27" w:rsidRPr="0061785B">
              <w:rPr>
                <w:rStyle w:val="Hyperlink"/>
                <w:noProof/>
              </w:rPr>
              <w:t>Views by WorkCover WA website channels</w:t>
            </w:r>
            <w:r w:rsidR="00ED1E27">
              <w:rPr>
                <w:noProof/>
                <w:webHidden/>
              </w:rPr>
              <w:tab/>
            </w:r>
            <w:r w:rsidR="00ED1E27">
              <w:rPr>
                <w:noProof/>
                <w:webHidden/>
              </w:rPr>
              <w:fldChar w:fldCharType="begin"/>
            </w:r>
            <w:r w:rsidR="00ED1E27">
              <w:rPr>
                <w:noProof/>
                <w:webHidden/>
              </w:rPr>
              <w:instrText xml:space="preserve"> PAGEREF _Toc430091236 \h </w:instrText>
            </w:r>
            <w:r w:rsidR="00ED1E27">
              <w:rPr>
                <w:noProof/>
                <w:webHidden/>
              </w:rPr>
            </w:r>
            <w:r w:rsidR="00ED1E27">
              <w:rPr>
                <w:noProof/>
                <w:webHidden/>
              </w:rPr>
              <w:fldChar w:fldCharType="separate"/>
            </w:r>
            <w:r w:rsidR="004427AD">
              <w:rPr>
                <w:noProof/>
                <w:webHidden/>
              </w:rPr>
              <w:t>90</w:t>
            </w:r>
            <w:r w:rsidR="00ED1E27">
              <w:rPr>
                <w:noProof/>
                <w:webHidden/>
              </w:rPr>
              <w:fldChar w:fldCharType="end"/>
            </w:r>
          </w:hyperlink>
        </w:p>
        <w:p w14:paraId="1ACD4C23"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37" w:history="1">
            <w:r w:rsidR="00ED1E27" w:rsidRPr="0061785B">
              <w:rPr>
                <w:rStyle w:val="Hyperlink"/>
                <w:noProof/>
              </w:rPr>
              <w:t>Injury Management Conference website</w:t>
            </w:r>
            <w:r w:rsidR="00ED1E27">
              <w:rPr>
                <w:noProof/>
                <w:webHidden/>
              </w:rPr>
              <w:tab/>
            </w:r>
            <w:r w:rsidR="00ED1E27">
              <w:rPr>
                <w:noProof/>
                <w:webHidden/>
              </w:rPr>
              <w:fldChar w:fldCharType="begin"/>
            </w:r>
            <w:r w:rsidR="00ED1E27">
              <w:rPr>
                <w:noProof/>
                <w:webHidden/>
              </w:rPr>
              <w:instrText xml:space="preserve"> PAGEREF _Toc430091237 \h </w:instrText>
            </w:r>
            <w:r w:rsidR="00ED1E27">
              <w:rPr>
                <w:noProof/>
                <w:webHidden/>
              </w:rPr>
            </w:r>
            <w:r w:rsidR="00ED1E27">
              <w:rPr>
                <w:noProof/>
                <w:webHidden/>
              </w:rPr>
              <w:fldChar w:fldCharType="separate"/>
            </w:r>
            <w:r w:rsidR="004427AD">
              <w:rPr>
                <w:noProof/>
                <w:webHidden/>
              </w:rPr>
              <w:t>91</w:t>
            </w:r>
            <w:r w:rsidR="00ED1E27">
              <w:rPr>
                <w:noProof/>
                <w:webHidden/>
              </w:rPr>
              <w:fldChar w:fldCharType="end"/>
            </w:r>
          </w:hyperlink>
        </w:p>
        <w:p w14:paraId="50EEA066" w14:textId="77777777" w:rsidR="00ED1E27" w:rsidRDefault="000C10D6">
          <w:pPr>
            <w:pStyle w:val="TOC3"/>
            <w:rPr>
              <w:rFonts w:asciiTheme="minorHAnsi" w:eastAsiaTheme="minorEastAsia" w:hAnsiTheme="minorHAnsi" w:cstheme="minorBidi"/>
              <w:noProof/>
              <w:sz w:val="22"/>
              <w:szCs w:val="22"/>
              <w:lang w:eastAsia="en-AU"/>
            </w:rPr>
          </w:pPr>
          <w:hyperlink w:anchor="_Toc430091238" w:history="1">
            <w:r w:rsidR="00ED1E27" w:rsidRPr="0061785B">
              <w:rPr>
                <w:rStyle w:val="Hyperlink"/>
                <w:noProof/>
              </w:rPr>
              <w:t>Site visits</w:t>
            </w:r>
            <w:r w:rsidR="00ED1E27">
              <w:rPr>
                <w:noProof/>
                <w:webHidden/>
              </w:rPr>
              <w:tab/>
            </w:r>
            <w:r w:rsidR="00ED1E27">
              <w:rPr>
                <w:noProof/>
                <w:webHidden/>
              </w:rPr>
              <w:fldChar w:fldCharType="begin"/>
            </w:r>
            <w:r w:rsidR="00ED1E27">
              <w:rPr>
                <w:noProof/>
                <w:webHidden/>
              </w:rPr>
              <w:instrText xml:space="preserve"> PAGEREF _Toc430091238 \h </w:instrText>
            </w:r>
            <w:r w:rsidR="00ED1E27">
              <w:rPr>
                <w:noProof/>
                <w:webHidden/>
              </w:rPr>
            </w:r>
            <w:r w:rsidR="00ED1E27">
              <w:rPr>
                <w:noProof/>
                <w:webHidden/>
              </w:rPr>
              <w:fldChar w:fldCharType="separate"/>
            </w:r>
            <w:r w:rsidR="004427AD">
              <w:rPr>
                <w:noProof/>
                <w:webHidden/>
              </w:rPr>
              <w:t>92</w:t>
            </w:r>
            <w:r w:rsidR="00ED1E27">
              <w:rPr>
                <w:noProof/>
                <w:webHidden/>
              </w:rPr>
              <w:fldChar w:fldCharType="end"/>
            </w:r>
          </w:hyperlink>
        </w:p>
        <w:p w14:paraId="6D8C400B" w14:textId="77777777" w:rsidR="00ED1E27" w:rsidRDefault="000C10D6">
          <w:pPr>
            <w:pStyle w:val="TOC3"/>
            <w:rPr>
              <w:rFonts w:asciiTheme="minorHAnsi" w:eastAsiaTheme="minorEastAsia" w:hAnsiTheme="minorHAnsi" w:cstheme="minorBidi"/>
              <w:noProof/>
              <w:sz w:val="22"/>
              <w:szCs w:val="22"/>
              <w:lang w:eastAsia="en-AU"/>
            </w:rPr>
          </w:pPr>
          <w:hyperlink w:anchor="_Toc430091239" w:history="1">
            <w:r w:rsidR="00ED1E27" w:rsidRPr="0061785B">
              <w:rPr>
                <w:rStyle w:val="Hyperlink"/>
                <w:noProof/>
              </w:rPr>
              <w:t>Traffic sources</w:t>
            </w:r>
            <w:r w:rsidR="00ED1E27">
              <w:rPr>
                <w:noProof/>
                <w:webHidden/>
              </w:rPr>
              <w:tab/>
            </w:r>
            <w:r w:rsidR="00ED1E27">
              <w:rPr>
                <w:noProof/>
                <w:webHidden/>
              </w:rPr>
              <w:fldChar w:fldCharType="begin"/>
            </w:r>
            <w:r w:rsidR="00ED1E27">
              <w:rPr>
                <w:noProof/>
                <w:webHidden/>
              </w:rPr>
              <w:instrText xml:space="preserve"> PAGEREF _Toc430091239 \h </w:instrText>
            </w:r>
            <w:r w:rsidR="00ED1E27">
              <w:rPr>
                <w:noProof/>
                <w:webHidden/>
              </w:rPr>
            </w:r>
            <w:r w:rsidR="00ED1E27">
              <w:rPr>
                <w:noProof/>
                <w:webHidden/>
              </w:rPr>
              <w:fldChar w:fldCharType="separate"/>
            </w:r>
            <w:r w:rsidR="004427AD">
              <w:rPr>
                <w:noProof/>
                <w:webHidden/>
              </w:rPr>
              <w:t>92</w:t>
            </w:r>
            <w:r w:rsidR="00ED1E27">
              <w:rPr>
                <w:noProof/>
                <w:webHidden/>
              </w:rPr>
              <w:fldChar w:fldCharType="end"/>
            </w:r>
          </w:hyperlink>
        </w:p>
        <w:p w14:paraId="3881E1C7" w14:textId="77777777" w:rsidR="00ED1E27" w:rsidRDefault="000C10D6">
          <w:pPr>
            <w:pStyle w:val="TOC3"/>
            <w:rPr>
              <w:rFonts w:asciiTheme="minorHAnsi" w:eastAsiaTheme="minorEastAsia" w:hAnsiTheme="minorHAnsi" w:cstheme="minorBidi"/>
              <w:noProof/>
              <w:sz w:val="22"/>
              <w:szCs w:val="22"/>
              <w:lang w:eastAsia="en-AU"/>
            </w:rPr>
          </w:pPr>
          <w:hyperlink w:anchor="_Toc430091240" w:history="1">
            <w:r w:rsidR="00ED1E27" w:rsidRPr="0061785B">
              <w:rPr>
                <w:rStyle w:val="Hyperlink"/>
                <w:noProof/>
              </w:rPr>
              <w:t>Twitter</w:t>
            </w:r>
            <w:r w:rsidR="00ED1E27">
              <w:rPr>
                <w:noProof/>
                <w:webHidden/>
              </w:rPr>
              <w:tab/>
            </w:r>
            <w:r w:rsidR="00ED1E27">
              <w:rPr>
                <w:noProof/>
                <w:webHidden/>
              </w:rPr>
              <w:fldChar w:fldCharType="begin"/>
            </w:r>
            <w:r w:rsidR="00ED1E27">
              <w:rPr>
                <w:noProof/>
                <w:webHidden/>
              </w:rPr>
              <w:instrText xml:space="preserve"> PAGEREF _Toc430091240 \h </w:instrText>
            </w:r>
            <w:r w:rsidR="00ED1E27">
              <w:rPr>
                <w:noProof/>
                <w:webHidden/>
              </w:rPr>
            </w:r>
            <w:r w:rsidR="00ED1E27">
              <w:rPr>
                <w:noProof/>
                <w:webHidden/>
              </w:rPr>
              <w:fldChar w:fldCharType="separate"/>
            </w:r>
            <w:r w:rsidR="004427AD">
              <w:rPr>
                <w:noProof/>
                <w:webHidden/>
              </w:rPr>
              <w:t>92</w:t>
            </w:r>
            <w:r w:rsidR="00ED1E27">
              <w:rPr>
                <w:noProof/>
                <w:webHidden/>
              </w:rPr>
              <w:fldChar w:fldCharType="end"/>
            </w:r>
          </w:hyperlink>
        </w:p>
        <w:p w14:paraId="69BF6BD4"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41" w:history="1">
            <w:r w:rsidR="00ED1E27" w:rsidRPr="0061785B">
              <w:rPr>
                <w:rStyle w:val="Hyperlink"/>
                <w:noProof/>
              </w:rPr>
              <w:t>Advice and Assistance Unit</w:t>
            </w:r>
            <w:r w:rsidR="00ED1E27">
              <w:rPr>
                <w:noProof/>
                <w:webHidden/>
              </w:rPr>
              <w:tab/>
            </w:r>
            <w:r w:rsidR="00ED1E27">
              <w:rPr>
                <w:noProof/>
                <w:webHidden/>
              </w:rPr>
              <w:fldChar w:fldCharType="begin"/>
            </w:r>
            <w:r w:rsidR="00ED1E27">
              <w:rPr>
                <w:noProof/>
                <w:webHidden/>
              </w:rPr>
              <w:instrText xml:space="preserve"> PAGEREF _Toc430091241 \h </w:instrText>
            </w:r>
            <w:r w:rsidR="00ED1E27">
              <w:rPr>
                <w:noProof/>
                <w:webHidden/>
              </w:rPr>
            </w:r>
            <w:r w:rsidR="00ED1E27">
              <w:rPr>
                <w:noProof/>
                <w:webHidden/>
              </w:rPr>
              <w:fldChar w:fldCharType="separate"/>
            </w:r>
            <w:r w:rsidR="004427AD">
              <w:rPr>
                <w:noProof/>
                <w:webHidden/>
              </w:rPr>
              <w:t>92</w:t>
            </w:r>
            <w:r w:rsidR="00ED1E27">
              <w:rPr>
                <w:noProof/>
                <w:webHidden/>
              </w:rPr>
              <w:fldChar w:fldCharType="end"/>
            </w:r>
          </w:hyperlink>
        </w:p>
        <w:p w14:paraId="6F988A5D" w14:textId="77777777" w:rsidR="00ED1E27" w:rsidRDefault="000C10D6">
          <w:pPr>
            <w:pStyle w:val="TOC1"/>
            <w:rPr>
              <w:rFonts w:asciiTheme="minorHAnsi" w:eastAsiaTheme="minorEastAsia" w:hAnsiTheme="minorHAnsi" w:cstheme="minorBidi"/>
              <w:sz w:val="22"/>
              <w:szCs w:val="22"/>
              <w:lang w:eastAsia="en-AU"/>
            </w:rPr>
          </w:pPr>
          <w:hyperlink w:anchor="_Toc430091242" w:history="1">
            <w:r w:rsidR="00ED1E27" w:rsidRPr="0061785B">
              <w:rPr>
                <w:rStyle w:val="Hyperlink"/>
              </w:rPr>
              <w:t>Training and seminars</w:t>
            </w:r>
            <w:r w:rsidR="00ED1E27">
              <w:rPr>
                <w:webHidden/>
              </w:rPr>
              <w:tab/>
            </w:r>
            <w:r w:rsidR="00ED1E27">
              <w:rPr>
                <w:webHidden/>
              </w:rPr>
              <w:fldChar w:fldCharType="begin"/>
            </w:r>
            <w:r w:rsidR="00ED1E27">
              <w:rPr>
                <w:webHidden/>
              </w:rPr>
              <w:instrText xml:space="preserve"> PAGEREF _Toc430091242 \h </w:instrText>
            </w:r>
            <w:r w:rsidR="00ED1E27">
              <w:rPr>
                <w:webHidden/>
              </w:rPr>
            </w:r>
            <w:r w:rsidR="00ED1E27">
              <w:rPr>
                <w:webHidden/>
              </w:rPr>
              <w:fldChar w:fldCharType="separate"/>
            </w:r>
            <w:r w:rsidR="004427AD">
              <w:rPr>
                <w:webHidden/>
              </w:rPr>
              <w:t>93</w:t>
            </w:r>
            <w:r w:rsidR="00ED1E27">
              <w:rPr>
                <w:webHidden/>
              </w:rPr>
              <w:fldChar w:fldCharType="end"/>
            </w:r>
          </w:hyperlink>
        </w:p>
        <w:p w14:paraId="4A0116A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43" w:history="1">
            <w:r w:rsidR="00ED1E27" w:rsidRPr="0061785B">
              <w:rPr>
                <w:rStyle w:val="Hyperlink"/>
                <w:noProof/>
              </w:rPr>
              <w:t>Welcome to WorkCover WA seminars</w:t>
            </w:r>
            <w:r w:rsidR="00ED1E27">
              <w:rPr>
                <w:noProof/>
                <w:webHidden/>
              </w:rPr>
              <w:tab/>
            </w:r>
            <w:r w:rsidR="00ED1E27">
              <w:rPr>
                <w:noProof/>
                <w:webHidden/>
              </w:rPr>
              <w:fldChar w:fldCharType="begin"/>
            </w:r>
            <w:r w:rsidR="00ED1E27">
              <w:rPr>
                <w:noProof/>
                <w:webHidden/>
              </w:rPr>
              <w:instrText xml:space="preserve"> PAGEREF _Toc430091243 \h </w:instrText>
            </w:r>
            <w:r w:rsidR="00ED1E27">
              <w:rPr>
                <w:noProof/>
                <w:webHidden/>
              </w:rPr>
            </w:r>
            <w:r w:rsidR="00ED1E27">
              <w:rPr>
                <w:noProof/>
                <w:webHidden/>
              </w:rPr>
              <w:fldChar w:fldCharType="separate"/>
            </w:r>
            <w:r w:rsidR="004427AD">
              <w:rPr>
                <w:noProof/>
                <w:webHidden/>
              </w:rPr>
              <w:t>93</w:t>
            </w:r>
            <w:r w:rsidR="00ED1E27">
              <w:rPr>
                <w:noProof/>
                <w:webHidden/>
              </w:rPr>
              <w:fldChar w:fldCharType="end"/>
            </w:r>
          </w:hyperlink>
        </w:p>
        <w:p w14:paraId="26CE20A4"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44" w:history="1">
            <w:r w:rsidR="00ED1E27" w:rsidRPr="0061785B">
              <w:rPr>
                <w:rStyle w:val="Hyperlink"/>
                <w:noProof/>
              </w:rPr>
              <w:t>Approved Medical Specialist training</w:t>
            </w:r>
            <w:r w:rsidR="00ED1E27">
              <w:rPr>
                <w:noProof/>
                <w:webHidden/>
              </w:rPr>
              <w:tab/>
            </w:r>
            <w:r w:rsidR="00ED1E27">
              <w:rPr>
                <w:noProof/>
                <w:webHidden/>
              </w:rPr>
              <w:fldChar w:fldCharType="begin"/>
            </w:r>
            <w:r w:rsidR="00ED1E27">
              <w:rPr>
                <w:noProof/>
                <w:webHidden/>
              </w:rPr>
              <w:instrText xml:space="preserve"> PAGEREF _Toc430091244 \h </w:instrText>
            </w:r>
            <w:r w:rsidR="00ED1E27">
              <w:rPr>
                <w:noProof/>
                <w:webHidden/>
              </w:rPr>
            </w:r>
            <w:r w:rsidR="00ED1E27">
              <w:rPr>
                <w:noProof/>
                <w:webHidden/>
              </w:rPr>
              <w:fldChar w:fldCharType="separate"/>
            </w:r>
            <w:r w:rsidR="004427AD">
              <w:rPr>
                <w:noProof/>
                <w:webHidden/>
              </w:rPr>
              <w:t>93</w:t>
            </w:r>
            <w:r w:rsidR="00ED1E27">
              <w:rPr>
                <w:noProof/>
                <w:webHidden/>
              </w:rPr>
              <w:fldChar w:fldCharType="end"/>
            </w:r>
          </w:hyperlink>
        </w:p>
        <w:p w14:paraId="4CC6FA9C"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45" w:history="1">
            <w:r w:rsidR="00ED1E27" w:rsidRPr="0061785B">
              <w:rPr>
                <w:rStyle w:val="Hyperlink"/>
                <w:noProof/>
              </w:rPr>
              <w:t>Approved Medical Specialist Peer Review</w:t>
            </w:r>
            <w:r w:rsidR="00ED1E27">
              <w:rPr>
                <w:noProof/>
                <w:webHidden/>
              </w:rPr>
              <w:tab/>
            </w:r>
            <w:r w:rsidR="00ED1E27">
              <w:rPr>
                <w:noProof/>
                <w:webHidden/>
              </w:rPr>
              <w:fldChar w:fldCharType="begin"/>
            </w:r>
            <w:r w:rsidR="00ED1E27">
              <w:rPr>
                <w:noProof/>
                <w:webHidden/>
              </w:rPr>
              <w:instrText xml:space="preserve"> PAGEREF _Toc430091245 \h </w:instrText>
            </w:r>
            <w:r w:rsidR="00ED1E27">
              <w:rPr>
                <w:noProof/>
                <w:webHidden/>
              </w:rPr>
            </w:r>
            <w:r w:rsidR="00ED1E27">
              <w:rPr>
                <w:noProof/>
                <w:webHidden/>
              </w:rPr>
              <w:fldChar w:fldCharType="separate"/>
            </w:r>
            <w:r w:rsidR="004427AD">
              <w:rPr>
                <w:noProof/>
                <w:webHidden/>
              </w:rPr>
              <w:t>94</w:t>
            </w:r>
            <w:r w:rsidR="00ED1E27">
              <w:rPr>
                <w:noProof/>
                <w:webHidden/>
              </w:rPr>
              <w:fldChar w:fldCharType="end"/>
            </w:r>
          </w:hyperlink>
        </w:p>
        <w:p w14:paraId="0889140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46" w:history="1">
            <w:r w:rsidR="00ED1E27" w:rsidRPr="0061785B">
              <w:rPr>
                <w:rStyle w:val="Hyperlink"/>
                <w:noProof/>
              </w:rPr>
              <w:t>Franchise Council of Australia WA Breakfast</w:t>
            </w:r>
            <w:r w:rsidR="00ED1E27">
              <w:rPr>
                <w:noProof/>
                <w:webHidden/>
              </w:rPr>
              <w:tab/>
            </w:r>
            <w:r w:rsidR="00ED1E27">
              <w:rPr>
                <w:noProof/>
                <w:webHidden/>
              </w:rPr>
              <w:fldChar w:fldCharType="begin"/>
            </w:r>
            <w:r w:rsidR="00ED1E27">
              <w:rPr>
                <w:noProof/>
                <w:webHidden/>
              </w:rPr>
              <w:instrText xml:space="preserve"> PAGEREF _Toc430091246 \h </w:instrText>
            </w:r>
            <w:r w:rsidR="00ED1E27">
              <w:rPr>
                <w:noProof/>
                <w:webHidden/>
              </w:rPr>
            </w:r>
            <w:r w:rsidR="00ED1E27">
              <w:rPr>
                <w:noProof/>
                <w:webHidden/>
              </w:rPr>
              <w:fldChar w:fldCharType="separate"/>
            </w:r>
            <w:r w:rsidR="004427AD">
              <w:rPr>
                <w:noProof/>
                <w:webHidden/>
              </w:rPr>
              <w:t>94</w:t>
            </w:r>
            <w:r w:rsidR="00ED1E27">
              <w:rPr>
                <w:noProof/>
                <w:webHidden/>
              </w:rPr>
              <w:fldChar w:fldCharType="end"/>
            </w:r>
          </w:hyperlink>
        </w:p>
        <w:p w14:paraId="0DD14255"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47" w:history="1">
            <w:r w:rsidR="00ED1E27" w:rsidRPr="0061785B">
              <w:rPr>
                <w:rStyle w:val="Hyperlink"/>
                <w:noProof/>
              </w:rPr>
              <w:t>Presentations on request</w:t>
            </w:r>
            <w:r w:rsidR="00ED1E27">
              <w:rPr>
                <w:noProof/>
                <w:webHidden/>
              </w:rPr>
              <w:tab/>
            </w:r>
            <w:r w:rsidR="00ED1E27">
              <w:rPr>
                <w:noProof/>
                <w:webHidden/>
              </w:rPr>
              <w:fldChar w:fldCharType="begin"/>
            </w:r>
            <w:r w:rsidR="00ED1E27">
              <w:rPr>
                <w:noProof/>
                <w:webHidden/>
              </w:rPr>
              <w:instrText xml:space="preserve"> PAGEREF _Toc430091247 \h </w:instrText>
            </w:r>
            <w:r w:rsidR="00ED1E27">
              <w:rPr>
                <w:noProof/>
                <w:webHidden/>
              </w:rPr>
            </w:r>
            <w:r w:rsidR="00ED1E27">
              <w:rPr>
                <w:noProof/>
                <w:webHidden/>
              </w:rPr>
              <w:fldChar w:fldCharType="separate"/>
            </w:r>
            <w:r w:rsidR="004427AD">
              <w:rPr>
                <w:noProof/>
                <w:webHidden/>
              </w:rPr>
              <w:t>94</w:t>
            </w:r>
            <w:r w:rsidR="00ED1E27">
              <w:rPr>
                <w:noProof/>
                <w:webHidden/>
              </w:rPr>
              <w:fldChar w:fldCharType="end"/>
            </w:r>
          </w:hyperlink>
        </w:p>
        <w:p w14:paraId="2FEA73CC"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48" w:history="1">
            <w:r w:rsidR="00ED1E27" w:rsidRPr="0061785B">
              <w:rPr>
                <w:rStyle w:val="Hyperlink"/>
                <w:noProof/>
              </w:rPr>
              <w:t>Consultation and engagement with stakeholders</w:t>
            </w:r>
            <w:r w:rsidR="00ED1E27">
              <w:rPr>
                <w:noProof/>
                <w:webHidden/>
              </w:rPr>
              <w:tab/>
            </w:r>
            <w:r w:rsidR="00ED1E27">
              <w:rPr>
                <w:noProof/>
                <w:webHidden/>
              </w:rPr>
              <w:fldChar w:fldCharType="begin"/>
            </w:r>
            <w:r w:rsidR="00ED1E27">
              <w:rPr>
                <w:noProof/>
                <w:webHidden/>
              </w:rPr>
              <w:instrText xml:space="preserve"> PAGEREF _Toc430091248 \h </w:instrText>
            </w:r>
            <w:r w:rsidR="00ED1E27">
              <w:rPr>
                <w:noProof/>
                <w:webHidden/>
              </w:rPr>
            </w:r>
            <w:r w:rsidR="00ED1E27">
              <w:rPr>
                <w:noProof/>
                <w:webHidden/>
              </w:rPr>
              <w:fldChar w:fldCharType="separate"/>
            </w:r>
            <w:r w:rsidR="004427AD">
              <w:rPr>
                <w:noProof/>
                <w:webHidden/>
              </w:rPr>
              <w:t>95</w:t>
            </w:r>
            <w:r w:rsidR="00ED1E27">
              <w:rPr>
                <w:noProof/>
                <w:webHidden/>
              </w:rPr>
              <w:fldChar w:fldCharType="end"/>
            </w:r>
          </w:hyperlink>
        </w:p>
        <w:p w14:paraId="5069266F" w14:textId="77777777" w:rsidR="00ED1E27" w:rsidRDefault="000C10D6">
          <w:pPr>
            <w:pStyle w:val="TOC3"/>
            <w:rPr>
              <w:rFonts w:asciiTheme="minorHAnsi" w:eastAsiaTheme="minorEastAsia" w:hAnsiTheme="minorHAnsi" w:cstheme="minorBidi"/>
              <w:noProof/>
              <w:sz w:val="22"/>
              <w:szCs w:val="22"/>
              <w:lang w:eastAsia="en-AU"/>
            </w:rPr>
          </w:pPr>
          <w:hyperlink w:anchor="_Toc430091249" w:history="1">
            <w:r w:rsidR="00ED1E27" w:rsidRPr="0061785B">
              <w:rPr>
                <w:rStyle w:val="Hyperlink"/>
                <w:noProof/>
              </w:rPr>
              <w:t>CASE STUDY 2: Development of a Biennial Conference</w:t>
            </w:r>
            <w:r w:rsidR="00ED1E27">
              <w:rPr>
                <w:noProof/>
                <w:webHidden/>
              </w:rPr>
              <w:tab/>
            </w:r>
            <w:r w:rsidR="00ED1E27">
              <w:rPr>
                <w:noProof/>
                <w:webHidden/>
              </w:rPr>
              <w:fldChar w:fldCharType="begin"/>
            </w:r>
            <w:r w:rsidR="00ED1E27">
              <w:rPr>
                <w:noProof/>
                <w:webHidden/>
              </w:rPr>
              <w:instrText xml:space="preserve"> PAGEREF _Toc430091249 \h </w:instrText>
            </w:r>
            <w:r w:rsidR="00ED1E27">
              <w:rPr>
                <w:noProof/>
                <w:webHidden/>
              </w:rPr>
            </w:r>
            <w:r w:rsidR="00ED1E27">
              <w:rPr>
                <w:noProof/>
                <w:webHidden/>
              </w:rPr>
              <w:fldChar w:fldCharType="separate"/>
            </w:r>
            <w:r w:rsidR="004427AD">
              <w:rPr>
                <w:noProof/>
                <w:webHidden/>
              </w:rPr>
              <w:t>95</w:t>
            </w:r>
            <w:r w:rsidR="00ED1E27">
              <w:rPr>
                <w:noProof/>
                <w:webHidden/>
              </w:rPr>
              <w:fldChar w:fldCharType="end"/>
            </w:r>
          </w:hyperlink>
        </w:p>
        <w:p w14:paraId="6CF45B8B" w14:textId="77777777" w:rsidR="00ED1E27" w:rsidRDefault="000C10D6">
          <w:pPr>
            <w:pStyle w:val="TOC3"/>
            <w:rPr>
              <w:rFonts w:asciiTheme="minorHAnsi" w:eastAsiaTheme="minorEastAsia" w:hAnsiTheme="minorHAnsi" w:cstheme="minorBidi"/>
              <w:noProof/>
              <w:sz w:val="22"/>
              <w:szCs w:val="22"/>
              <w:lang w:eastAsia="en-AU"/>
            </w:rPr>
          </w:pPr>
          <w:hyperlink w:anchor="_Toc430091250" w:history="1">
            <w:r w:rsidR="00ED1E27" w:rsidRPr="0061785B">
              <w:rPr>
                <w:rStyle w:val="Hyperlink"/>
                <w:noProof/>
              </w:rPr>
              <w:t>Delegate feedback</w:t>
            </w:r>
            <w:r w:rsidR="00ED1E27">
              <w:rPr>
                <w:noProof/>
                <w:webHidden/>
              </w:rPr>
              <w:tab/>
            </w:r>
            <w:r w:rsidR="00ED1E27">
              <w:rPr>
                <w:noProof/>
                <w:webHidden/>
              </w:rPr>
              <w:fldChar w:fldCharType="begin"/>
            </w:r>
            <w:r w:rsidR="00ED1E27">
              <w:rPr>
                <w:noProof/>
                <w:webHidden/>
              </w:rPr>
              <w:instrText xml:space="preserve"> PAGEREF _Toc430091250 \h </w:instrText>
            </w:r>
            <w:r w:rsidR="00ED1E27">
              <w:rPr>
                <w:noProof/>
                <w:webHidden/>
              </w:rPr>
            </w:r>
            <w:r w:rsidR="00ED1E27">
              <w:rPr>
                <w:noProof/>
                <w:webHidden/>
              </w:rPr>
              <w:fldChar w:fldCharType="separate"/>
            </w:r>
            <w:r w:rsidR="004427AD">
              <w:rPr>
                <w:noProof/>
                <w:webHidden/>
              </w:rPr>
              <w:t>96</w:t>
            </w:r>
            <w:r w:rsidR="00ED1E27">
              <w:rPr>
                <w:noProof/>
                <w:webHidden/>
              </w:rPr>
              <w:fldChar w:fldCharType="end"/>
            </w:r>
          </w:hyperlink>
        </w:p>
        <w:p w14:paraId="7568E0EC" w14:textId="77777777" w:rsidR="00ED1E27" w:rsidRDefault="000C10D6">
          <w:pPr>
            <w:pStyle w:val="TOC3"/>
            <w:rPr>
              <w:rFonts w:asciiTheme="minorHAnsi" w:eastAsiaTheme="minorEastAsia" w:hAnsiTheme="minorHAnsi" w:cstheme="minorBidi"/>
              <w:noProof/>
              <w:sz w:val="22"/>
              <w:szCs w:val="22"/>
              <w:lang w:eastAsia="en-AU"/>
            </w:rPr>
          </w:pPr>
          <w:hyperlink w:anchor="_Toc430091251" w:history="1">
            <w:r w:rsidR="00ED1E27" w:rsidRPr="0061785B">
              <w:rPr>
                <w:rStyle w:val="Hyperlink"/>
                <w:noProof/>
              </w:rPr>
              <w:t>2014 Stakeholder Event</w:t>
            </w:r>
            <w:r w:rsidR="00ED1E27">
              <w:rPr>
                <w:noProof/>
                <w:webHidden/>
              </w:rPr>
              <w:tab/>
            </w:r>
            <w:r w:rsidR="00ED1E27">
              <w:rPr>
                <w:noProof/>
                <w:webHidden/>
              </w:rPr>
              <w:fldChar w:fldCharType="begin"/>
            </w:r>
            <w:r w:rsidR="00ED1E27">
              <w:rPr>
                <w:noProof/>
                <w:webHidden/>
              </w:rPr>
              <w:instrText xml:space="preserve"> PAGEREF _Toc430091251 \h </w:instrText>
            </w:r>
            <w:r w:rsidR="00ED1E27">
              <w:rPr>
                <w:noProof/>
                <w:webHidden/>
              </w:rPr>
            </w:r>
            <w:r w:rsidR="00ED1E27">
              <w:rPr>
                <w:noProof/>
                <w:webHidden/>
              </w:rPr>
              <w:fldChar w:fldCharType="separate"/>
            </w:r>
            <w:r w:rsidR="004427AD">
              <w:rPr>
                <w:noProof/>
                <w:webHidden/>
              </w:rPr>
              <w:t>97</w:t>
            </w:r>
            <w:r w:rsidR="00ED1E27">
              <w:rPr>
                <w:noProof/>
                <w:webHidden/>
              </w:rPr>
              <w:fldChar w:fldCharType="end"/>
            </w:r>
          </w:hyperlink>
        </w:p>
        <w:p w14:paraId="5389C07C" w14:textId="77777777" w:rsidR="00ED1E27" w:rsidRDefault="000C10D6">
          <w:pPr>
            <w:pStyle w:val="TOC1"/>
            <w:rPr>
              <w:rFonts w:asciiTheme="minorHAnsi" w:eastAsiaTheme="minorEastAsia" w:hAnsiTheme="minorHAnsi" w:cstheme="minorBidi"/>
              <w:sz w:val="22"/>
              <w:szCs w:val="22"/>
              <w:lang w:eastAsia="en-AU"/>
            </w:rPr>
          </w:pPr>
          <w:hyperlink w:anchor="_Toc430091252" w:history="1">
            <w:r w:rsidR="00ED1E27" w:rsidRPr="0061785B">
              <w:rPr>
                <w:rStyle w:val="Hyperlink"/>
              </w:rPr>
              <w:t>Collaboration</w:t>
            </w:r>
            <w:r w:rsidR="00ED1E27">
              <w:rPr>
                <w:webHidden/>
              </w:rPr>
              <w:tab/>
            </w:r>
            <w:r w:rsidR="00ED1E27">
              <w:rPr>
                <w:webHidden/>
              </w:rPr>
              <w:fldChar w:fldCharType="begin"/>
            </w:r>
            <w:r w:rsidR="00ED1E27">
              <w:rPr>
                <w:webHidden/>
              </w:rPr>
              <w:instrText xml:space="preserve"> PAGEREF _Toc430091252 \h </w:instrText>
            </w:r>
            <w:r w:rsidR="00ED1E27">
              <w:rPr>
                <w:webHidden/>
              </w:rPr>
            </w:r>
            <w:r w:rsidR="00ED1E27">
              <w:rPr>
                <w:webHidden/>
              </w:rPr>
              <w:fldChar w:fldCharType="separate"/>
            </w:r>
            <w:r w:rsidR="004427AD">
              <w:rPr>
                <w:webHidden/>
              </w:rPr>
              <w:t>97</w:t>
            </w:r>
            <w:r w:rsidR="00ED1E27">
              <w:rPr>
                <w:webHidden/>
              </w:rPr>
              <w:fldChar w:fldCharType="end"/>
            </w:r>
          </w:hyperlink>
        </w:p>
        <w:p w14:paraId="66AA2D89"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53" w:history="1">
            <w:r w:rsidR="00ED1E27" w:rsidRPr="0061785B">
              <w:rPr>
                <w:rStyle w:val="Hyperlink"/>
                <w:noProof/>
              </w:rPr>
              <w:t>International collaboration</w:t>
            </w:r>
            <w:r w:rsidR="00ED1E27">
              <w:rPr>
                <w:noProof/>
                <w:webHidden/>
              </w:rPr>
              <w:tab/>
            </w:r>
            <w:r w:rsidR="00ED1E27">
              <w:rPr>
                <w:noProof/>
                <w:webHidden/>
              </w:rPr>
              <w:fldChar w:fldCharType="begin"/>
            </w:r>
            <w:r w:rsidR="00ED1E27">
              <w:rPr>
                <w:noProof/>
                <w:webHidden/>
              </w:rPr>
              <w:instrText xml:space="preserve"> PAGEREF _Toc430091253 \h </w:instrText>
            </w:r>
            <w:r w:rsidR="00ED1E27">
              <w:rPr>
                <w:noProof/>
                <w:webHidden/>
              </w:rPr>
            </w:r>
            <w:r w:rsidR="00ED1E27">
              <w:rPr>
                <w:noProof/>
                <w:webHidden/>
              </w:rPr>
              <w:fldChar w:fldCharType="separate"/>
            </w:r>
            <w:r w:rsidR="004427AD">
              <w:rPr>
                <w:noProof/>
                <w:webHidden/>
              </w:rPr>
              <w:t>97</w:t>
            </w:r>
            <w:r w:rsidR="00ED1E27">
              <w:rPr>
                <w:noProof/>
                <w:webHidden/>
              </w:rPr>
              <w:fldChar w:fldCharType="end"/>
            </w:r>
          </w:hyperlink>
        </w:p>
        <w:p w14:paraId="29A1CE77" w14:textId="77777777" w:rsidR="00ED1E27" w:rsidRDefault="000C10D6">
          <w:pPr>
            <w:pStyle w:val="TOC3"/>
            <w:rPr>
              <w:rFonts w:asciiTheme="minorHAnsi" w:eastAsiaTheme="minorEastAsia" w:hAnsiTheme="minorHAnsi" w:cstheme="minorBidi"/>
              <w:noProof/>
              <w:sz w:val="22"/>
              <w:szCs w:val="22"/>
              <w:lang w:eastAsia="en-AU"/>
            </w:rPr>
          </w:pPr>
          <w:hyperlink w:anchor="_Toc430091254" w:history="1">
            <w:r w:rsidR="00ED1E27" w:rsidRPr="0061785B">
              <w:rPr>
                <w:rStyle w:val="Hyperlink"/>
                <w:noProof/>
              </w:rPr>
              <w:t>Singapore’s Ministry of Manpower</w:t>
            </w:r>
            <w:r w:rsidR="00ED1E27">
              <w:rPr>
                <w:noProof/>
                <w:webHidden/>
              </w:rPr>
              <w:tab/>
            </w:r>
            <w:r w:rsidR="00ED1E27">
              <w:rPr>
                <w:noProof/>
                <w:webHidden/>
              </w:rPr>
              <w:fldChar w:fldCharType="begin"/>
            </w:r>
            <w:r w:rsidR="00ED1E27">
              <w:rPr>
                <w:noProof/>
                <w:webHidden/>
              </w:rPr>
              <w:instrText xml:space="preserve"> PAGEREF _Toc430091254 \h </w:instrText>
            </w:r>
            <w:r w:rsidR="00ED1E27">
              <w:rPr>
                <w:noProof/>
                <w:webHidden/>
              </w:rPr>
            </w:r>
            <w:r w:rsidR="00ED1E27">
              <w:rPr>
                <w:noProof/>
                <w:webHidden/>
              </w:rPr>
              <w:fldChar w:fldCharType="separate"/>
            </w:r>
            <w:r w:rsidR="004427AD">
              <w:rPr>
                <w:noProof/>
                <w:webHidden/>
              </w:rPr>
              <w:t>97</w:t>
            </w:r>
            <w:r w:rsidR="00ED1E27">
              <w:rPr>
                <w:noProof/>
                <w:webHidden/>
              </w:rPr>
              <w:fldChar w:fldCharType="end"/>
            </w:r>
          </w:hyperlink>
        </w:p>
        <w:p w14:paraId="3F7A8213"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55" w:history="1">
            <w:r w:rsidR="00ED1E27" w:rsidRPr="0061785B">
              <w:rPr>
                <w:rStyle w:val="Hyperlink"/>
                <w:noProof/>
              </w:rPr>
              <w:t>National collaboration</w:t>
            </w:r>
            <w:r w:rsidR="00ED1E27">
              <w:rPr>
                <w:noProof/>
                <w:webHidden/>
              </w:rPr>
              <w:tab/>
            </w:r>
            <w:r w:rsidR="00ED1E27">
              <w:rPr>
                <w:noProof/>
                <w:webHidden/>
              </w:rPr>
              <w:fldChar w:fldCharType="begin"/>
            </w:r>
            <w:r w:rsidR="00ED1E27">
              <w:rPr>
                <w:noProof/>
                <w:webHidden/>
              </w:rPr>
              <w:instrText xml:space="preserve"> PAGEREF _Toc430091255 \h </w:instrText>
            </w:r>
            <w:r w:rsidR="00ED1E27">
              <w:rPr>
                <w:noProof/>
                <w:webHidden/>
              </w:rPr>
            </w:r>
            <w:r w:rsidR="00ED1E27">
              <w:rPr>
                <w:noProof/>
                <w:webHidden/>
              </w:rPr>
              <w:fldChar w:fldCharType="separate"/>
            </w:r>
            <w:r w:rsidR="004427AD">
              <w:rPr>
                <w:noProof/>
                <w:webHidden/>
              </w:rPr>
              <w:t>97</w:t>
            </w:r>
            <w:r w:rsidR="00ED1E27">
              <w:rPr>
                <w:noProof/>
                <w:webHidden/>
              </w:rPr>
              <w:fldChar w:fldCharType="end"/>
            </w:r>
          </w:hyperlink>
        </w:p>
        <w:p w14:paraId="59DCDA62" w14:textId="77777777" w:rsidR="00ED1E27" w:rsidRDefault="000C10D6">
          <w:pPr>
            <w:pStyle w:val="TOC3"/>
            <w:rPr>
              <w:rFonts w:asciiTheme="minorHAnsi" w:eastAsiaTheme="minorEastAsia" w:hAnsiTheme="minorHAnsi" w:cstheme="minorBidi"/>
              <w:noProof/>
              <w:sz w:val="22"/>
              <w:szCs w:val="22"/>
              <w:lang w:eastAsia="en-AU"/>
            </w:rPr>
          </w:pPr>
          <w:hyperlink w:anchor="_Toc430091256" w:history="1">
            <w:r w:rsidR="00ED1E27" w:rsidRPr="0061785B">
              <w:rPr>
                <w:rStyle w:val="Hyperlink"/>
                <w:noProof/>
              </w:rPr>
              <w:t>Strategic Issues Group – Workers’ Compensation</w:t>
            </w:r>
            <w:r w:rsidR="00ED1E27">
              <w:rPr>
                <w:noProof/>
                <w:webHidden/>
              </w:rPr>
              <w:tab/>
            </w:r>
            <w:r w:rsidR="00ED1E27">
              <w:rPr>
                <w:noProof/>
                <w:webHidden/>
              </w:rPr>
              <w:fldChar w:fldCharType="begin"/>
            </w:r>
            <w:r w:rsidR="00ED1E27">
              <w:rPr>
                <w:noProof/>
                <w:webHidden/>
              </w:rPr>
              <w:instrText xml:space="preserve"> PAGEREF _Toc430091256 \h </w:instrText>
            </w:r>
            <w:r w:rsidR="00ED1E27">
              <w:rPr>
                <w:noProof/>
                <w:webHidden/>
              </w:rPr>
            </w:r>
            <w:r w:rsidR="00ED1E27">
              <w:rPr>
                <w:noProof/>
                <w:webHidden/>
              </w:rPr>
              <w:fldChar w:fldCharType="separate"/>
            </w:r>
            <w:r w:rsidR="004427AD">
              <w:rPr>
                <w:noProof/>
                <w:webHidden/>
              </w:rPr>
              <w:t>97</w:t>
            </w:r>
            <w:r w:rsidR="00ED1E27">
              <w:rPr>
                <w:noProof/>
                <w:webHidden/>
              </w:rPr>
              <w:fldChar w:fldCharType="end"/>
            </w:r>
          </w:hyperlink>
        </w:p>
        <w:p w14:paraId="08B2C662" w14:textId="77777777" w:rsidR="00ED1E27" w:rsidRDefault="000C10D6">
          <w:pPr>
            <w:pStyle w:val="TOC3"/>
            <w:rPr>
              <w:rFonts w:asciiTheme="minorHAnsi" w:eastAsiaTheme="minorEastAsia" w:hAnsiTheme="minorHAnsi" w:cstheme="minorBidi"/>
              <w:noProof/>
              <w:sz w:val="22"/>
              <w:szCs w:val="22"/>
              <w:lang w:eastAsia="en-AU"/>
            </w:rPr>
          </w:pPr>
          <w:hyperlink w:anchor="_Toc430091257" w:history="1">
            <w:r w:rsidR="00ED1E27" w:rsidRPr="0061785B">
              <w:rPr>
                <w:rStyle w:val="Hyperlink"/>
                <w:noProof/>
              </w:rPr>
              <w:t>Australian Business Register</w:t>
            </w:r>
            <w:r w:rsidR="00ED1E27">
              <w:rPr>
                <w:noProof/>
                <w:webHidden/>
              </w:rPr>
              <w:tab/>
            </w:r>
            <w:r w:rsidR="00ED1E27">
              <w:rPr>
                <w:noProof/>
                <w:webHidden/>
              </w:rPr>
              <w:fldChar w:fldCharType="begin"/>
            </w:r>
            <w:r w:rsidR="00ED1E27">
              <w:rPr>
                <w:noProof/>
                <w:webHidden/>
              </w:rPr>
              <w:instrText xml:space="preserve"> PAGEREF _Toc430091257 \h </w:instrText>
            </w:r>
            <w:r w:rsidR="00ED1E27">
              <w:rPr>
                <w:noProof/>
                <w:webHidden/>
              </w:rPr>
            </w:r>
            <w:r w:rsidR="00ED1E27">
              <w:rPr>
                <w:noProof/>
                <w:webHidden/>
              </w:rPr>
              <w:fldChar w:fldCharType="separate"/>
            </w:r>
            <w:r w:rsidR="004427AD">
              <w:rPr>
                <w:noProof/>
                <w:webHidden/>
              </w:rPr>
              <w:t>98</w:t>
            </w:r>
            <w:r w:rsidR="00ED1E27">
              <w:rPr>
                <w:noProof/>
                <w:webHidden/>
              </w:rPr>
              <w:fldChar w:fldCharType="end"/>
            </w:r>
          </w:hyperlink>
        </w:p>
        <w:p w14:paraId="4D715CD7" w14:textId="77777777" w:rsidR="00ED1E27" w:rsidRDefault="000C10D6">
          <w:pPr>
            <w:pStyle w:val="TOC3"/>
            <w:rPr>
              <w:rFonts w:asciiTheme="minorHAnsi" w:eastAsiaTheme="minorEastAsia" w:hAnsiTheme="minorHAnsi" w:cstheme="minorBidi"/>
              <w:noProof/>
              <w:sz w:val="22"/>
              <w:szCs w:val="22"/>
              <w:lang w:eastAsia="en-AU"/>
            </w:rPr>
          </w:pPr>
          <w:hyperlink w:anchor="_Toc430091258" w:history="1">
            <w:r w:rsidR="00ED1E27" w:rsidRPr="0061785B">
              <w:rPr>
                <w:rStyle w:val="Hyperlink"/>
                <w:noProof/>
              </w:rPr>
              <w:t>Personal Injury Education Foundation</w:t>
            </w:r>
            <w:r w:rsidR="00ED1E27">
              <w:rPr>
                <w:noProof/>
                <w:webHidden/>
              </w:rPr>
              <w:tab/>
            </w:r>
            <w:r w:rsidR="00ED1E27">
              <w:rPr>
                <w:noProof/>
                <w:webHidden/>
              </w:rPr>
              <w:fldChar w:fldCharType="begin"/>
            </w:r>
            <w:r w:rsidR="00ED1E27">
              <w:rPr>
                <w:noProof/>
                <w:webHidden/>
              </w:rPr>
              <w:instrText xml:space="preserve"> PAGEREF _Toc430091258 \h </w:instrText>
            </w:r>
            <w:r w:rsidR="00ED1E27">
              <w:rPr>
                <w:noProof/>
                <w:webHidden/>
              </w:rPr>
            </w:r>
            <w:r w:rsidR="00ED1E27">
              <w:rPr>
                <w:noProof/>
                <w:webHidden/>
              </w:rPr>
              <w:fldChar w:fldCharType="separate"/>
            </w:r>
            <w:r w:rsidR="004427AD">
              <w:rPr>
                <w:noProof/>
                <w:webHidden/>
              </w:rPr>
              <w:t>98</w:t>
            </w:r>
            <w:r w:rsidR="00ED1E27">
              <w:rPr>
                <w:noProof/>
                <w:webHidden/>
              </w:rPr>
              <w:fldChar w:fldCharType="end"/>
            </w:r>
          </w:hyperlink>
        </w:p>
        <w:p w14:paraId="110389A3"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59" w:history="1">
            <w:r w:rsidR="00ED1E27" w:rsidRPr="0061785B">
              <w:rPr>
                <w:rStyle w:val="Hyperlink"/>
                <w:noProof/>
              </w:rPr>
              <w:t>State collaboration</w:t>
            </w:r>
            <w:r w:rsidR="00ED1E27">
              <w:rPr>
                <w:noProof/>
                <w:webHidden/>
              </w:rPr>
              <w:tab/>
            </w:r>
            <w:r w:rsidR="00ED1E27">
              <w:rPr>
                <w:noProof/>
                <w:webHidden/>
              </w:rPr>
              <w:fldChar w:fldCharType="begin"/>
            </w:r>
            <w:r w:rsidR="00ED1E27">
              <w:rPr>
                <w:noProof/>
                <w:webHidden/>
              </w:rPr>
              <w:instrText xml:space="preserve"> PAGEREF _Toc430091259 \h </w:instrText>
            </w:r>
            <w:r w:rsidR="00ED1E27">
              <w:rPr>
                <w:noProof/>
                <w:webHidden/>
              </w:rPr>
            </w:r>
            <w:r w:rsidR="00ED1E27">
              <w:rPr>
                <w:noProof/>
                <w:webHidden/>
              </w:rPr>
              <w:fldChar w:fldCharType="separate"/>
            </w:r>
            <w:r w:rsidR="004427AD">
              <w:rPr>
                <w:noProof/>
                <w:webHidden/>
              </w:rPr>
              <w:t>98</w:t>
            </w:r>
            <w:r w:rsidR="00ED1E27">
              <w:rPr>
                <w:noProof/>
                <w:webHidden/>
              </w:rPr>
              <w:fldChar w:fldCharType="end"/>
            </w:r>
          </w:hyperlink>
        </w:p>
        <w:p w14:paraId="4FC3EA69" w14:textId="77777777" w:rsidR="00ED1E27" w:rsidRDefault="000C10D6">
          <w:pPr>
            <w:pStyle w:val="TOC3"/>
            <w:rPr>
              <w:rFonts w:asciiTheme="minorHAnsi" w:eastAsiaTheme="minorEastAsia" w:hAnsiTheme="minorHAnsi" w:cstheme="minorBidi"/>
              <w:noProof/>
              <w:sz w:val="22"/>
              <w:szCs w:val="22"/>
              <w:lang w:eastAsia="en-AU"/>
            </w:rPr>
          </w:pPr>
          <w:hyperlink w:anchor="_Toc430091260" w:history="1">
            <w:r w:rsidR="00ED1E27" w:rsidRPr="0061785B">
              <w:rPr>
                <w:rStyle w:val="Hyperlink"/>
                <w:noProof/>
              </w:rPr>
              <w:t>Public Sector Safety and Injury Management Steering Committee</w:t>
            </w:r>
            <w:r w:rsidR="00ED1E27">
              <w:rPr>
                <w:noProof/>
                <w:webHidden/>
              </w:rPr>
              <w:tab/>
            </w:r>
            <w:r w:rsidR="00ED1E27">
              <w:rPr>
                <w:noProof/>
                <w:webHidden/>
              </w:rPr>
              <w:fldChar w:fldCharType="begin"/>
            </w:r>
            <w:r w:rsidR="00ED1E27">
              <w:rPr>
                <w:noProof/>
                <w:webHidden/>
              </w:rPr>
              <w:instrText xml:space="preserve"> PAGEREF _Toc430091260 \h </w:instrText>
            </w:r>
            <w:r w:rsidR="00ED1E27">
              <w:rPr>
                <w:noProof/>
                <w:webHidden/>
              </w:rPr>
            </w:r>
            <w:r w:rsidR="00ED1E27">
              <w:rPr>
                <w:noProof/>
                <w:webHidden/>
              </w:rPr>
              <w:fldChar w:fldCharType="separate"/>
            </w:r>
            <w:r w:rsidR="004427AD">
              <w:rPr>
                <w:noProof/>
                <w:webHidden/>
              </w:rPr>
              <w:t>98</w:t>
            </w:r>
            <w:r w:rsidR="00ED1E27">
              <w:rPr>
                <w:noProof/>
                <w:webHidden/>
              </w:rPr>
              <w:fldChar w:fldCharType="end"/>
            </w:r>
          </w:hyperlink>
        </w:p>
        <w:p w14:paraId="2A04A0D4" w14:textId="77777777" w:rsidR="00ED1E27" w:rsidRDefault="000C10D6">
          <w:pPr>
            <w:pStyle w:val="TOC3"/>
            <w:rPr>
              <w:rFonts w:asciiTheme="minorHAnsi" w:eastAsiaTheme="minorEastAsia" w:hAnsiTheme="minorHAnsi" w:cstheme="minorBidi"/>
              <w:noProof/>
              <w:sz w:val="22"/>
              <w:szCs w:val="22"/>
              <w:lang w:eastAsia="en-AU"/>
            </w:rPr>
          </w:pPr>
          <w:hyperlink w:anchor="_Toc430091261" w:history="1">
            <w:r w:rsidR="00ED1E27" w:rsidRPr="0061785B">
              <w:rPr>
                <w:rStyle w:val="Hyperlink"/>
                <w:noProof/>
              </w:rPr>
              <w:t>Industrial Foundation for Accident Prevention</w:t>
            </w:r>
            <w:r w:rsidR="00ED1E27">
              <w:rPr>
                <w:noProof/>
                <w:webHidden/>
              </w:rPr>
              <w:tab/>
            </w:r>
            <w:r w:rsidR="00ED1E27">
              <w:rPr>
                <w:noProof/>
                <w:webHidden/>
              </w:rPr>
              <w:fldChar w:fldCharType="begin"/>
            </w:r>
            <w:r w:rsidR="00ED1E27">
              <w:rPr>
                <w:noProof/>
                <w:webHidden/>
              </w:rPr>
              <w:instrText xml:space="preserve"> PAGEREF _Toc430091261 \h </w:instrText>
            </w:r>
            <w:r w:rsidR="00ED1E27">
              <w:rPr>
                <w:noProof/>
                <w:webHidden/>
              </w:rPr>
            </w:r>
            <w:r w:rsidR="00ED1E27">
              <w:rPr>
                <w:noProof/>
                <w:webHidden/>
              </w:rPr>
              <w:fldChar w:fldCharType="separate"/>
            </w:r>
            <w:r w:rsidR="004427AD">
              <w:rPr>
                <w:noProof/>
                <w:webHidden/>
              </w:rPr>
              <w:t>99</w:t>
            </w:r>
            <w:r w:rsidR="00ED1E27">
              <w:rPr>
                <w:noProof/>
                <w:webHidden/>
              </w:rPr>
              <w:fldChar w:fldCharType="end"/>
            </w:r>
          </w:hyperlink>
        </w:p>
        <w:p w14:paraId="0E9AA0F6" w14:textId="77777777" w:rsidR="00ED1E27" w:rsidRDefault="000C10D6">
          <w:pPr>
            <w:pStyle w:val="TOC3"/>
            <w:rPr>
              <w:rFonts w:asciiTheme="minorHAnsi" w:eastAsiaTheme="minorEastAsia" w:hAnsiTheme="minorHAnsi" w:cstheme="minorBidi"/>
              <w:noProof/>
              <w:sz w:val="22"/>
              <w:szCs w:val="22"/>
              <w:lang w:eastAsia="en-AU"/>
            </w:rPr>
          </w:pPr>
          <w:hyperlink w:anchor="_Toc430091262" w:history="1">
            <w:r w:rsidR="00ED1E27" w:rsidRPr="0061785B">
              <w:rPr>
                <w:rStyle w:val="Hyperlink"/>
                <w:noProof/>
              </w:rPr>
              <w:t>Commission for Occupational Safety and Health</w:t>
            </w:r>
            <w:r w:rsidR="00ED1E27">
              <w:rPr>
                <w:noProof/>
                <w:webHidden/>
              </w:rPr>
              <w:tab/>
            </w:r>
            <w:r w:rsidR="00ED1E27">
              <w:rPr>
                <w:noProof/>
                <w:webHidden/>
              </w:rPr>
              <w:fldChar w:fldCharType="begin"/>
            </w:r>
            <w:r w:rsidR="00ED1E27">
              <w:rPr>
                <w:noProof/>
                <w:webHidden/>
              </w:rPr>
              <w:instrText xml:space="preserve"> PAGEREF _Toc430091262 \h </w:instrText>
            </w:r>
            <w:r w:rsidR="00ED1E27">
              <w:rPr>
                <w:noProof/>
                <w:webHidden/>
              </w:rPr>
            </w:r>
            <w:r w:rsidR="00ED1E27">
              <w:rPr>
                <w:noProof/>
                <w:webHidden/>
              </w:rPr>
              <w:fldChar w:fldCharType="separate"/>
            </w:r>
            <w:r w:rsidR="004427AD">
              <w:rPr>
                <w:noProof/>
                <w:webHidden/>
              </w:rPr>
              <w:t>99</w:t>
            </w:r>
            <w:r w:rsidR="00ED1E27">
              <w:rPr>
                <w:noProof/>
                <w:webHidden/>
              </w:rPr>
              <w:fldChar w:fldCharType="end"/>
            </w:r>
          </w:hyperlink>
        </w:p>
        <w:p w14:paraId="5D1DBCD4" w14:textId="77777777" w:rsidR="00ED1E27" w:rsidRDefault="000C10D6">
          <w:pPr>
            <w:pStyle w:val="TOC1"/>
            <w:rPr>
              <w:rFonts w:asciiTheme="minorHAnsi" w:eastAsiaTheme="minorEastAsia" w:hAnsiTheme="minorHAnsi" w:cstheme="minorBidi"/>
              <w:sz w:val="22"/>
              <w:szCs w:val="22"/>
              <w:lang w:eastAsia="en-AU"/>
            </w:rPr>
          </w:pPr>
          <w:hyperlink w:anchor="_Toc430091263" w:history="1">
            <w:r w:rsidR="00ED1E27" w:rsidRPr="0061785B">
              <w:rPr>
                <w:rStyle w:val="Hyperlink"/>
              </w:rPr>
              <w:t>Report against 2014/15 Strategic Initiatives</w:t>
            </w:r>
            <w:r w:rsidR="00ED1E27">
              <w:rPr>
                <w:webHidden/>
              </w:rPr>
              <w:tab/>
            </w:r>
            <w:r w:rsidR="00ED1E27">
              <w:rPr>
                <w:webHidden/>
              </w:rPr>
              <w:fldChar w:fldCharType="begin"/>
            </w:r>
            <w:r w:rsidR="00ED1E27">
              <w:rPr>
                <w:webHidden/>
              </w:rPr>
              <w:instrText xml:space="preserve"> PAGEREF _Toc430091263 \h </w:instrText>
            </w:r>
            <w:r w:rsidR="00ED1E27">
              <w:rPr>
                <w:webHidden/>
              </w:rPr>
            </w:r>
            <w:r w:rsidR="00ED1E27">
              <w:rPr>
                <w:webHidden/>
              </w:rPr>
              <w:fldChar w:fldCharType="separate"/>
            </w:r>
            <w:r w:rsidR="004427AD">
              <w:rPr>
                <w:webHidden/>
              </w:rPr>
              <w:t>99</w:t>
            </w:r>
            <w:r w:rsidR="00ED1E27">
              <w:rPr>
                <w:webHidden/>
              </w:rPr>
              <w:fldChar w:fldCharType="end"/>
            </w:r>
          </w:hyperlink>
        </w:p>
        <w:p w14:paraId="58E20B7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64" w:history="1">
            <w:r w:rsidR="00ED1E27" w:rsidRPr="0061785B">
              <w:rPr>
                <w:rStyle w:val="Hyperlink"/>
                <w:noProof/>
              </w:rPr>
              <w:t>Initiative 1: Legislative Review Phase 2</w:t>
            </w:r>
            <w:r w:rsidR="00ED1E27">
              <w:rPr>
                <w:noProof/>
                <w:webHidden/>
              </w:rPr>
              <w:tab/>
            </w:r>
            <w:r w:rsidR="00ED1E27">
              <w:rPr>
                <w:noProof/>
                <w:webHidden/>
              </w:rPr>
              <w:fldChar w:fldCharType="begin"/>
            </w:r>
            <w:r w:rsidR="00ED1E27">
              <w:rPr>
                <w:noProof/>
                <w:webHidden/>
              </w:rPr>
              <w:instrText xml:space="preserve"> PAGEREF _Toc430091264 \h </w:instrText>
            </w:r>
            <w:r w:rsidR="00ED1E27">
              <w:rPr>
                <w:noProof/>
                <w:webHidden/>
              </w:rPr>
            </w:r>
            <w:r w:rsidR="00ED1E27">
              <w:rPr>
                <w:noProof/>
                <w:webHidden/>
              </w:rPr>
              <w:fldChar w:fldCharType="separate"/>
            </w:r>
            <w:r w:rsidR="004427AD">
              <w:rPr>
                <w:noProof/>
                <w:webHidden/>
              </w:rPr>
              <w:t>100</w:t>
            </w:r>
            <w:r w:rsidR="00ED1E27">
              <w:rPr>
                <w:noProof/>
                <w:webHidden/>
              </w:rPr>
              <w:fldChar w:fldCharType="end"/>
            </w:r>
          </w:hyperlink>
        </w:p>
        <w:p w14:paraId="72DE0CF9"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65" w:history="1">
            <w:r w:rsidR="00ED1E27" w:rsidRPr="0061785B">
              <w:rPr>
                <w:rStyle w:val="Hyperlink"/>
                <w:noProof/>
              </w:rPr>
              <w:t>Initiative 2: Injury Management Guidance Material for Medical Practitioners</w:t>
            </w:r>
            <w:r w:rsidR="00ED1E27">
              <w:rPr>
                <w:noProof/>
                <w:webHidden/>
              </w:rPr>
              <w:tab/>
            </w:r>
            <w:r w:rsidR="00ED1E27">
              <w:rPr>
                <w:noProof/>
                <w:webHidden/>
              </w:rPr>
              <w:fldChar w:fldCharType="begin"/>
            </w:r>
            <w:r w:rsidR="00ED1E27">
              <w:rPr>
                <w:noProof/>
                <w:webHidden/>
              </w:rPr>
              <w:instrText xml:space="preserve"> PAGEREF _Toc430091265 \h </w:instrText>
            </w:r>
            <w:r w:rsidR="00ED1E27">
              <w:rPr>
                <w:noProof/>
                <w:webHidden/>
              </w:rPr>
            </w:r>
            <w:r w:rsidR="00ED1E27">
              <w:rPr>
                <w:noProof/>
                <w:webHidden/>
              </w:rPr>
              <w:fldChar w:fldCharType="separate"/>
            </w:r>
            <w:r w:rsidR="004427AD">
              <w:rPr>
                <w:noProof/>
                <w:webHidden/>
              </w:rPr>
              <w:t>101</w:t>
            </w:r>
            <w:r w:rsidR="00ED1E27">
              <w:rPr>
                <w:noProof/>
                <w:webHidden/>
              </w:rPr>
              <w:fldChar w:fldCharType="end"/>
            </w:r>
          </w:hyperlink>
        </w:p>
        <w:p w14:paraId="4BA49043"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66" w:history="1">
            <w:r w:rsidR="00ED1E27" w:rsidRPr="0061785B">
              <w:rPr>
                <w:rStyle w:val="Hyperlink"/>
                <w:noProof/>
              </w:rPr>
              <w:t>Initiative 3: Electronic Document and Records Management System (EDRMS)</w:t>
            </w:r>
            <w:r w:rsidR="00ED1E27">
              <w:rPr>
                <w:noProof/>
                <w:webHidden/>
              </w:rPr>
              <w:tab/>
            </w:r>
            <w:r w:rsidR="00ED1E27">
              <w:rPr>
                <w:noProof/>
                <w:webHidden/>
              </w:rPr>
              <w:fldChar w:fldCharType="begin"/>
            </w:r>
            <w:r w:rsidR="00ED1E27">
              <w:rPr>
                <w:noProof/>
                <w:webHidden/>
              </w:rPr>
              <w:instrText xml:space="preserve"> PAGEREF _Toc430091266 \h </w:instrText>
            </w:r>
            <w:r w:rsidR="00ED1E27">
              <w:rPr>
                <w:noProof/>
                <w:webHidden/>
              </w:rPr>
            </w:r>
            <w:r w:rsidR="00ED1E27">
              <w:rPr>
                <w:noProof/>
                <w:webHidden/>
              </w:rPr>
              <w:fldChar w:fldCharType="separate"/>
            </w:r>
            <w:r w:rsidR="004427AD">
              <w:rPr>
                <w:noProof/>
                <w:webHidden/>
              </w:rPr>
              <w:t>102</w:t>
            </w:r>
            <w:r w:rsidR="00ED1E27">
              <w:rPr>
                <w:noProof/>
                <w:webHidden/>
              </w:rPr>
              <w:fldChar w:fldCharType="end"/>
            </w:r>
          </w:hyperlink>
        </w:p>
        <w:p w14:paraId="033F3216" w14:textId="77777777" w:rsidR="00ED1E27" w:rsidRDefault="000C10D6">
          <w:pPr>
            <w:pStyle w:val="TOC1"/>
            <w:rPr>
              <w:rFonts w:asciiTheme="minorHAnsi" w:eastAsiaTheme="minorEastAsia" w:hAnsiTheme="minorHAnsi" w:cstheme="minorBidi"/>
              <w:sz w:val="22"/>
              <w:szCs w:val="22"/>
              <w:lang w:eastAsia="en-AU"/>
            </w:rPr>
          </w:pPr>
          <w:hyperlink w:anchor="_Toc430091267" w:history="1">
            <w:r w:rsidR="00ED1E27" w:rsidRPr="00ED1E27">
              <w:rPr>
                <w:rStyle w:val="Strong"/>
              </w:rPr>
              <w:t>Section 4: Opportunities and Challenges</w:t>
            </w:r>
            <w:r w:rsidR="00ED1E27">
              <w:rPr>
                <w:webHidden/>
              </w:rPr>
              <w:tab/>
            </w:r>
            <w:r w:rsidR="00ED1E27">
              <w:rPr>
                <w:webHidden/>
              </w:rPr>
              <w:fldChar w:fldCharType="begin"/>
            </w:r>
            <w:r w:rsidR="00ED1E27">
              <w:rPr>
                <w:webHidden/>
              </w:rPr>
              <w:instrText xml:space="preserve"> PAGEREF _Toc430091267 \h </w:instrText>
            </w:r>
            <w:r w:rsidR="00ED1E27">
              <w:rPr>
                <w:webHidden/>
              </w:rPr>
            </w:r>
            <w:r w:rsidR="00ED1E27">
              <w:rPr>
                <w:webHidden/>
              </w:rPr>
              <w:fldChar w:fldCharType="separate"/>
            </w:r>
            <w:r w:rsidR="004427AD">
              <w:rPr>
                <w:webHidden/>
              </w:rPr>
              <w:t>103</w:t>
            </w:r>
            <w:r w:rsidR="00ED1E27">
              <w:rPr>
                <w:webHidden/>
              </w:rPr>
              <w:fldChar w:fldCharType="end"/>
            </w:r>
          </w:hyperlink>
        </w:p>
        <w:p w14:paraId="2A711E01" w14:textId="77777777" w:rsidR="00ED1E27" w:rsidRDefault="000C10D6">
          <w:pPr>
            <w:pStyle w:val="TOC1"/>
            <w:rPr>
              <w:rFonts w:asciiTheme="minorHAnsi" w:eastAsiaTheme="minorEastAsia" w:hAnsiTheme="minorHAnsi" w:cstheme="minorBidi"/>
              <w:sz w:val="22"/>
              <w:szCs w:val="22"/>
              <w:lang w:eastAsia="en-AU"/>
            </w:rPr>
          </w:pPr>
          <w:hyperlink w:anchor="_Toc430091268" w:history="1">
            <w:r w:rsidR="00ED1E27" w:rsidRPr="0061785B">
              <w:rPr>
                <w:rStyle w:val="Hyperlink"/>
              </w:rPr>
              <w:t>Opportunity and accessibility</w:t>
            </w:r>
            <w:r w:rsidR="00ED1E27">
              <w:rPr>
                <w:webHidden/>
              </w:rPr>
              <w:tab/>
            </w:r>
            <w:r w:rsidR="00ED1E27">
              <w:rPr>
                <w:webHidden/>
              </w:rPr>
              <w:fldChar w:fldCharType="begin"/>
            </w:r>
            <w:r w:rsidR="00ED1E27">
              <w:rPr>
                <w:webHidden/>
              </w:rPr>
              <w:instrText xml:space="preserve"> PAGEREF _Toc430091268 \h </w:instrText>
            </w:r>
            <w:r w:rsidR="00ED1E27">
              <w:rPr>
                <w:webHidden/>
              </w:rPr>
            </w:r>
            <w:r w:rsidR="00ED1E27">
              <w:rPr>
                <w:webHidden/>
              </w:rPr>
              <w:fldChar w:fldCharType="separate"/>
            </w:r>
            <w:r w:rsidR="004427AD">
              <w:rPr>
                <w:webHidden/>
              </w:rPr>
              <w:t>103</w:t>
            </w:r>
            <w:r w:rsidR="00ED1E27">
              <w:rPr>
                <w:webHidden/>
              </w:rPr>
              <w:fldChar w:fldCharType="end"/>
            </w:r>
          </w:hyperlink>
        </w:p>
        <w:p w14:paraId="5098E60E"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69" w:history="1">
            <w:r w:rsidR="00ED1E27" w:rsidRPr="0061785B">
              <w:rPr>
                <w:rStyle w:val="Hyperlink"/>
                <w:noProof/>
              </w:rPr>
              <w:t>Workforce Development</w:t>
            </w:r>
            <w:r w:rsidR="00ED1E27">
              <w:rPr>
                <w:noProof/>
                <w:webHidden/>
              </w:rPr>
              <w:tab/>
            </w:r>
            <w:r w:rsidR="00ED1E27">
              <w:rPr>
                <w:noProof/>
                <w:webHidden/>
              </w:rPr>
              <w:fldChar w:fldCharType="begin"/>
            </w:r>
            <w:r w:rsidR="00ED1E27">
              <w:rPr>
                <w:noProof/>
                <w:webHidden/>
              </w:rPr>
              <w:instrText xml:space="preserve"> PAGEREF _Toc430091269 \h </w:instrText>
            </w:r>
            <w:r w:rsidR="00ED1E27">
              <w:rPr>
                <w:noProof/>
                <w:webHidden/>
              </w:rPr>
            </w:r>
            <w:r w:rsidR="00ED1E27">
              <w:rPr>
                <w:noProof/>
                <w:webHidden/>
              </w:rPr>
              <w:fldChar w:fldCharType="separate"/>
            </w:r>
            <w:r w:rsidR="004427AD">
              <w:rPr>
                <w:noProof/>
                <w:webHidden/>
              </w:rPr>
              <w:t>103</w:t>
            </w:r>
            <w:r w:rsidR="00ED1E27">
              <w:rPr>
                <w:noProof/>
                <w:webHidden/>
              </w:rPr>
              <w:fldChar w:fldCharType="end"/>
            </w:r>
          </w:hyperlink>
        </w:p>
        <w:p w14:paraId="14BE81D4" w14:textId="77777777" w:rsidR="00ED1E27" w:rsidRDefault="000C10D6">
          <w:pPr>
            <w:pStyle w:val="TOC3"/>
            <w:rPr>
              <w:rFonts w:asciiTheme="minorHAnsi" w:eastAsiaTheme="minorEastAsia" w:hAnsiTheme="minorHAnsi" w:cstheme="minorBidi"/>
              <w:noProof/>
              <w:sz w:val="22"/>
              <w:szCs w:val="22"/>
              <w:lang w:eastAsia="en-AU"/>
            </w:rPr>
          </w:pPr>
          <w:hyperlink w:anchor="_Toc430091270" w:history="1">
            <w:r w:rsidR="00ED1E27" w:rsidRPr="0061785B">
              <w:rPr>
                <w:rStyle w:val="Hyperlink"/>
                <w:noProof/>
              </w:rPr>
              <w:t>Employee Capability</w:t>
            </w:r>
            <w:r w:rsidR="00ED1E27">
              <w:rPr>
                <w:noProof/>
                <w:webHidden/>
              </w:rPr>
              <w:tab/>
            </w:r>
            <w:r w:rsidR="00ED1E27">
              <w:rPr>
                <w:noProof/>
                <w:webHidden/>
              </w:rPr>
              <w:fldChar w:fldCharType="begin"/>
            </w:r>
            <w:r w:rsidR="00ED1E27">
              <w:rPr>
                <w:noProof/>
                <w:webHidden/>
              </w:rPr>
              <w:instrText xml:space="preserve"> PAGEREF _Toc430091270 \h </w:instrText>
            </w:r>
            <w:r w:rsidR="00ED1E27">
              <w:rPr>
                <w:noProof/>
                <w:webHidden/>
              </w:rPr>
            </w:r>
            <w:r w:rsidR="00ED1E27">
              <w:rPr>
                <w:noProof/>
                <w:webHidden/>
              </w:rPr>
              <w:fldChar w:fldCharType="separate"/>
            </w:r>
            <w:r w:rsidR="004427AD">
              <w:rPr>
                <w:noProof/>
                <w:webHidden/>
              </w:rPr>
              <w:t>103</w:t>
            </w:r>
            <w:r w:rsidR="00ED1E27">
              <w:rPr>
                <w:noProof/>
                <w:webHidden/>
              </w:rPr>
              <w:fldChar w:fldCharType="end"/>
            </w:r>
          </w:hyperlink>
        </w:p>
        <w:p w14:paraId="6B875437" w14:textId="77777777" w:rsidR="00ED1E27" w:rsidRDefault="000C10D6">
          <w:pPr>
            <w:pStyle w:val="TOC3"/>
            <w:rPr>
              <w:rFonts w:asciiTheme="minorHAnsi" w:eastAsiaTheme="minorEastAsia" w:hAnsiTheme="minorHAnsi" w:cstheme="minorBidi"/>
              <w:noProof/>
              <w:sz w:val="22"/>
              <w:szCs w:val="22"/>
              <w:lang w:eastAsia="en-AU"/>
            </w:rPr>
          </w:pPr>
          <w:hyperlink w:anchor="_Toc430091271" w:history="1">
            <w:r w:rsidR="00ED1E27" w:rsidRPr="0061785B">
              <w:rPr>
                <w:rStyle w:val="Hyperlink"/>
                <w:noProof/>
              </w:rPr>
              <w:t>Manager Competency Program</w:t>
            </w:r>
            <w:r w:rsidR="00ED1E27">
              <w:rPr>
                <w:noProof/>
                <w:webHidden/>
              </w:rPr>
              <w:tab/>
            </w:r>
            <w:r w:rsidR="00ED1E27">
              <w:rPr>
                <w:noProof/>
                <w:webHidden/>
              </w:rPr>
              <w:fldChar w:fldCharType="begin"/>
            </w:r>
            <w:r w:rsidR="00ED1E27">
              <w:rPr>
                <w:noProof/>
                <w:webHidden/>
              </w:rPr>
              <w:instrText xml:space="preserve"> PAGEREF _Toc430091271 \h </w:instrText>
            </w:r>
            <w:r w:rsidR="00ED1E27">
              <w:rPr>
                <w:noProof/>
                <w:webHidden/>
              </w:rPr>
            </w:r>
            <w:r w:rsidR="00ED1E27">
              <w:rPr>
                <w:noProof/>
                <w:webHidden/>
              </w:rPr>
              <w:fldChar w:fldCharType="separate"/>
            </w:r>
            <w:r w:rsidR="004427AD">
              <w:rPr>
                <w:noProof/>
                <w:webHidden/>
              </w:rPr>
              <w:t>104</w:t>
            </w:r>
            <w:r w:rsidR="00ED1E27">
              <w:rPr>
                <w:noProof/>
                <w:webHidden/>
              </w:rPr>
              <w:fldChar w:fldCharType="end"/>
            </w:r>
          </w:hyperlink>
        </w:p>
        <w:p w14:paraId="41B6B6A5" w14:textId="77777777" w:rsidR="00ED1E27" w:rsidRDefault="000C10D6">
          <w:pPr>
            <w:pStyle w:val="TOC3"/>
            <w:rPr>
              <w:rFonts w:asciiTheme="minorHAnsi" w:eastAsiaTheme="minorEastAsia" w:hAnsiTheme="minorHAnsi" w:cstheme="minorBidi"/>
              <w:noProof/>
              <w:sz w:val="22"/>
              <w:szCs w:val="22"/>
              <w:lang w:eastAsia="en-AU"/>
            </w:rPr>
          </w:pPr>
          <w:hyperlink w:anchor="_Toc430091272" w:history="1">
            <w:r w:rsidR="00ED1E27" w:rsidRPr="0061785B">
              <w:rPr>
                <w:rStyle w:val="Hyperlink"/>
                <w:noProof/>
              </w:rPr>
              <w:t>Employee development</w:t>
            </w:r>
            <w:r w:rsidR="00ED1E27">
              <w:rPr>
                <w:noProof/>
                <w:webHidden/>
              </w:rPr>
              <w:tab/>
            </w:r>
            <w:r w:rsidR="00ED1E27">
              <w:rPr>
                <w:noProof/>
                <w:webHidden/>
              </w:rPr>
              <w:fldChar w:fldCharType="begin"/>
            </w:r>
            <w:r w:rsidR="00ED1E27">
              <w:rPr>
                <w:noProof/>
                <w:webHidden/>
              </w:rPr>
              <w:instrText xml:space="preserve"> PAGEREF _Toc430091272 \h </w:instrText>
            </w:r>
            <w:r w:rsidR="00ED1E27">
              <w:rPr>
                <w:noProof/>
                <w:webHidden/>
              </w:rPr>
            </w:r>
            <w:r w:rsidR="00ED1E27">
              <w:rPr>
                <w:noProof/>
                <w:webHidden/>
              </w:rPr>
              <w:fldChar w:fldCharType="separate"/>
            </w:r>
            <w:r w:rsidR="004427AD">
              <w:rPr>
                <w:noProof/>
                <w:webHidden/>
              </w:rPr>
              <w:t>104</w:t>
            </w:r>
            <w:r w:rsidR="00ED1E27">
              <w:rPr>
                <w:noProof/>
                <w:webHidden/>
              </w:rPr>
              <w:fldChar w:fldCharType="end"/>
            </w:r>
          </w:hyperlink>
        </w:p>
        <w:p w14:paraId="1989AABD" w14:textId="77777777" w:rsidR="00ED1E27" w:rsidRDefault="000C10D6">
          <w:pPr>
            <w:pStyle w:val="TOC3"/>
            <w:rPr>
              <w:rFonts w:asciiTheme="minorHAnsi" w:eastAsiaTheme="minorEastAsia" w:hAnsiTheme="minorHAnsi" w:cstheme="minorBidi"/>
              <w:noProof/>
              <w:sz w:val="22"/>
              <w:szCs w:val="22"/>
              <w:lang w:eastAsia="en-AU"/>
            </w:rPr>
          </w:pPr>
          <w:hyperlink w:anchor="_Toc430091273" w:history="1">
            <w:r w:rsidR="00ED1E27" w:rsidRPr="0061785B">
              <w:rPr>
                <w:rStyle w:val="Hyperlink"/>
                <w:noProof/>
              </w:rPr>
              <w:t>Attraction and retention</w:t>
            </w:r>
            <w:r w:rsidR="00ED1E27">
              <w:rPr>
                <w:noProof/>
                <w:webHidden/>
              </w:rPr>
              <w:tab/>
            </w:r>
            <w:r w:rsidR="00ED1E27">
              <w:rPr>
                <w:noProof/>
                <w:webHidden/>
              </w:rPr>
              <w:fldChar w:fldCharType="begin"/>
            </w:r>
            <w:r w:rsidR="00ED1E27">
              <w:rPr>
                <w:noProof/>
                <w:webHidden/>
              </w:rPr>
              <w:instrText xml:space="preserve"> PAGEREF _Toc430091273 \h </w:instrText>
            </w:r>
            <w:r w:rsidR="00ED1E27">
              <w:rPr>
                <w:noProof/>
                <w:webHidden/>
              </w:rPr>
            </w:r>
            <w:r w:rsidR="00ED1E27">
              <w:rPr>
                <w:noProof/>
                <w:webHidden/>
              </w:rPr>
              <w:fldChar w:fldCharType="separate"/>
            </w:r>
            <w:r w:rsidR="004427AD">
              <w:rPr>
                <w:noProof/>
                <w:webHidden/>
              </w:rPr>
              <w:t>105</w:t>
            </w:r>
            <w:r w:rsidR="00ED1E27">
              <w:rPr>
                <w:noProof/>
                <w:webHidden/>
              </w:rPr>
              <w:fldChar w:fldCharType="end"/>
            </w:r>
          </w:hyperlink>
        </w:p>
        <w:p w14:paraId="5167E37C" w14:textId="77777777" w:rsidR="00ED1E27" w:rsidRDefault="000C10D6">
          <w:pPr>
            <w:pStyle w:val="TOC3"/>
            <w:rPr>
              <w:rFonts w:asciiTheme="minorHAnsi" w:eastAsiaTheme="minorEastAsia" w:hAnsiTheme="minorHAnsi" w:cstheme="minorBidi"/>
              <w:noProof/>
              <w:sz w:val="22"/>
              <w:szCs w:val="22"/>
              <w:lang w:eastAsia="en-AU"/>
            </w:rPr>
          </w:pPr>
          <w:hyperlink w:anchor="_Toc430091274" w:history="1">
            <w:r w:rsidR="00ED1E27" w:rsidRPr="0061785B">
              <w:rPr>
                <w:rStyle w:val="Hyperlink"/>
                <w:noProof/>
              </w:rPr>
              <w:t>Workplace consultation</w:t>
            </w:r>
            <w:r w:rsidR="00ED1E27">
              <w:rPr>
                <w:noProof/>
                <w:webHidden/>
              </w:rPr>
              <w:tab/>
            </w:r>
            <w:r w:rsidR="00ED1E27">
              <w:rPr>
                <w:noProof/>
                <w:webHidden/>
              </w:rPr>
              <w:fldChar w:fldCharType="begin"/>
            </w:r>
            <w:r w:rsidR="00ED1E27">
              <w:rPr>
                <w:noProof/>
                <w:webHidden/>
              </w:rPr>
              <w:instrText xml:space="preserve"> PAGEREF _Toc430091274 \h </w:instrText>
            </w:r>
            <w:r w:rsidR="00ED1E27">
              <w:rPr>
                <w:noProof/>
                <w:webHidden/>
              </w:rPr>
            </w:r>
            <w:r w:rsidR="00ED1E27">
              <w:rPr>
                <w:noProof/>
                <w:webHidden/>
              </w:rPr>
              <w:fldChar w:fldCharType="separate"/>
            </w:r>
            <w:r w:rsidR="004427AD">
              <w:rPr>
                <w:noProof/>
                <w:webHidden/>
              </w:rPr>
              <w:t>106</w:t>
            </w:r>
            <w:r w:rsidR="00ED1E27">
              <w:rPr>
                <w:noProof/>
                <w:webHidden/>
              </w:rPr>
              <w:fldChar w:fldCharType="end"/>
            </w:r>
          </w:hyperlink>
        </w:p>
        <w:p w14:paraId="198EE92F" w14:textId="77777777" w:rsidR="00ED1E27" w:rsidRDefault="000C10D6">
          <w:pPr>
            <w:pStyle w:val="TOC3"/>
            <w:rPr>
              <w:rFonts w:asciiTheme="minorHAnsi" w:eastAsiaTheme="minorEastAsia" w:hAnsiTheme="minorHAnsi" w:cstheme="minorBidi"/>
              <w:noProof/>
              <w:sz w:val="22"/>
              <w:szCs w:val="22"/>
              <w:lang w:eastAsia="en-AU"/>
            </w:rPr>
          </w:pPr>
          <w:hyperlink w:anchor="_Toc430091275" w:history="1">
            <w:r w:rsidR="00ED1E27" w:rsidRPr="0061785B">
              <w:rPr>
                <w:rStyle w:val="Hyperlink"/>
                <w:noProof/>
              </w:rPr>
              <w:t>Innovation framework development</w:t>
            </w:r>
            <w:r w:rsidR="00ED1E27">
              <w:rPr>
                <w:noProof/>
                <w:webHidden/>
              </w:rPr>
              <w:tab/>
            </w:r>
            <w:r w:rsidR="00ED1E27">
              <w:rPr>
                <w:noProof/>
                <w:webHidden/>
              </w:rPr>
              <w:fldChar w:fldCharType="begin"/>
            </w:r>
            <w:r w:rsidR="00ED1E27">
              <w:rPr>
                <w:noProof/>
                <w:webHidden/>
              </w:rPr>
              <w:instrText xml:space="preserve"> PAGEREF _Toc430091275 \h </w:instrText>
            </w:r>
            <w:r w:rsidR="00ED1E27">
              <w:rPr>
                <w:noProof/>
                <w:webHidden/>
              </w:rPr>
            </w:r>
            <w:r w:rsidR="00ED1E27">
              <w:rPr>
                <w:noProof/>
                <w:webHidden/>
              </w:rPr>
              <w:fldChar w:fldCharType="separate"/>
            </w:r>
            <w:r w:rsidR="004427AD">
              <w:rPr>
                <w:noProof/>
                <w:webHidden/>
              </w:rPr>
              <w:t>106</w:t>
            </w:r>
            <w:r w:rsidR="00ED1E27">
              <w:rPr>
                <w:noProof/>
                <w:webHidden/>
              </w:rPr>
              <w:fldChar w:fldCharType="end"/>
            </w:r>
          </w:hyperlink>
        </w:p>
        <w:p w14:paraId="1A948173" w14:textId="77777777" w:rsidR="00ED1E27" w:rsidRDefault="000C10D6">
          <w:pPr>
            <w:pStyle w:val="TOC1"/>
            <w:rPr>
              <w:rFonts w:asciiTheme="minorHAnsi" w:eastAsiaTheme="minorEastAsia" w:hAnsiTheme="minorHAnsi" w:cstheme="minorBidi"/>
              <w:sz w:val="22"/>
              <w:szCs w:val="22"/>
              <w:lang w:eastAsia="en-AU"/>
            </w:rPr>
          </w:pPr>
          <w:hyperlink w:anchor="_Toc430091276" w:history="1">
            <w:r w:rsidR="00ED1E27" w:rsidRPr="0061785B">
              <w:rPr>
                <w:rStyle w:val="Hyperlink"/>
              </w:rPr>
              <w:t>Equality and inclusion</w:t>
            </w:r>
            <w:r w:rsidR="00ED1E27">
              <w:rPr>
                <w:webHidden/>
              </w:rPr>
              <w:tab/>
            </w:r>
            <w:r w:rsidR="00ED1E27">
              <w:rPr>
                <w:webHidden/>
              </w:rPr>
              <w:fldChar w:fldCharType="begin"/>
            </w:r>
            <w:r w:rsidR="00ED1E27">
              <w:rPr>
                <w:webHidden/>
              </w:rPr>
              <w:instrText xml:space="preserve"> PAGEREF _Toc430091276 \h </w:instrText>
            </w:r>
            <w:r w:rsidR="00ED1E27">
              <w:rPr>
                <w:webHidden/>
              </w:rPr>
            </w:r>
            <w:r w:rsidR="00ED1E27">
              <w:rPr>
                <w:webHidden/>
              </w:rPr>
              <w:fldChar w:fldCharType="separate"/>
            </w:r>
            <w:r w:rsidR="004427AD">
              <w:rPr>
                <w:webHidden/>
              </w:rPr>
              <w:t>107</w:t>
            </w:r>
            <w:r w:rsidR="00ED1E27">
              <w:rPr>
                <w:webHidden/>
              </w:rPr>
              <w:fldChar w:fldCharType="end"/>
            </w:r>
          </w:hyperlink>
        </w:p>
        <w:p w14:paraId="4E36D64B"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77" w:history="1">
            <w:r w:rsidR="00ED1E27" w:rsidRPr="0061785B">
              <w:rPr>
                <w:rStyle w:val="Hyperlink"/>
                <w:noProof/>
              </w:rPr>
              <w:t>Disability Access and Inclusion Plan</w:t>
            </w:r>
            <w:r w:rsidR="00ED1E27">
              <w:rPr>
                <w:noProof/>
                <w:webHidden/>
              </w:rPr>
              <w:tab/>
            </w:r>
            <w:r w:rsidR="00ED1E27">
              <w:rPr>
                <w:noProof/>
                <w:webHidden/>
              </w:rPr>
              <w:fldChar w:fldCharType="begin"/>
            </w:r>
            <w:r w:rsidR="00ED1E27">
              <w:rPr>
                <w:noProof/>
                <w:webHidden/>
              </w:rPr>
              <w:instrText xml:space="preserve"> PAGEREF _Toc430091277 \h </w:instrText>
            </w:r>
            <w:r w:rsidR="00ED1E27">
              <w:rPr>
                <w:noProof/>
                <w:webHidden/>
              </w:rPr>
            </w:r>
            <w:r w:rsidR="00ED1E27">
              <w:rPr>
                <w:noProof/>
                <w:webHidden/>
              </w:rPr>
              <w:fldChar w:fldCharType="separate"/>
            </w:r>
            <w:r w:rsidR="004427AD">
              <w:rPr>
                <w:noProof/>
                <w:webHidden/>
              </w:rPr>
              <w:t>107</w:t>
            </w:r>
            <w:r w:rsidR="00ED1E27">
              <w:rPr>
                <w:noProof/>
                <w:webHidden/>
              </w:rPr>
              <w:fldChar w:fldCharType="end"/>
            </w:r>
          </w:hyperlink>
        </w:p>
        <w:p w14:paraId="28C7D9F5"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78" w:history="1">
            <w:r w:rsidR="00ED1E27" w:rsidRPr="0061785B">
              <w:rPr>
                <w:rStyle w:val="Hyperlink"/>
                <w:noProof/>
              </w:rPr>
              <w:t>Traineeship program</w:t>
            </w:r>
            <w:r w:rsidR="00ED1E27">
              <w:rPr>
                <w:noProof/>
                <w:webHidden/>
              </w:rPr>
              <w:tab/>
            </w:r>
            <w:r w:rsidR="00ED1E27">
              <w:rPr>
                <w:noProof/>
                <w:webHidden/>
              </w:rPr>
              <w:fldChar w:fldCharType="begin"/>
            </w:r>
            <w:r w:rsidR="00ED1E27">
              <w:rPr>
                <w:noProof/>
                <w:webHidden/>
              </w:rPr>
              <w:instrText xml:space="preserve"> PAGEREF _Toc430091278 \h </w:instrText>
            </w:r>
            <w:r w:rsidR="00ED1E27">
              <w:rPr>
                <w:noProof/>
                <w:webHidden/>
              </w:rPr>
            </w:r>
            <w:r w:rsidR="00ED1E27">
              <w:rPr>
                <w:noProof/>
                <w:webHidden/>
              </w:rPr>
              <w:fldChar w:fldCharType="separate"/>
            </w:r>
            <w:r w:rsidR="004427AD">
              <w:rPr>
                <w:noProof/>
                <w:webHidden/>
              </w:rPr>
              <w:t>107</w:t>
            </w:r>
            <w:r w:rsidR="00ED1E27">
              <w:rPr>
                <w:noProof/>
                <w:webHidden/>
              </w:rPr>
              <w:fldChar w:fldCharType="end"/>
            </w:r>
          </w:hyperlink>
        </w:p>
        <w:p w14:paraId="16015643"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79" w:history="1">
            <w:r w:rsidR="00ED1E27" w:rsidRPr="0061785B">
              <w:rPr>
                <w:rStyle w:val="Hyperlink"/>
                <w:noProof/>
              </w:rPr>
              <w:t>Reconciliation Action Plan</w:t>
            </w:r>
            <w:r w:rsidR="00ED1E27">
              <w:rPr>
                <w:noProof/>
                <w:webHidden/>
              </w:rPr>
              <w:tab/>
            </w:r>
            <w:r w:rsidR="00ED1E27">
              <w:rPr>
                <w:noProof/>
                <w:webHidden/>
              </w:rPr>
              <w:fldChar w:fldCharType="begin"/>
            </w:r>
            <w:r w:rsidR="00ED1E27">
              <w:rPr>
                <w:noProof/>
                <w:webHidden/>
              </w:rPr>
              <w:instrText xml:space="preserve"> PAGEREF _Toc430091279 \h </w:instrText>
            </w:r>
            <w:r w:rsidR="00ED1E27">
              <w:rPr>
                <w:noProof/>
                <w:webHidden/>
              </w:rPr>
            </w:r>
            <w:r w:rsidR="00ED1E27">
              <w:rPr>
                <w:noProof/>
                <w:webHidden/>
              </w:rPr>
              <w:fldChar w:fldCharType="separate"/>
            </w:r>
            <w:r w:rsidR="004427AD">
              <w:rPr>
                <w:noProof/>
                <w:webHidden/>
              </w:rPr>
              <w:t>108</w:t>
            </w:r>
            <w:r w:rsidR="00ED1E27">
              <w:rPr>
                <w:noProof/>
                <w:webHidden/>
              </w:rPr>
              <w:fldChar w:fldCharType="end"/>
            </w:r>
          </w:hyperlink>
        </w:p>
        <w:p w14:paraId="4C56FC0A" w14:textId="77777777" w:rsidR="00ED1E27" w:rsidRDefault="000C10D6">
          <w:pPr>
            <w:pStyle w:val="TOC1"/>
            <w:rPr>
              <w:rFonts w:asciiTheme="minorHAnsi" w:eastAsiaTheme="minorEastAsia" w:hAnsiTheme="minorHAnsi" w:cstheme="minorBidi"/>
              <w:sz w:val="22"/>
              <w:szCs w:val="22"/>
              <w:lang w:eastAsia="en-AU"/>
            </w:rPr>
          </w:pPr>
          <w:hyperlink w:anchor="_Toc430091280" w:history="1">
            <w:r w:rsidR="00ED1E27" w:rsidRPr="0061785B">
              <w:rPr>
                <w:rStyle w:val="Hyperlink"/>
              </w:rPr>
              <w:t>Safety, health and wellbeing</w:t>
            </w:r>
            <w:r w:rsidR="00ED1E27">
              <w:rPr>
                <w:webHidden/>
              </w:rPr>
              <w:tab/>
            </w:r>
            <w:r w:rsidR="00ED1E27">
              <w:rPr>
                <w:webHidden/>
              </w:rPr>
              <w:fldChar w:fldCharType="begin"/>
            </w:r>
            <w:r w:rsidR="00ED1E27">
              <w:rPr>
                <w:webHidden/>
              </w:rPr>
              <w:instrText xml:space="preserve"> PAGEREF _Toc430091280 \h </w:instrText>
            </w:r>
            <w:r w:rsidR="00ED1E27">
              <w:rPr>
                <w:webHidden/>
              </w:rPr>
            </w:r>
            <w:r w:rsidR="00ED1E27">
              <w:rPr>
                <w:webHidden/>
              </w:rPr>
              <w:fldChar w:fldCharType="separate"/>
            </w:r>
            <w:r w:rsidR="004427AD">
              <w:rPr>
                <w:webHidden/>
              </w:rPr>
              <w:t>109</w:t>
            </w:r>
            <w:r w:rsidR="00ED1E27">
              <w:rPr>
                <w:webHidden/>
              </w:rPr>
              <w:fldChar w:fldCharType="end"/>
            </w:r>
          </w:hyperlink>
        </w:p>
        <w:p w14:paraId="400FF236"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81" w:history="1">
            <w:r w:rsidR="00ED1E27" w:rsidRPr="0061785B">
              <w:rPr>
                <w:rStyle w:val="Hyperlink"/>
                <w:noProof/>
              </w:rPr>
              <w:t>Occupational Safety and Health Management Plan</w:t>
            </w:r>
            <w:r w:rsidR="00ED1E27">
              <w:rPr>
                <w:noProof/>
                <w:webHidden/>
              </w:rPr>
              <w:tab/>
            </w:r>
            <w:r w:rsidR="00ED1E27">
              <w:rPr>
                <w:noProof/>
                <w:webHidden/>
              </w:rPr>
              <w:fldChar w:fldCharType="begin"/>
            </w:r>
            <w:r w:rsidR="00ED1E27">
              <w:rPr>
                <w:noProof/>
                <w:webHidden/>
              </w:rPr>
              <w:instrText xml:space="preserve"> PAGEREF _Toc430091281 \h </w:instrText>
            </w:r>
            <w:r w:rsidR="00ED1E27">
              <w:rPr>
                <w:noProof/>
                <w:webHidden/>
              </w:rPr>
            </w:r>
            <w:r w:rsidR="00ED1E27">
              <w:rPr>
                <w:noProof/>
                <w:webHidden/>
              </w:rPr>
              <w:fldChar w:fldCharType="separate"/>
            </w:r>
            <w:r w:rsidR="004427AD">
              <w:rPr>
                <w:noProof/>
                <w:webHidden/>
              </w:rPr>
              <w:t>109</w:t>
            </w:r>
            <w:r w:rsidR="00ED1E27">
              <w:rPr>
                <w:noProof/>
                <w:webHidden/>
              </w:rPr>
              <w:fldChar w:fldCharType="end"/>
            </w:r>
          </w:hyperlink>
        </w:p>
        <w:p w14:paraId="3ECBCEA5"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82" w:history="1">
            <w:r w:rsidR="00ED1E27" w:rsidRPr="0061785B">
              <w:rPr>
                <w:rStyle w:val="Hyperlink"/>
                <w:noProof/>
              </w:rPr>
              <w:t>Occupational Safety and Health Audit Action Plan</w:t>
            </w:r>
            <w:r w:rsidR="00ED1E27">
              <w:rPr>
                <w:noProof/>
                <w:webHidden/>
              </w:rPr>
              <w:tab/>
            </w:r>
            <w:r w:rsidR="00ED1E27">
              <w:rPr>
                <w:noProof/>
                <w:webHidden/>
              </w:rPr>
              <w:fldChar w:fldCharType="begin"/>
            </w:r>
            <w:r w:rsidR="00ED1E27">
              <w:rPr>
                <w:noProof/>
                <w:webHidden/>
              </w:rPr>
              <w:instrText xml:space="preserve"> PAGEREF _Toc430091282 \h </w:instrText>
            </w:r>
            <w:r w:rsidR="00ED1E27">
              <w:rPr>
                <w:noProof/>
                <w:webHidden/>
              </w:rPr>
            </w:r>
            <w:r w:rsidR="00ED1E27">
              <w:rPr>
                <w:noProof/>
                <w:webHidden/>
              </w:rPr>
              <w:fldChar w:fldCharType="separate"/>
            </w:r>
            <w:r w:rsidR="004427AD">
              <w:rPr>
                <w:noProof/>
                <w:webHidden/>
              </w:rPr>
              <w:t>110</w:t>
            </w:r>
            <w:r w:rsidR="00ED1E27">
              <w:rPr>
                <w:noProof/>
                <w:webHidden/>
              </w:rPr>
              <w:fldChar w:fldCharType="end"/>
            </w:r>
          </w:hyperlink>
        </w:p>
        <w:p w14:paraId="2BC35F4B"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83" w:history="1">
            <w:r w:rsidR="00ED1E27" w:rsidRPr="0061785B">
              <w:rPr>
                <w:rStyle w:val="Hyperlink"/>
                <w:noProof/>
              </w:rPr>
              <w:t>Occupational safety and health representatives</w:t>
            </w:r>
            <w:r w:rsidR="00ED1E27">
              <w:rPr>
                <w:noProof/>
                <w:webHidden/>
              </w:rPr>
              <w:tab/>
            </w:r>
            <w:r w:rsidR="00ED1E27">
              <w:rPr>
                <w:noProof/>
                <w:webHidden/>
              </w:rPr>
              <w:fldChar w:fldCharType="begin"/>
            </w:r>
            <w:r w:rsidR="00ED1E27">
              <w:rPr>
                <w:noProof/>
                <w:webHidden/>
              </w:rPr>
              <w:instrText xml:space="preserve"> PAGEREF _Toc430091283 \h </w:instrText>
            </w:r>
            <w:r w:rsidR="00ED1E27">
              <w:rPr>
                <w:noProof/>
                <w:webHidden/>
              </w:rPr>
            </w:r>
            <w:r w:rsidR="00ED1E27">
              <w:rPr>
                <w:noProof/>
                <w:webHidden/>
              </w:rPr>
              <w:fldChar w:fldCharType="separate"/>
            </w:r>
            <w:r w:rsidR="004427AD">
              <w:rPr>
                <w:noProof/>
                <w:webHidden/>
              </w:rPr>
              <w:t>110</w:t>
            </w:r>
            <w:r w:rsidR="00ED1E27">
              <w:rPr>
                <w:noProof/>
                <w:webHidden/>
              </w:rPr>
              <w:fldChar w:fldCharType="end"/>
            </w:r>
          </w:hyperlink>
        </w:p>
        <w:p w14:paraId="012B8170"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84" w:history="1">
            <w:r w:rsidR="00ED1E27" w:rsidRPr="0061785B">
              <w:rPr>
                <w:rStyle w:val="Hyperlink"/>
                <w:noProof/>
              </w:rPr>
              <w:t>Health and wellness survey</w:t>
            </w:r>
            <w:r w:rsidR="00ED1E27">
              <w:rPr>
                <w:noProof/>
                <w:webHidden/>
              </w:rPr>
              <w:tab/>
            </w:r>
            <w:r w:rsidR="00ED1E27">
              <w:rPr>
                <w:noProof/>
                <w:webHidden/>
              </w:rPr>
              <w:fldChar w:fldCharType="begin"/>
            </w:r>
            <w:r w:rsidR="00ED1E27">
              <w:rPr>
                <w:noProof/>
                <w:webHidden/>
              </w:rPr>
              <w:instrText xml:space="preserve"> PAGEREF _Toc430091284 \h </w:instrText>
            </w:r>
            <w:r w:rsidR="00ED1E27">
              <w:rPr>
                <w:noProof/>
                <w:webHidden/>
              </w:rPr>
            </w:r>
            <w:r w:rsidR="00ED1E27">
              <w:rPr>
                <w:noProof/>
                <w:webHidden/>
              </w:rPr>
              <w:fldChar w:fldCharType="separate"/>
            </w:r>
            <w:r w:rsidR="004427AD">
              <w:rPr>
                <w:noProof/>
                <w:webHidden/>
              </w:rPr>
              <w:t>111</w:t>
            </w:r>
            <w:r w:rsidR="00ED1E27">
              <w:rPr>
                <w:noProof/>
                <w:webHidden/>
              </w:rPr>
              <w:fldChar w:fldCharType="end"/>
            </w:r>
          </w:hyperlink>
        </w:p>
        <w:p w14:paraId="7D115A35" w14:textId="77777777" w:rsidR="00ED1E27" w:rsidRDefault="000C10D6">
          <w:pPr>
            <w:pStyle w:val="TOC1"/>
            <w:rPr>
              <w:rFonts w:asciiTheme="minorHAnsi" w:eastAsiaTheme="minorEastAsia" w:hAnsiTheme="minorHAnsi" w:cstheme="minorBidi"/>
              <w:sz w:val="22"/>
              <w:szCs w:val="22"/>
              <w:lang w:eastAsia="en-AU"/>
            </w:rPr>
          </w:pPr>
          <w:hyperlink w:anchor="_Toc430091285" w:history="1">
            <w:r w:rsidR="00ED1E27" w:rsidRPr="0061785B">
              <w:rPr>
                <w:rStyle w:val="Hyperlink"/>
              </w:rPr>
              <w:t>Agency challenges</w:t>
            </w:r>
            <w:r w:rsidR="00ED1E27">
              <w:rPr>
                <w:webHidden/>
              </w:rPr>
              <w:tab/>
            </w:r>
            <w:r w:rsidR="00ED1E27">
              <w:rPr>
                <w:webHidden/>
              </w:rPr>
              <w:fldChar w:fldCharType="begin"/>
            </w:r>
            <w:r w:rsidR="00ED1E27">
              <w:rPr>
                <w:webHidden/>
              </w:rPr>
              <w:instrText xml:space="preserve"> PAGEREF _Toc430091285 \h </w:instrText>
            </w:r>
            <w:r w:rsidR="00ED1E27">
              <w:rPr>
                <w:webHidden/>
              </w:rPr>
            </w:r>
            <w:r w:rsidR="00ED1E27">
              <w:rPr>
                <w:webHidden/>
              </w:rPr>
              <w:fldChar w:fldCharType="separate"/>
            </w:r>
            <w:r w:rsidR="004427AD">
              <w:rPr>
                <w:webHidden/>
              </w:rPr>
              <w:t>111</w:t>
            </w:r>
            <w:r w:rsidR="00ED1E27">
              <w:rPr>
                <w:webHidden/>
              </w:rPr>
              <w:fldChar w:fldCharType="end"/>
            </w:r>
          </w:hyperlink>
        </w:p>
        <w:p w14:paraId="1DBEB01F"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86" w:history="1">
            <w:r w:rsidR="00ED1E27" w:rsidRPr="0061785B">
              <w:rPr>
                <w:rStyle w:val="Hyperlink"/>
                <w:noProof/>
              </w:rPr>
              <w:t>Electronic Document &amp; Records Management System</w:t>
            </w:r>
            <w:r w:rsidR="00ED1E27">
              <w:rPr>
                <w:noProof/>
                <w:webHidden/>
              </w:rPr>
              <w:tab/>
            </w:r>
            <w:r w:rsidR="00ED1E27">
              <w:rPr>
                <w:noProof/>
                <w:webHidden/>
              </w:rPr>
              <w:fldChar w:fldCharType="begin"/>
            </w:r>
            <w:r w:rsidR="00ED1E27">
              <w:rPr>
                <w:noProof/>
                <w:webHidden/>
              </w:rPr>
              <w:instrText xml:space="preserve"> PAGEREF _Toc430091286 \h </w:instrText>
            </w:r>
            <w:r w:rsidR="00ED1E27">
              <w:rPr>
                <w:noProof/>
                <w:webHidden/>
              </w:rPr>
            </w:r>
            <w:r w:rsidR="00ED1E27">
              <w:rPr>
                <w:noProof/>
                <w:webHidden/>
              </w:rPr>
              <w:fldChar w:fldCharType="separate"/>
            </w:r>
            <w:r w:rsidR="004427AD">
              <w:rPr>
                <w:noProof/>
                <w:webHidden/>
              </w:rPr>
              <w:t>111</w:t>
            </w:r>
            <w:r w:rsidR="00ED1E27">
              <w:rPr>
                <w:noProof/>
                <w:webHidden/>
              </w:rPr>
              <w:fldChar w:fldCharType="end"/>
            </w:r>
          </w:hyperlink>
        </w:p>
        <w:p w14:paraId="377766DC"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87" w:history="1">
            <w:r w:rsidR="00ED1E27" w:rsidRPr="0061785B">
              <w:rPr>
                <w:rStyle w:val="Hyperlink"/>
                <w:noProof/>
              </w:rPr>
              <w:t>Review of Risk Management Framework</w:t>
            </w:r>
            <w:r w:rsidR="00ED1E27">
              <w:rPr>
                <w:noProof/>
                <w:webHidden/>
              </w:rPr>
              <w:tab/>
            </w:r>
            <w:r w:rsidR="00ED1E27">
              <w:rPr>
                <w:noProof/>
                <w:webHidden/>
              </w:rPr>
              <w:fldChar w:fldCharType="begin"/>
            </w:r>
            <w:r w:rsidR="00ED1E27">
              <w:rPr>
                <w:noProof/>
                <w:webHidden/>
              </w:rPr>
              <w:instrText xml:space="preserve"> PAGEREF _Toc430091287 \h </w:instrText>
            </w:r>
            <w:r w:rsidR="00ED1E27">
              <w:rPr>
                <w:noProof/>
                <w:webHidden/>
              </w:rPr>
            </w:r>
            <w:r w:rsidR="00ED1E27">
              <w:rPr>
                <w:noProof/>
                <w:webHidden/>
              </w:rPr>
              <w:fldChar w:fldCharType="separate"/>
            </w:r>
            <w:r w:rsidR="004427AD">
              <w:rPr>
                <w:noProof/>
                <w:webHidden/>
              </w:rPr>
              <w:t>111</w:t>
            </w:r>
            <w:r w:rsidR="00ED1E27">
              <w:rPr>
                <w:noProof/>
                <w:webHidden/>
              </w:rPr>
              <w:fldChar w:fldCharType="end"/>
            </w:r>
          </w:hyperlink>
        </w:p>
        <w:p w14:paraId="7AB1D857"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88" w:history="1">
            <w:r w:rsidR="00ED1E27" w:rsidRPr="0061785B">
              <w:rPr>
                <w:rStyle w:val="Hyperlink"/>
                <w:noProof/>
              </w:rPr>
              <w:t>Review of Freedom of Information policy</w:t>
            </w:r>
            <w:r w:rsidR="00ED1E27">
              <w:rPr>
                <w:noProof/>
                <w:webHidden/>
              </w:rPr>
              <w:tab/>
            </w:r>
            <w:r w:rsidR="00ED1E27">
              <w:rPr>
                <w:noProof/>
                <w:webHidden/>
              </w:rPr>
              <w:fldChar w:fldCharType="begin"/>
            </w:r>
            <w:r w:rsidR="00ED1E27">
              <w:rPr>
                <w:noProof/>
                <w:webHidden/>
              </w:rPr>
              <w:instrText xml:space="preserve"> PAGEREF _Toc430091288 \h </w:instrText>
            </w:r>
            <w:r w:rsidR="00ED1E27">
              <w:rPr>
                <w:noProof/>
                <w:webHidden/>
              </w:rPr>
            </w:r>
            <w:r w:rsidR="00ED1E27">
              <w:rPr>
                <w:noProof/>
                <w:webHidden/>
              </w:rPr>
              <w:fldChar w:fldCharType="separate"/>
            </w:r>
            <w:r w:rsidR="004427AD">
              <w:rPr>
                <w:noProof/>
                <w:webHidden/>
              </w:rPr>
              <w:t>112</w:t>
            </w:r>
            <w:r w:rsidR="00ED1E27">
              <w:rPr>
                <w:noProof/>
                <w:webHidden/>
              </w:rPr>
              <w:fldChar w:fldCharType="end"/>
            </w:r>
          </w:hyperlink>
        </w:p>
        <w:p w14:paraId="13C57A51"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89" w:history="1">
            <w:r w:rsidR="00ED1E27" w:rsidRPr="0061785B">
              <w:rPr>
                <w:rStyle w:val="Hyperlink"/>
                <w:noProof/>
              </w:rPr>
              <w:t>Review of corporate policies and procedures</w:t>
            </w:r>
            <w:r w:rsidR="00ED1E27">
              <w:rPr>
                <w:noProof/>
                <w:webHidden/>
              </w:rPr>
              <w:tab/>
            </w:r>
            <w:r w:rsidR="00ED1E27">
              <w:rPr>
                <w:noProof/>
                <w:webHidden/>
              </w:rPr>
              <w:fldChar w:fldCharType="begin"/>
            </w:r>
            <w:r w:rsidR="00ED1E27">
              <w:rPr>
                <w:noProof/>
                <w:webHidden/>
              </w:rPr>
              <w:instrText xml:space="preserve"> PAGEREF _Toc430091289 \h </w:instrText>
            </w:r>
            <w:r w:rsidR="00ED1E27">
              <w:rPr>
                <w:noProof/>
                <w:webHidden/>
              </w:rPr>
            </w:r>
            <w:r w:rsidR="00ED1E27">
              <w:rPr>
                <w:noProof/>
                <w:webHidden/>
              </w:rPr>
              <w:fldChar w:fldCharType="separate"/>
            </w:r>
            <w:r w:rsidR="004427AD">
              <w:rPr>
                <w:noProof/>
                <w:webHidden/>
              </w:rPr>
              <w:t>112</w:t>
            </w:r>
            <w:r w:rsidR="00ED1E27">
              <w:rPr>
                <w:noProof/>
                <w:webHidden/>
              </w:rPr>
              <w:fldChar w:fldCharType="end"/>
            </w:r>
          </w:hyperlink>
        </w:p>
        <w:p w14:paraId="19F240E2" w14:textId="77777777" w:rsidR="00ED1E27" w:rsidRDefault="000C10D6">
          <w:pPr>
            <w:pStyle w:val="TOC1"/>
            <w:rPr>
              <w:rFonts w:asciiTheme="minorHAnsi" w:eastAsiaTheme="minorEastAsia" w:hAnsiTheme="minorHAnsi" w:cstheme="minorBidi"/>
              <w:sz w:val="22"/>
              <w:szCs w:val="22"/>
              <w:lang w:eastAsia="en-AU"/>
            </w:rPr>
          </w:pPr>
          <w:hyperlink w:anchor="_Toc430091290" w:history="1">
            <w:r w:rsidR="00ED1E27" w:rsidRPr="0061785B">
              <w:rPr>
                <w:rStyle w:val="Hyperlink"/>
              </w:rPr>
              <w:t>IT initiatives</w:t>
            </w:r>
            <w:r w:rsidR="00ED1E27">
              <w:rPr>
                <w:webHidden/>
              </w:rPr>
              <w:tab/>
            </w:r>
            <w:r w:rsidR="00ED1E27">
              <w:rPr>
                <w:webHidden/>
              </w:rPr>
              <w:fldChar w:fldCharType="begin"/>
            </w:r>
            <w:r w:rsidR="00ED1E27">
              <w:rPr>
                <w:webHidden/>
              </w:rPr>
              <w:instrText xml:space="preserve"> PAGEREF _Toc430091290 \h </w:instrText>
            </w:r>
            <w:r w:rsidR="00ED1E27">
              <w:rPr>
                <w:webHidden/>
              </w:rPr>
            </w:r>
            <w:r w:rsidR="00ED1E27">
              <w:rPr>
                <w:webHidden/>
              </w:rPr>
              <w:fldChar w:fldCharType="separate"/>
            </w:r>
            <w:r w:rsidR="004427AD">
              <w:rPr>
                <w:webHidden/>
              </w:rPr>
              <w:t>113</w:t>
            </w:r>
            <w:r w:rsidR="00ED1E27">
              <w:rPr>
                <w:webHidden/>
              </w:rPr>
              <w:fldChar w:fldCharType="end"/>
            </w:r>
          </w:hyperlink>
        </w:p>
        <w:p w14:paraId="7DAFCE34"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91" w:history="1">
            <w:r w:rsidR="00ED1E27" w:rsidRPr="0061785B">
              <w:rPr>
                <w:rStyle w:val="Hyperlink"/>
                <w:noProof/>
              </w:rPr>
              <w:t>IT Strategic Plan</w:t>
            </w:r>
            <w:r w:rsidR="00ED1E27">
              <w:rPr>
                <w:noProof/>
                <w:webHidden/>
              </w:rPr>
              <w:tab/>
            </w:r>
            <w:r w:rsidR="00ED1E27">
              <w:rPr>
                <w:noProof/>
                <w:webHidden/>
              </w:rPr>
              <w:fldChar w:fldCharType="begin"/>
            </w:r>
            <w:r w:rsidR="00ED1E27">
              <w:rPr>
                <w:noProof/>
                <w:webHidden/>
              </w:rPr>
              <w:instrText xml:space="preserve"> PAGEREF _Toc430091291 \h </w:instrText>
            </w:r>
            <w:r w:rsidR="00ED1E27">
              <w:rPr>
                <w:noProof/>
                <w:webHidden/>
              </w:rPr>
            </w:r>
            <w:r w:rsidR="00ED1E27">
              <w:rPr>
                <w:noProof/>
                <w:webHidden/>
              </w:rPr>
              <w:fldChar w:fldCharType="separate"/>
            </w:r>
            <w:r w:rsidR="004427AD">
              <w:rPr>
                <w:noProof/>
                <w:webHidden/>
              </w:rPr>
              <w:t>113</w:t>
            </w:r>
            <w:r w:rsidR="00ED1E27">
              <w:rPr>
                <w:noProof/>
                <w:webHidden/>
              </w:rPr>
              <w:fldChar w:fldCharType="end"/>
            </w:r>
          </w:hyperlink>
        </w:p>
        <w:p w14:paraId="5C869241" w14:textId="77777777" w:rsidR="00ED1E27" w:rsidRDefault="000C10D6">
          <w:pPr>
            <w:pStyle w:val="TOC1"/>
            <w:rPr>
              <w:rFonts w:asciiTheme="minorHAnsi" w:eastAsiaTheme="minorEastAsia" w:hAnsiTheme="minorHAnsi" w:cstheme="minorBidi"/>
              <w:sz w:val="22"/>
              <w:szCs w:val="22"/>
              <w:lang w:eastAsia="en-AU"/>
            </w:rPr>
          </w:pPr>
          <w:hyperlink w:anchor="_Toc430091292" w:history="1">
            <w:r w:rsidR="00ED1E27" w:rsidRPr="00ED1E27">
              <w:rPr>
                <w:rStyle w:val="Strong"/>
              </w:rPr>
              <w:t>Section 5: Disclosures and Legal Compliance</w:t>
            </w:r>
            <w:r w:rsidR="00ED1E27">
              <w:rPr>
                <w:webHidden/>
              </w:rPr>
              <w:tab/>
            </w:r>
            <w:r w:rsidR="00ED1E27">
              <w:rPr>
                <w:webHidden/>
              </w:rPr>
              <w:fldChar w:fldCharType="begin"/>
            </w:r>
            <w:r w:rsidR="00ED1E27">
              <w:rPr>
                <w:webHidden/>
              </w:rPr>
              <w:instrText xml:space="preserve"> PAGEREF _Toc430091292 \h </w:instrText>
            </w:r>
            <w:r w:rsidR="00ED1E27">
              <w:rPr>
                <w:webHidden/>
              </w:rPr>
            </w:r>
            <w:r w:rsidR="00ED1E27">
              <w:rPr>
                <w:webHidden/>
              </w:rPr>
              <w:fldChar w:fldCharType="separate"/>
            </w:r>
            <w:r w:rsidR="004427AD">
              <w:rPr>
                <w:webHidden/>
              </w:rPr>
              <w:t>114</w:t>
            </w:r>
            <w:r w:rsidR="00ED1E27">
              <w:rPr>
                <w:webHidden/>
              </w:rPr>
              <w:fldChar w:fldCharType="end"/>
            </w:r>
          </w:hyperlink>
        </w:p>
        <w:p w14:paraId="31A5C113" w14:textId="77777777" w:rsidR="00ED1E27" w:rsidRDefault="000C10D6">
          <w:pPr>
            <w:pStyle w:val="TOC1"/>
            <w:rPr>
              <w:rFonts w:asciiTheme="minorHAnsi" w:eastAsiaTheme="minorEastAsia" w:hAnsiTheme="minorHAnsi" w:cstheme="minorBidi"/>
              <w:sz w:val="22"/>
              <w:szCs w:val="22"/>
              <w:lang w:eastAsia="en-AU"/>
            </w:rPr>
          </w:pPr>
          <w:hyperlink w:anchor="_Toc430091293" w:history="1">
            <w:r w:rsidR="00ED1E27" w:rsidRPr="0061785B">
              <w:rPr>
                <w:rStyle w:val="Hyperlink"/>
              </w:rPr>
              <w:t>Report on funds management</w:t>
            </w:r>
            <w:r w:rsidR="00ED1E27">
              <w:rPr>
                <w:webHidden/>
              </w:rPr>
              <w:tab/>
            </w:r>
            <w:r w:rsidR="00ED1E27">
              <w:rPr>
                <w:webHidden/>
              </w:rPr>
              <w:fldChar w:fldCharType="begin"/>
            </w:r>
            <w:r w:rsidR="00ED1E27">
              <w:rPr>
                <w:webHidden/>
              </w:rPr>
              <w:instrText xml:space="preserve"> PAGEREF _Toc430091293 \h </w:instrText>
            </w:r>
            <w:r w:rsidR="00ED1E27">
              <w:rPr>
                <w:webHidden/>
              </w:rPr>
            </w:r>
            <w:r w:rsidR="00ED1E27">
              <w:rPr>
                <w:webHidden/>
              </w:rPr>
              <w:fldChar w:fldCharType="separate"/>
            </w:r>
            <w:r w:rsidR="004427AD">
              <w:rPr>
                <w:webHidden/>
              </w:rPr>
              <w:t>114</w:t>
            </w:r>
            <w:r w:rsidR="00ED1E27">
              <w:rPr>
                <w:webHidden/>
              </w:rPr>
              <w:fldChar w:fldCharType="end"/>
            </w:r>
          </w:hyperlink>
        </w:p>
        <w:p w14:paraId="3EECBA3D"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94" w:history="1">
            <w:r w:rsidR="00ED1E27" w:rsidRPr="0061785B">
              <w:rPr>
                <w:rStyle w:val="Hyperlink"/>
                <w:noProof/>
              </w:rPr>
              <w:t>Workers’ Compensation &amp; Injury Management Trust Account</w:t>
            </w:r>
            <w:r w:rsidR="00ED1E27">
              <w:rPr>
                <w:noProof/>
                <w:webHidden/>
              </w:rPr>
              <w:tab/>
            </w:r>
            <w:r w:rsidR="00ED1E27">
              <w:rPr>
                <w:noProof/>
                <w:webHidden/>
              </w:rPr>
              <w:fldChar w:fldCharType="begin"/>
            </w:r>
            <w:r w:rsidR="00ED1E27">
              <w:rPr>
                <w:noProof/>
                <w:webHidden/>
              </w:rPr>
              <w:instrText xml:space="preserve"> PAGEREF _Toc430091294 \h </w:instrText>
            </w:r>
            <w:r w:rsidR="00ED1E27">
              <w:rPr>
                <w:noProof/>
                <w:webHidden/>
              </w:rPr>
            </w:r>
            <w:r w:rsidR="00ED1E27">
              <w:rPr>
                <w:noProof/>
                <w:webHidden/>
              </w:rPr>
              <w:fldChar w:fldCharType="separate"/>
            </w:r>
            <w:r w:rsidR="004427AD">
              <w:rPr>
                <w:noProof/>
                <w:webHidden/>
              </w:rPr>
              <w:t>114</w:t>
            </w:r>
            <w:r w:rsidR="00ED1E27">
              <w:rPr>
                <w:noProof/>
                <w:webHidden/>
              </w:rPr>
              <w:fldChar w:fldCharType="end"/>
            </w:r>
          </w:hyperlink>
        </w:p>
        <w:p w14:paraId="1AB182D0"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95" w:history="1">
            <w:r w:rsidR="00ED1E27" w:rsidRPr="0061785B">
              <w:rPr>
                <w:rStyle w:val="Hyperlink"/>
                <w:noProof/>
              </w:rPr>
              <w:t>Uninsured claims management</w:t>
            </w:r>
            <w:r w:rsidR="00ED1E27">
              <w:rPr>
                <w:noProof/>
                <w:webHidden/>
              </w:rPr>
              <w:tab/>
            </w:r>
            <w:r w:rsidR="00ED1E27">
              <w:rPr>
                <w:noProof/>
                <w:webHidden/>
              </w:rPr>
              <w:fldChar w:fldCharType="begin"/>
            </w:r>
            <w:r w:rsidR="00ED1E27">
              <w:rPr>
                <w:noProof/>
                <w:webHidden/>
              </w:rPr>
              <w:instrText xml:space="preserve"> PAGEREF _Toc430091295 \h </w:instrText>
            </w:r>
            <w:r w:rsidR="00ED1E27">
              <w:rPr>
                <w:noProof/>
                <w:webHidden/>
              </w:rPr>
            </w:r>
            <w:r w:rsidR="00ED1E27">
              <w:rPr>
                <w:noProof/>
                <w:webHidden/>
              </w:rPr>
              <w:fldChar w:fldCharType="separate"/>
            </w:r>
            <w:r w:rsidR="004427AD">
              <w:rPr>
                <w:noProof/>
                <w:webHidden/>
              </w:rPr>
              <w:t>114</w:t>
            </w:r>
            <w:r w:rsidR="00ED1E27">
              <w:rPr>
                <w:noProof/>
                <w:webHidden/>
              </w:rPr>
              <w:fldChar w:fldCharType="end"/>
            </w:r>
          </w:hyperlink>
        </w:p>
        <w:p w14:paraId="26F4386F"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96" w:history="1">
            <w:r w:rsidR="00ED1E27" w:rsidRPr="0061785B">
              <w:rPr>
                <w:rStyle w:val="Hyperlink"/>
                <w:noProof/>
              </w:rPr>
              <w:t>Employer’s indemnity supplementation fund</w:t>
            </w:r>
            <w:r w:rsidR="00ED1E27">
              <w:rPr>
                <w:noProof/>
                <w:webHidden/>
              </w:rPr>
              <w:tab/>
            </w:r>
            <w:r w:rsidR="00ED1E27">
              <w:rPr>
                <w:noProof/>
                <w:webHidden/>
              </w:rPr>
              <w:fldChar w:fldCharType="begin"/>
            </w:r>
            <w:r w:rsidR="00ED1E27">
              <w:rPr>
                <w:noProof/>
                <w:webHidden/>
              </w:rPr>
              <w:instrText xml:space="preserve"> PAGEREF _Toc430091296 \h </w:instrText>
            </w:r>
            <w:r w:rsidR="00ED1E27">
              <w:rPr>
                <w:noProof/>
                <w:webHidden/>
              </w:rPr>
            </w:r>
            <w:r w:rsidR="00ED1E27">
              <w:rPr>
                <w:noProof/>
                <w:webHidden/>
              </w:rPr>
              <w:fldChar w:fldCharType="separate"/>
            </w:r>
            <w:r w:rsidR="004427AD">
              <w:rPr>
                <w:noProof/>
                <w:webHidden/>
              </w:rPr>
              <w:t>115</w:t>
            </w:r>
            <w:r w:rsidR="00ED1E27">
              <w:rPr>
                <w:noProof/>
                <w:webHidden/>
              </w:rPr>
              <w:fldChar w:fldCharType="end"/>
            </w:r>
          </w:hyperlink>
        </w:p>
        <w:p w14:paraId="0225D01F"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97" w:history="1">
            <w:r w:rsidR="00ED1E27" w:rsidRPr="0061785B">
              <w:rPr>
                <w:rStyle w:val="Hyperlink"/>
                <w:noProof/>
              </w:rPr>
              <w:t>Debts and investments</w:t>
            </w:r>
            <w:r w:rsidR="00ED1E27">
              <w:rPr>
                <w:noProof/>
                <w:webHidden/>
              </w:rPr>
              <w:tab/>
            </w:r>
            <w:r w:rsidR="00ED1E27">
              <w:rPr>
                <w:noProof/>
                <w:webHidden/>
              </w:rPr>
              <w:fldChar w:fldCharType="begin"/>
            </w:r>
            <w:r w:rsidR="00ED1E27">
              <w:rPr>
                <w:noProof/>
                <w:webHidden/>
              </w:rPr>
              <w:instrText xml:space="preserve"> PAGEREF _Toc430091297 \h </w:instrText>
            </w:r>
            <w:r w:rsidR="00ED1E27">
              <w:rPr>
                <w:noProof/>
                <w:webHidden/>
              </w:rPr>
            </w:r>
            <w:r w:rsidR="00ED1E27">
              <w:rPr>
                <w:noProof/>
                <w:webHidden/>
              </w:rPr>
              <w:fldChar w:fldCharType="separate"/>
            </w:r>
            <w:r w:rsidR="004427AD">
              <w:rPr>
                <w:noProof/>
                <w:webHidden/>
              </w:rPr>
              <w:t>116</w:t>
            </w:r>
            <w:r w:rsidR="00ED1E27">
              <w:rPr>
                <w:noProof/>
                <w:webHidden/>
              </w:rPr>
              <w:fldChar w:fldCharType="end"/>
            </w:r>
          </w:hyperlink>
        </w:p>
        <w:p w14:paraId="7FADE7E9" w14:textId="77777777" w:rsidR="00ED1E27" w:rsidRDefault="000C10D6">
          <w:pPr>
            <w:pStyle w:val="TOC1"/>
            <w:rPr>
              <w:rFonts w:asciiTheme="minorHAnsi" w:eastAsiaTheme="minorEastAsia" w:hAnsiTheme="minorHAnsi" w:cstheme="minorBidi"/>
              <w:sz w:val="22"/>
              <w:szCs w:val="22"/>
              <w:lang w:eastAsia="en-AU"/>
            </w:rPr>
          </w:pPr>
          <w:hyperlink w:anchor="_Toc430091298" w:history="1">
            <w:r w:rsidR="00ED1E27" w:rsidRPr="0061785B">
              <w:rPr>
                <w:rStyle w:val="Hyperlink"/>
              </w:rPr>
              <w:t>Other financial disclosures</w:t>
            </w:r>
            <w:r w:rsidR="00ED1E27">
              <w:rPr>
                <w:webHidden/>
              </w:rPr>
              <w:tab/>
            </w:r>
            <w:r w:rsidR="00ED1E27">
              <w:rPr>
                <w:webHidden/>
              </w:rPr>
              <w:fldChar w:fldCharType="begin"/>
            </w:r>
            <w:r w:rsidR="00ED1E27">
              <w:rPr>
                <w:webHidden/>
              </w:rPr>
              <w:instrText xml:space="preserve"> PAGEREF _Toc430091298 \h </w:instrText>
            </w:r>
            <w:r w:rsidR="00ED1E27">
              <w:rPr>
                <w:webHidden/>
              </w:rPr>
            </w:r>
            <w:r w:rsidR="00ED1E27">
              <w:rPr>
                <w:webHidden/>
              </w:rPr>
              <w:fldChar w:fldCharType="separate"/>
            </w:r>
            <w:r w:rsidR="004427AD">
              <w:rPr>
                <w:webHidden/>
              </w:rPr>
              <w:t>118</w:t>
            </w:r>
            <w:r w:rsidR="00ED1E27">
              <w:rPr>
                <w:webHidden/>
              </w:rPr>
              <w:fldChar w:fldCharType="end"/>
            </w:r>
          </w:hyperlink>
        </w:p>
        <w:p w14:paraId="4DA6CDC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299" w:history="1">
            <w:r w:rsidR="00ED1E27" w:rsidRPr="0061785B">
              <w:rPr>
                <w:rStyle w:val="Hyperlink"/>
                <w:noProof/>
              </w:rPr>
              <w:t>Employment and industrial relations</w:t>
            </w:r>
            <w:r w:rsidR="00ED1E27">
              <w:rPr>
                <w:noProof/>
                <w:webHidden/>
              </w:rPr>
              <w:tab/>
            </w:r>
            <w:r w:rsidR="00ED1E27">
              <w:rPr>
                <w:noProof/>
                <w:webHidden/>
              </w:rPr>
              <w:fldChar w:fldCharType="begin"/>
            </w:r>
            <w:r w:rsidR="00ED1E27">
              <w:rPr>
                <w:noProof/>
                <w:webHidden/>
              </w:rPr>
              <w:instrText xml:space="preserve"> PAGEREF _Toc430091299 \h </w:instrText>
            </w:r>
            <w:r w:rsidR="00ED1E27">
              <w:rPr>
                <w:noProof/>
                <w:webHidden/>
              </w:rPr>
            </w:r>
            <w:r w:rsidR="00ED1E27">
              <w:rPr>
                <w:noProof/>
                <w:webHidden/>
              </w:rPr>
              <w:fldChar w:fldCharType="separate"/>
            </w:r>
            <w:r w:rsidR="004427AD">
              <w:rPr>
                <w:noProof/>
                <w:webHidden/>
              </w:rPr>
              <w:t>118</w:t>
            </w:r>
            <w:r w:rsidR="00ED1E27">
              <w:rPr>
                <w:noProof/>
                <w:webHidden/>
              </w:rPr>
              <w:fldChar w:fldCharType="end"/>
            </w:r>
          </w:hyperlink>
        </w:p>
        <w:p w14:paraId="13305C7A"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00" w:history="1">
            <w:r w:rsidR="00ED1E27" w:rsidRPr="0061785B">
              <w:rPr>
                <w:rStyle w:val="Hyperlink"/>
                <w:noProof/>
              </w:rPr>
              <w:t>Internal workers’ compensation</w:t>
            </w:r>
            <w:r w:rsidR="00ED1E27">
              <w:rPr>
                <w:noProof/>
                <w:webHidden/>
              </w:rPr>
              <w:tab/>
            </w:r>
            <w:r w:rsidR="00ED1E27">
              <w:rPr>
                <w:noProof/>
                <w:webHidden/>
              </w:rPr>
              <w:fldChar w:fldCharType="begin"/>
            </w:r>
            <w:r w:rsidR="00ED1E27">
              <w:rPr>
                <w:noProof/>
                <w:webHidden/>
              </w:rPr>
              <w:instrText xml:space="preserve"> PAGEREF _Toc430091300 \h </w:instrText>
            </w:r>
            <w:r w:rsidR="00ED1E27">
              <w:rPr>
                <w:noProof/>
                <w:webHidden/>
              </w:rPr>
            </w:r>
            <w:r w:rsidR="00ED1E27">
              <w:rPr>
                <w:noProof/>
                <w:webHidden/>
              </w:rPr>
              <w:fldChar w:fldCharType="separate"/>
            </w:r>
            <w:r w:rsidR="004427AD">
              <w:rPr>
                <w:noProof/>
                <w:webHidden/>
              </w:rPr>
              <w:t>118</w:t>
            </w:r>
            <w:r w:rsidR="00ED1E27">
              <w:rPr>
                <w:noProof/>
                <w:webHidden/>
              </w:rPr>
              <w:fldChar w:fldCharType="end"/>
            </w:r>
          </w:hyperlink>
        </w:p>
        <w:p w14:paraId="4158755C"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01" w:history="1">
            <w:r w:rsidR="00ED1E27" w:rsidRPr="0061785B">
              <w:rPr>
                <w:rStyle w:val="Hyperlink"/>
                <w:noProof/>
              </w:rPr>
              <w:t>Board remuneration</w:t>
            </w:r>
            <w:r w:rsidR="00ED1E27">
              <w:rPr>
                <w:noProof/>
                <w:webHidden/>
              </w:rPr>
              <w:tab/>
            </w:r>
            <w:r w:rsidR="00ED1E27">
              <w:rPr>
                <w:noProof/>
                <w:webHidden/>
              </w:rPr>
              <w:fldChar w:fldCharType="begin"/>
            </w:r>
            <w:r w:rsidR="00ED1E27">
              <w:rPr>
                <w:noProof/>
                <w:webHidden/>
              </w:rPr>
              <w:instrText xml:space="preserve"> PAGEREF _Toc430091301 \h </w:instrText>
            </w:r>
            <w:r w:rsidR="00ED1E27">
              <w:rPr>
                <w:noProof/>
                <w:webHidden/>
              </w:rPr>
            </w:r>
            <w:r w:rsidR="00ED1E27">
              <w:rPr>
                <w:noProof/>
                <w:webHidden/>
              </w:rPr>
              <w:fldChar w:fldCharType="separate"/>
            </w:r>
            <w:r w:rsidR="004427AD">
              <w:rPr>
                <w:noProof/>
                <w:webHidden/>
              </w:rPr>
              <w:t>119</w:t>
            </w:r>
            <w:r w:rsidR="00ED1E27">
              <w:rPr>
                <w:noProof/>
                <w:webHidden/>
              </w:rPr>
              <w:fldChar w:fldCharType="end"/>
            </w:r>
          </w:hyperlink>
        </w:p>
        <w:p w14:paraId="799B175F"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02" w:history="1">
            <w:r w:rsidR="00ED1E27" w:rsidRPr="0061785B">
              <w:rPr>
                <w:rStyle w:val="Hyperlink"/>
                <w:noProof/>
              </w:rPr>
              <w:t>Directors’ and officers’ liability insurance</w:t>
            </w:r>
            <w:r w:rsidR="00ED1E27">
              <w:rPr>
                <w:noProof/>
                <w:webHidden/>
              </w:rPr>
              <w:tab/>
            </w:r>
            <w:r w:rsidR="00ED1E27">
              <w:rPr>
                <w:noProof/>
                <w:webHidden/>
              </w:rPr>
              <w:fldChar w:fldCharType="begin"/>
            </w:r>
            <w:r w:rsidR="00ED1E27">
              <w:rPr>
                <w:noProof/>
                <w:webHidden/>
              </w:rPr>
              <w:instrText xml:space="preserve"> PAGEREF _Toc430091302 \h </w:instrText>
            </w:r>
            <w:r w:rsidR="00ED1E27">
              <w:rPr>
                <w:noProof/>
                <w:webHidden/>
              </w:rPr>
            </w:r>
            <w:r w:rsidR="00ED1E27">
              <w:rPr>
                <w:noProof/>
                <w:webHidden/>
              </w:rPr>
              <w:fldChar w:fldCharType="separate"/>
            </w:r>
            <w:r w:rsidR="004427AD">
              <w:rPr>
                <w:noProof/>
                <w:webHidden/>
              </w:rPr>
              <w:t>120</w:t>
            </w:r>
            <w:r w:rsidR="00ED1E27">
              <w:rPr>
                <w:noProof/>
                <w:webHidden/>
              </w:rPr>
              <w:fldChar w:fldCharType="end"/>
            </w:r>
          </w:hyperlink>
        </w:p>
        <w:p w14:paraId="4DDC8641"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03" w:history="1">
            <w:r w:rsidR="00ED1E27" w:rsidRPr="0061785B">
              <w:rPr>
                <w:rStyle w:val="Hyperlink"/>
                <w:noProof/>
              </w:rPr>
              <w:t>Committee remuneration</w:t>
            </w:r>
            <w:r w:rsidR="00ED1E27">
              <w:rPr>
                <w:noProof/>
                <w:webHidden/>
              </w:rPr>
              <w:tab/>
            </w:r>
            <w:r w:rsidR="00ED1E27">
              <w:rPr>
                <w:noProof/>
                <w:webHidden/>
              </w:rPr>
              <w:fldChar w:fldCharType="begin"/>
            </w:r>
            <w:r w:rsidR="00ED1E27">
              <w:rPr>
                <w:noProof/>
                <w:webHidden/>
              </w:rPr>
              <w:instrText xml:space="preserve"> PAGEREF _Toc430091303 \h </w:instrText>
            </w:r>
            <w:r w:rsidR="00ED1E27">
              <w:rPr>
                <w:noProof/>
                <w:webHidden/>
              </w:rPr>
            </w:r>
            <w:r w:rsidR="00ED1E27">
              <w:rPr>
                <w:noProof/>
                <w:webHidden/>
              </w:rPr>
              <w:fldChar w:fldCharType="separate"/>
            </w:r>
            <w:r w:rsidR="004427AD">
              <w:rPr>
                <w:noProof/>
                <w:webHidden/>
              </w:rPr>
              <w:t>120</w:t>
            </w:r>
            <w:r w:rsidR="00ED1E27">
              <w:rPr>
                <w:noProof/>
                <w:webHidden/>
              </w:rPr>
              <w:fldChar w:fldCharType="end"/>
            </w:r>
          </w:hyperlink>
        </w:p>
        <w:p w14:paraId="2017574A" w14:textId="77777777" w:rsidR="00ED1E27" w:rsidRDefault="000C10D6">
          <w:pPr>
            <w:pStyle w:val="TOC3"/>
            <w:rPr>
              <w:rFonts w:asciiTheme="minorHAnsi" w:eastAsiaTheme="minorEastAsia" w:hAnsiTheme="minorHAnsi" w:cstheme="minorBidi"/>
              <w:noProof/>
              <w:sz w:val="22"/>
              <w:szCs w:val="22"/>
              <w:lang w:eastAsia="en-AU"/>
            </w:rPr>
          </w:pPr>
          <w:hyperlink w:anchor="_Toc430091304" w:history="1">
            <w:r w:rsidR="00ED1E27" w:rsidRPr="0061785B">
              <w:rPr>
                <w:rStyle w:val="Hyperlink"/>
                <w:noProof/>
              </w:rPr>
              <w:t>Costs Committee</w:t>
            </w:r>
            <w:r w:rsidR="00ED1E27">
              <w:rPr>
                <w:noProof/>
                <w:webHidden/>
              </w:rPr>
              <w:tab/>
            </w:r>
            <w:r w:rsidR="00ED1E27">
              <w:rPr>
                <w:noProof/>
                <w:webHidden/>
              </w:rPr>
              <w:fldChar w:fldCharType="begin"/>
            </w:r>
            <w:r w:rsidR="00ED1E27">
              <w:rPr>
                <w:noProof/>
                <w:webHidden/>
              </w:rPr>
              <w:instrText xml:space="preserve"> PAGEREF _Toc430091304 \h </w:instrText>
            </w:r>
            <w:r w:rsidR="00ED1E27">
              <w:rPr>
                <w:noProof/>
                <w:webHidden/>
              </w:rPr>
            </w:r>
            <w:r w:rsidR="00ED1E27">
              <w:rPr>
                <w:noProof/>
                <w:webHidden/>
              </w:rPr>
              <w:fldChar w:fldCharType="separate"/>
            </w:r>
            <w:r w:rsidR="004427AD">
              <w:rPr>
                <w:noProof/>
                <w:webHidden/>
              </w:rPr>
              <w:t>120</w:t>
            </w:r>
            <w:r w:rsidR="00ED1E27">
              <w:rPr>
                <w:noProof/>
                <w:webHidden/>
              </w:rPr>
              <w:fldChar w:fldCharType="end"/>
            </w:r>
          </w:hyperlink>
        </w:p>
        <w:p w14:paraId="3A7C6609" w14:textId="77777777" w:rsidR="00ED1E27" w:rsidRDefault="000C10D6">
          <w:pPr>
            <w:pStyle w:val="TOC3"/>
            <w:rPr>
              <w:rFonts w:asciiTheme="minorHAnsi" w:eastAsiaTheme="minorEastAsia" w:hAnsiTheme="minorHAnsi" w:cstheme="minorBidi"/>
              <w:noProof/>
              <w:sz w:val="22"/>
              <w:szCs w:val="22"/>
              <w:lang w:eastAsia="en-AU"/>
            </w:rPr>
          </w:pPr>
          <w:hyperlink w:anchor="_Toc430091305" w:history="1">
            <w:r w:rsidR="00ED1E27" w:rsidRPr="0061785B">
              <w:rPr>
                <w:rStyle w:val="Hyperlink"/>
                <w:noProof/>
              </w:rPr>
              <w:t>Medical Committee</w:t>
            </w:r>
            <w:r w:rsidR="00ED1E27">
              <w:rPr>
                <w:noProof/>
                <w:webHidden/>
              </w:rPr>
              <w:tab/>
            </w:r>
            <w:r w:rsidR="00ED1E27">
              <w:rPr>
                <w:noProof/>
                <w:webHidden/>
              </w:rPr>
              <w:fldChar w:fldCharType="begin"/>
            </w:r>
            <w:r w:rsidR="00ED1E27">
              <w:rPr>
                <w:noProof/>
                <w:webHidden/>
              </w:rPr>
              <w:instrText xml:space="preserve"> PAGEREF _Toc430091305 \h </w:instrText>
            </w:r>
            <w:r w:rsidR="00ED1E27">
              <w:rPr>
                <w:noProof/>
                <w:webHidden/>
              </w:rPr>
            </w:r>
            <w:r w:rsidR="00ED1E27">
              <w:rPr>
                <w:noProof/>
                <w:webHidden/>
              </w:rPr>
              <w:fldChar w:fldCharType="separate"/>
            </w:r>
            <w:r w:rsidR="004427AD">
              <w:rPr>
                <w:noProof/>
                <w:webHidden/>
              </w:rPr>
              <w:t>121</w:t>
            </w:r>
            <w:r w:rsidR="00ED1E27">
              <w:rPr>
                <w:noProof/>
                <w:webHidden/>
              </w:rPr>
              <w:fldChar w:fldCharType="end"/>
            </w:r>
          </w:hyperlink>
        </w:p>
        <w:p w14:paraId="51632AEE"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06" w:history="1">
            <w:r w:rsidR="00ED1E27" w:rsidRPr="0061785B">
              <w:rPr>
                <w:rStyle w:val="Hyperlink"/>
                <w:noProof/>
              </w:rPr>
              <w:t>Capital works projects</w:t>
            </w:r>
            <w:r w:rsidR="00ED1E27">
              <w:rPr>
                <w:noProof/>
                <w:webHidden/>
              </w:rPr>
              <w:tab/>
            </w:r>
            <w:r w:rsidR="00ED1E27">
              <w:rPr>
                <w:noProof/>
                <w:webHidden/>
              </w:rPr>
              <w:fldChar w:fldCharType="begin"/>
            </w:r>
            <w:r w:rsidR="00ED1E27">
              <w:rPr>
                <w:noProof/>
                <w:webHidden/>
              </w:rPr>
              <w:instrText xml:space="preserve"> PAGEREF _Toc430091306 \h </w:instrText>
            </w:r>
            <w:r w:rsidR="00ED1E27">
              <w:rPr>
                <w:noProof/>
                <w:webHidden/>
              </w:rPr>
            </w:r>
            <w:r w:rsidR="00ED1E27">
              <w:rPr>
                <w:noProof/>
                <w:webHidden/>
              </w:rPr>
              <w:fldChar w:fldCharType="separate"/>
            </w:r>
            <w:r w:rsidR="004427AD">
              <w:rPr>
                <w:noProof/>
                <w:webHidden/>
              </w:rPr>
              <w:t>122</w:t>
            </w:r>
            <w:r w:rsidR="00ED1E27">
              <w:rPr>
                <w:noProof/>
                <w:webHidden/>
              </w:rPr>
              <w:fldChar w:fldCharType="end"/>
            </w:r>
          </w:hyperlink>
        </w:p>
        <w:p w14:paraId="6472C71F"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07" w:history="1">
            <w:r w:rsidR="00ED1E27" w:rsidRPr="0061785B">
              <w:rPr>
                <w:rStyle w:val="Hyperlink"/>
                <w:noProof/>
              </w:rPr>
              <w:t>Advertising</w:t>
            </w:r>
            <w:r w:rsidR="00ED1E27">
              <w:rPr>
                <w:noProof/>
                <w:webHidden/>
              </w:rPr>
              <w:tab/>
            </w:r>
            <w:r w:rsidR="00ED1E27">
              <w:rPr>
                <w:noProof/>
                <w:webHidden/>
              </w:rPr>
              <w:fldChar w:fldCharType="begin"/>
            </w:r>
            <w:r w:rsidR="00ED1E27">
              <w:rPr>
                <w:noProof/>
                <w:webHidden/>
              </w:rPr>
              <w:instrText xml:space="preserve"> PAGEREF _Toc430091307 \h </w:instrText>
            </w:r>
            <w:r w:rsidR="00ED1E27">
              <w:rPr>
                <w:noProof/>
                <w:webHidden/>
              </w:rPr>
            </w:r>
            <w:r w:rsidR="00ED1E27">
              <w:rPr>
                <w:noProof/>
                <w:webHidden/>
              </w:rPr>
              <w:fldChar w:fldCharType="separate"/>
            </w:r>
            <w:r w:rsidR="004427AD">
              <w:rPr>
                <w:noProof/>
                <w:webHidden/>
              </w:rPr>
              <w:t>123</w:t>
            </w:r>
            <w:r w:rsidR="00ED1E27">
              <w:rPr>
                <w:noProof/>
                <w:webHidden/>
              </w:rPr>
              <w:fldChar w:fldCharType="end"/>
            </w:r>
          </w:hyperlink>
        </w:p>
        <w:p w14:paraId="224DE839" w14:textId="77777777" w:rsidR="00ED1E27" w:rsidRDefault="000C10D6">
          <w:pPr>
            <w:pStyle w:val="TOC1"/>
            <w:rPr>
              <w:rFonts w:asciiTheme="minorHAnsi" w:eastAsiaTheme="minorEastAsia" w:hAnsiTheme="minorHAnsi" w:cstheme="minorBidi"/>
              <w:sz w:val="22"/>
              <w:szCs w:val="22"/>
              <w:lang w:eastAsia="en-AU"/>
            </w:rPr>
          </w:pPr>
          <w:hyperlink w:anchor="_Toc430091308" w:history="1">
            <w:r w:rsidR="00ED1E27" w:rsidRPr="0061785B">
              <w:rPr>
                <w:rStyle w:val="Hyperlink"/>
              </w:rPr>
              <w:t>Ministerial directives</w:t>
            </w:r>
            <w:r w:rsidR="00ED1E27">
              <w:rPr>
                <w:webHidden/>
              </w:rPr>
              <w:tab/>
            </w:r>
            <w:r w:rsidR="00ED1E27">
              <w:rPr>
                <w:webHidden/>
              </w:rPr>
              <w:fldChar w:fldCharType="begin"/>
            </w:r>
            <w:r w:rsidR="00ED1E27">
              <w:rPr>
                <w:webHidden/>
              </w:rPr>
              <w:instrText xml:space="preserve"> PAGEREF _Toc430091308 \h </w:instrText>
            </w:r>
            <w:r w:rsidR="00ED1E27">
              <w:rPr>
                <w:webHidden/>
              </w:rPr>
            </w:r>
            <w:r w:rsidR="00ED1E27">
              <w:rPr>
                <w:webHidden/>
              </w:rPr>
              <w:fldChar w:fldCharType="separate"/>
            </w:r>
            <w:r w:rsidR="004427AD">
              <w:rPr>
                <w:webHidden/>
              </w:rPr>
              <w:t>123</w:t>
            </w:r>
            <w:r w:rsidR="00ED1E27">
              <w:rPr>
                <w:webHidden/>
              </w:rPr>
              <w:fldChar w:fldCharType="end"/>
            </w:r>
          </w:hyperlink>
        </w:p>
        <w:p w14:paraId="21D2A521" w14:textId="77777777" w:rsidR="00ED1E27" w:rsidRDefault="000C10D6">
          <w:pPr>
            <w:pStyle w:val="TOC1"/>
            <w:rPr>
              <w:rFonts w:asciiTheme="minorHAnsi" w:eastAsiaTheme="minorEastAsia" w:hAnsiTheme="minorHAnsi" w:cstheme="minorBidi"/>
              <w:sz w:val="22"/>
              <w:szCs w:val="22"/>
              <w:lang w:eastAsia="en-AU"/>
            </w:rPr>
          </w:pPr>
          <w:hyperlink w:anchor="_Toc430091309" w:history="1">
            <w:r w:rsidR="00ED1E27" w:rsidRPr="0061785B">
              <w:rPr>
                <w:rStyle w:val="Hyperlink"/>
              </w:rPr>
              <w:t>Governance disclosures</w:t>
            </w:r>
            <w:r w:rsidR="00ED1E27">
              <w:rPr>
                <w:webHidden/>
              </w:rPr>
              <w:tab/>
            </w:r>
            <w:r w:rsidR="00ED1E27">
              <w:rPr>
                <w:webHidden/>
              </w:rPr>
              <w:fldChar w:fldCharType="begin"/>
            </w:r>
            <w:r w:rsidR="00ED1E27">
              <w:rPr>
                <w:webHidden/>
              </w:rPr>
              <w:instrText xml:space="preserve"> PAGEREF _Toc430091309 \h </w:instrText>
            </w:r>
            <w:r w:rsidR="00ED1E27">
              <w:rPr>
                <w:webHidden/>
              </w:rPr>
            </w:r>
            <w:r w:rsidR="00ED1E27">
              <w:rPr>
                <w:webHidden/>
              </w:rPr>
              <w:fldChar w:fldCharType="separate"/>
            </w:r>
            <w:r w:rsidR="004427AD">
              <w:rPr>
                <w:webHidden/>
              </w:rPr>
              <w:t>124</w:t>
            </w:r>
            <w:r w:rsidR="00ED1E27">
              <w:rPr>
                <w:webHidden/>
              </w:rPr>
              <w:fldChar w:fldCharType="end"/>
            </w:r>
          </w:hyperlink>
        </w:p>
        <w:p w14:paraId="2915B556"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10" w:history="1">
            <w:r w:rsidR="00ED1E27" w:rsidRPr="0061785B">
              <w:rPr>
                <w:rStyle w:val="Hyperlink"/>
                <w:noProof/>
              </w:rPr>
              <w:t>Board responsibilities</w:t>
            </w:r>
            <w:r w:rsidR="00ED1E27">
              <w:rPr>
                <w:noProof/>
                <w:webHidden/>
              </w:rPr>
              <w:tab/>
            </w:r>
            <w:r w:rsidR="00ED1E27">
              <w:rPr>
                <w:noProof/>
                <w:webHidden/>
              </w:rPr>
              <w:fldChar w:fldCharType="begin"/>
            </w:r>
            <w:r w:rsidR="00ED1E27">
              <w:rPr>
                <w:noProof/>
                <w:webHidden/>
              </w:rPr>
              <w:instrText xml:space="preserve"> PAGEREF _Toc430091310 \h </w:instrText>
            </w:r>
            <w:r w:rsidR="00ED1E27">
              <w:rPr>
                <w:noProof/>
                <w:webHidden/>
              </w:rPr>
            </w:r>
            <w:r w:rsidR="00ED1E27">
              <w:rPr>
                <w:noProof/>
                <w:webHidden/>
              </w:rPr>
              <w:fldChar w:fldCharType="separate"/>
            </w:r>
            <w:r w:rsidR="004427AD">
              <w:rPr>
                <w:noProof/>
                <w:webHidden/>
              </w:rPr>
              <w:t>124</w:t>
            </w:r>
            <w:r w:rsidR="00ED1E27">
              <w:rPr>
                <w:noProof/>
                <w:webHidden/>
              </w:rPr>
              <w:fldChar w:fldCharType="end"/>
            </w:r>
          </w:hyperlink>
        </w:p>
        <w:p w14:paraId="40DA6F9F"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11" w:history="1">
            <w:r w:rsidR="00ED1E27" w:rsidRPr="0061785B">
              <w:rPr>
                <w:rStyle w:val="Hyperlink"/>
                <w:noProof/>
              </w:rPr>
              <w:t>Board Policies</w:t>
            </w:r>
            <w:r w:rsidR="00ED1E27">
              <w:rPr>
                <w:noProof/>
                <w:webHidden/>
              </w:rPr>
              <w:tab/>
            </w:r>
            <w:r w:rsidR="00ED1E27">
              <w:rPr>
                <w:noProof/>
                <w:webHidden/>
              </w:rPr>
              <w:fldChar w:fldCharType="begin"/>
            </w:r>
            <w:r w:rsidR="00ED1E27">
              <w:rPr>
                <w:noProof/>
                <w:webHidden/>
              </w:rPr>
              <w:instrText xml:space="preserve"> PAGEREF _Toc430091311 \h </w:instrText>
            </w:r>
            <w:r w:rsidR="00ED1E27">
              <w:rPr>
                <w:noProof/>
                <w:webHidden/>
              </w:rPr>
            </w:r>
            <w:r w:rsidR="00ED1E27">
              <w:rPr>
                <w:noProof/>
                <w:webHidden/>
              </w:rPr>
              <w:fldChar w:fldCharType="separate"/>
            </w:r>
            <w:r w:rsidR="004427AD">
              <w:rPr>
                <w:noProof/>
                <w:webHidden/>
              </w:rPr>
              <w:t>124</w:t>
            </w:r>
            <w:r w:rsidR="00ED1E27">
              <w:rPr>
                <w:noProof/>
                <w:webHidden/>
              </w:rPr>
              <w:fldChar w:fldCharType="end"/>
            </w:r>
          </w:hyperlink>
        </w:p>
        <w:p w14:paraId="16F8F643"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12" w:history="1">
            <w:r w:rsidR="00ED1E27" w:rsidRPr="0061785B">
              <w:rPr>
                <w:rStyle w:val="Hyperlink"/>
                <w:noProof/>
              </w:rPr>
              <w:t>Conflicts of interest</w:t>
            </w:r>
            <w:r w:rsidR="00ED1E27">
              <w:rPr>
                <w:noProof/>
                <w:webHidden/>
              </w:rPr>
              <w:tab/>
            </w:r>
            <w:r w:rsidR="00ED1E27">
              <w:rPr>
                <w:noProof/>
                <w:webHidden/>
              </w:rPr>
              <w:fldChar w:fldCharType="begin"/>
            </w:r>
            <w:r w:rsidR="00ED1E27">
              <w:rPr>
                <w:noProof/>
                <w:webHidden/>
              </w:rPr>
              <w:instrText xml:space="preserve"> PAGEREF _Toc430091312 \h </w:instrText>
            </w:r>
            <w:r w:rsidR="00ED1E27">
              <w:rPr>
                <w:noProof/>
                <w:webHidden/>
              </w:rPr>
            </w:r>
            <w:r w:rsidR="00ED1E27">
              <w:rPr>
                <w:noProof/>
                <w:webHidden/>
              </w:rPr>
              <w:fldChar w:fldCharType="separate"/>
            </w:r>
            <w:r w:rsidR="004427AD">
              <w:rPr>
                <w:noProof/>
                <w:webHidden/>
              </w:rPr>
              <w:t>124</w:t>
            </w:r>
            <w:r w:rsidR="00ED1E27">
              <w:rPr>
                <w:noProof/>
                <w:webHidden/>
              </w:rPr>
              <w:fldChar w:fldCharType="end"/>
            </w:r>
          </w:hyperlink>
        </w:p>
        <w:p w14:paraId="680C3776"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13" w:history="1">
            <w:r w:rsidR="00ED1E27" w:rsidRPr="0061785B">
              <w:rPr>
                <w:rStyle w:val="Hyperlink"/>
                <w:noProof/>
              </w:rPr>
              <w:t>CEO Performance Agreement</w:t>
            </w:r>
            <w:r w:rsidR="00ED1E27">
              <w:rPr>
                <w:noProof/>
                <w:webHidden/>
              </w:rPr>
              <w:tab/>
            </w:r>
            <w:r w:rsidR="00ED1E27">
              <w:rPr>
                <w:noProof/>
                <w:webHidden/>
              </w:rPr>
              <w:fldChar w:fldCharType="begin"/>
            </w:r>
            <w:r w:rsidR="00ED1E27">
              <w:rPr>
                <w:noProof/>
                <w:webHidden/>
              </w:rPr>
              <w:instrText xml:space="preserve"> PAGEREF _Toc430091313 \h </w:instrText>
            </w:r>
            <w:r w:rsidR="00ED1E27">
              <w:rPr>
                <w:noProof/>
                <w:webHidden/>
              </w:rPr>
            </w:r>
            <w:r w:rsidR="00ED1E27">
              <w:rPr>
                <w:noProof/>
                <w:webHidden/>
              </w:rPr>
              <w:fldChar w:fldCharType="separate"/>
            </w:r>
            <w:r w:rsidR="004427AD">
              <w:rPr>
                <w:noProof/>
                <w:webHidden/>
              </w:rPr>
              <w:t>125</w:t>
            </w:r>
            <w:r w:rsidR="00ED1E27">
              <w:rPr>
                <w:noProof/>
                <w:webHidden/>
              </w:rPr>
              <w:fldChar w:fldCharType="end"/>
            </w:r>
          </w:hyperlink>
        </w:p>
        <w:p w14:paraId="37B8A2E1"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14" w:history="1">
            <w:r w:rsidR="00ED1E27" w:rsidRPr="0061785B">
              <w:rPr>
                <w:rStyle w:val="Hyperlink"/>
                <w:noProof/>
              </w:rPr>
              <w:t>Review against the PSC Good Governance Guide</w:t>
            </w:r>
            <w:r w:rsidR="00ED1E27">
              <w:rPr>
                <w:noProof/>
                <w:webHidden/>
              </w:rPr>
              <w:tab/>
            </w:r>
            <w:r w:rsidR="00ED1E27">
              <w:rPr>
                <w:noProof/>
                <w:webHidden/>
              </w:rPr>
              <w:fldChar w:fldCharType="begin"/>
            </w:r>
            <w:r w:rsidR="00ED1E27">
              <w:rPr>
                <w:noProof/>
                <w:webHidden/>
              </w:rPr>
              <w:instrText xml:space="preserve"> PAGEREF _Toc430091314 \h </w:instrText>
            </w:r>
            <w:r w:rsidR="00ED1E27">
              <w:rPr>
                <w:noProof/>
                <w:webHidden/>
              </w:rPr>
            </w:r>
            <w:r w:rsidR="00ED1E27">
              <w:rPr>
                <w:noProof/>
                <w:webHidden/>
              </w:rPr>
              <w:fldChar w:fldCharType="separate"/>
            </w:r>
            <w:r w:rsidR="004427AD">
              <w:rPr>
                <w:noProof/>
                <w:webHidden/>
              </w:rPr>
              <w:t>125</w:t>
            </w:r>
            <w:r w:rsidR="00ED1E27">
              <w:rPr>
                <w:noProof/>
                <w:webHidden/>
              </w:rPr>
              <w:fldChar w:fldCharType="end"/>
            </w:r>
          </w:hyperlink>
        </w:p>
        <w:p w14:paraId="414D52A0"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15" w:history="1">
            <w:r w:rsidR="00ED1E27" w:rsidRPr="0061785B">
              <w:rPr>
                <w:rStyle w:val="Hyperlink"/>
                <w:noProof/>
              </w:rPr>
              <w:t>Committees</w:t>
            </w:r>
            <w:r w:rsidR="00ED1E27">
              <w:rPr>
                <w:noProof/>
                <w:webHidden/>
              </w:rPr>
              <w:tab/>
            </w:r>
            <w:r w:rsidR="00ED1E27">
              <w:rPr>
                <w:noProof/>
                <w:webHidden/>
              </w:rPr>
              <w:fldChar w:fldCharType="begin"/>
            </w:r>
            <w:r w:rsidR="00ED1E27">
              <w:rPr>
                <w:noProof/>
                <w:webHidden/>
              </w:rPr>
              <w:instrText xml:space="preserve"> PAGEREF _Toc430091315 \h </w:instrText>
            </w:r>
            <w:r w:rsidR="00ED1E27">
              <w:rPr>
                <w:noProof/>
                <w:webHidden/>
              </w:rPr>
            </w:r>
            <w:r w:rsidR="00ED1E27">
              <w:rPr>
                <w:noProof/>
                <w:webHidden/>
              </w:rPr>
              <w:fldChar w:fldCharType="separate"/>
            </w:r>
            <w:r w:rsidR="004427AD">
              <w:rPr>
                <w:noProof/>
                <w:webHidden/>
              </w:rPr>
              <w:t>126</w:t>
            </w:r>
            <w:r w:rsidR="00ED1E27">
              <w:rPr>
                <w:noProof/>
                <w:webHidden/>
              </w:rPr>
              <w:fldChar w:fldCharType="end"/>
            </w:r>
          </w:hyperlink>
        </w:p>
        <w:p w14:paraId="4E67A981" w14:textId="77777777" w:rsidR="00ED1E27" w:rsidRDefault="000C10D6">
          <w:pPr>
            <w:pStyle w:val="TOC3"/>
            <w:rPr>
              <w:rFonts w:asciiTheme="minorHAnsi" w:eastAsiaTheme="minorEastAsia" w:hAnsiTheme="minorHAnsi" w:cstheme="minorBidi"/>
              <w:noProof/>
              <w:sz w:val="22"/>
              <w:szCs w:val="22"/>
              <w:lang w:eastAsia="en-AU"/>
            </w:rPr>
          </w:pPr>
          <w:hyperlink w:anchor="_Toc430091316" w:history="1">
            <w:r w:rsidR="00ED1E27" w:rsidRPr="0061785B">
              <w:rPr>
                <w:rStyle w:val="Hyperlink"/>
                <w:noProof/>
              </w:rPr>
              <w:t>Audit Committee</w:t>
            </w:r>
            <w:r w:rsidR="00ED1E27">
              <w:rPr>
                <w:noProof/>
                <w:webHidden/>
              </w:rPr>
              <w:tab/>
            </w:r>
            <w:r w:rsidR="00ED1E27">
              <w:rPr>
                <w:noProof/>
                <w:webHidden/>
              </w:rPr>
              <w:fldChar w:fldCharType="begin"/>
            </w:r>
            <w:r w:rsidR="00ED1E27">
              <w:rPr>
                <w:noProof/>
                <w:webHidden/>
              </w:rPr>
              <w:instrText xml:space="preserve"> PAGEREF _Toc430091316 \h </w:instrText>
            </w:r>
            <w:r w:rsidR="00ED1E27">
              <w:rPr>
                <w:noProof/>
                <w:webHidden/>
              </w:rPr>
            </w:r>
            <w:r w:rsidR="00ED1E27">
              <w:rPr>
                <w:noProof/>
                <w:webHidden/>
              </w:rPr>
              <w:fldChar w:fldCharType="separate"/>
            </w:r>
            <w:r w:rsidR="004427AD">
              <w:rPr>
                <w:noProof/>
                <w:webHidden/>
              </w:rPr>
              <w:t>126</w:t>
            </w:r>
            <w:r w:rsidR="00ED1E27">
              <w:rPr>
                <w:noProof/>
                <w:webHidden/>
              </w:rPr>
              <w:fldChar w:fldCharType="end"/>
            </w:r>
          </w:hyperlink>
        </w:p>
        <w:p w14:paraId="79DE8A7C" w14:textId="77777777" w:rsidR="00ED1E27" w:rsidRDefault="000C10D6">
          <w:pPr>
            <w:pStyle w:val="TOC3"/>
            <w:rPr>
              <w:rFonts w:asciiTheme="minorHAnsi" w:eastAsiaTheme="minorEastAsia" w:hAnsiTheme="minorHAnsi" w:cstheme="minorBidi"/>
              <w:noProof/>
              <w:sz w:val="22"/>
              <w:szCs w:val="22"/>
              <w:lang w:eastAsia="en-AU"/>
            </w:rPr>
          </w:pPr>
          <w:hyperlink w:anchor="_Toc430091317" w:history="1">
            <w:r w:rsidR="00ED1E27" w:rsidRPr="0061785B">
              <w:rPr>
                <w:rStyle w:val="Hyperlink"/>
                <w:noProof/>
              </w:rPr>
              <w:t>Costs Committee</w:t>
            </w:r>
            <w:r w:rsidR="00ED1E27">
              <w:rPr>
                <w:noProof/>
                <w:webHidden/>
              </w:rPr>
              <w:tab/>
            </w:r>
            <w:r w:rsidR="00ED1E27">
              <w:rPr>
                <w:noProof/>
                <w:webHidden/>
              </w:rPr>
              <w:fldChar w:fldCharType="begin"/>
            </w:r>
            <w:r w:rsidR="00ED1E27">
              <w:rPr>
                <w:noProof/>
                <w:webHidden/>
              </w:rPr>
              <w:instrText xml:space="preserve"> PAGEREF _Toc430091317 \h </w:instrText>
            </w:r>
            <w:r w:rsidR="00ED1E27">
              <w:rPr>
                <w:noProof/>
                <w:webHidden/>
              </w:rPr>
            </w:r>
            <w:r w:rsidR="00ED1E27">
              <w:rPr>
                <w:noProof/>
                <w:webHidden/>
              </w:rPr>
              <w:fldChar w:fldCharType="separate"/>
            </w:r>
            <w:r w:rsidR="004427AD">
              <w:rPr>
                <w:noProof/>
                <w:webHidden/>
              </w:rPr>
              <w:t>126</w:t>
            </w:r>
            <w:r w:rsidR="00ED1E27">
              <w:rPr>
                <w:noProof/>
                <w:webHidden/>
              </w:rPr>
              <w:fldChar w:fldCharType="end"/>
            </w:r>
          </w:hyperlink>
        </w:p>
        <w:p w14:paraId="6973A1F8" w14:textId="77777777" w:rsidR="00ED1E27" w:rsidRDefault="000C10D6">
          <w:pPr>
            <w:pStyle w:val="TOC3"/>
            <w:rPr>
              <w:rFonts w:asciiTheme="minorHAnsi" w:eastAsiaTheme="minorEastAsia" w:hAnsiTheme="minorHAnsi" w:cstheme="minorBidi"/>
              <w:noProof/>
              <w:sz w:val="22"/>
              <w:szCs w:val="22"/>
              <w:lang w:eastAsia="en-AU"/>
            </w:rPr>
          </w:pPr>
          <w:hyperlink w:anchor="_Toc430091318" w:history="1">
            <w:r w:rsidR="00ED1E27" w:rsidRPr="0061785B">
              <w:rPr>
                <w:rStyle w:val="Hyperlink"/>
                <w:noProof/>
              </w:rPr>
              <w:t>Medical Committee</w:t>
            </w:r>
            <w:r w:rsidR="00ED1E27">
              <w:rPr>
                <w:noProof/>
                <w:webHidden/>
              </w:rPr>
              <w:tab/>
            </w:r>
            <w:r w:rsidR="00ED1E27">
              <w:rPr>
                <w:noProof/>
                <w:webHidden/>
              </w:rPr>
              <w:fldChar w:fldCharType="begin"/>
            </w:r>
            <w:r w:rsidR="00ED1E27">
              <w:rPr>
                <w:noProof/>
                <w:webHidden/>
              </w:rPr>
              <w:instrText xml:space="preserve"> PAGEREF _Toc430091318 \h </w:instrText>
            </w:r>
            <w:r w:rsidR="00ED1E27">
              <w:rPr>
                <w:noProof/>
                <w:webHidden/>
              </w:rPr>
            </w:r>
            <w:r w:rsidR="00ED1E27">
              <w:rPr>
                <w:noProof/>
                <w:webHidden/>
              </w:rPr>
              <w:fldChar w:fldCharType="separate"/>
            </w:r>
            <w:r w:rsidR="004427AD">
              <w:rPr>
                <w:noProof/>
                <w:webHidden/>
              </w:rPr>
              <w:t>127</w:t>
            </w:r>
            <w:r w:rsidR="00ED1E27">
              <w:rPr>
                <w:noProof/>
                <w:webHidden/>
              </w:rPr>
              <w:fldChar w:fldCharType="end"/>
            </w:r>
          </w:hyperlink>
        </w:p>
        <w:p w14:paraId="141988BA" w14:textId="77777777" w:rsidR="00ED1E27" w:rsidRDefault="000C10D6">
          <w:pPr>
            <w:pStyle w:val="TOC3"/>
            <w:rPr>
              <w:rFonts w:asciiTheme="minorHAnsi" w:eastAsiaTheme="minorEastAsia" w:hAnsiTheme="minorHAnsi" w:cstheme="minorBidi"/>
              <w:noProof/>
              <w:sz w:val="22"/>
              <w:szCs w:val="22"/>
              <w:lang w:eastAsia="en-AU"/>
            </w:rPr>
          </w:pPr>
          <w:hyperlink w:anchor="_Toc430091319" w:history="1">
            <w:r w:rsidR="00ED1E27" w:rsidRPr="0061785B">
              <w:rPr>
                <w:rStyle w:val="Hyperlink"/>
                <w:noProof/>
              </w:rPr>
              <w:t>Industrial Diseases Medical Panel</w:t>
            </w:r>
            <w:r w:rsidR="00ED1E27">
              <w:rPr>
                <w:noProof/>
                <w:webHidden/>
              </w:rPr>
              <w:tab/>
            </w:r>
            <w:r w:rsidR="00ED1E27">
              <w:rPr>
                <w:noProof/>
                <w:webHidden/>
              </w:rPr>
              <w:fldChar w:fldCharType="begin"/>
            </w:r>
            <w:r w:rsidR="00ED1E27">
              <w:rPr>
                <w:noProof/>
                <w:webHidden/>
              </w:rPr>
              <w:instrText xml:space="preserve"> PAGEREF _Toc430091319 \h </w:instrText>
            </w:r>
            <w:r w:rsidR="00ED1E27">
              <w:rPr>
                <w:noProof/>
                <w:webHidden/>
              </w:rPr>
            </w:r>
            <w:r w:rsidR="00ED1E27">
              <w:rPr>
                <w:noProof/>
                <w:webHidden/>
              </w:rPr>
              <w:fldChar w:fldCharType="separate"/>
            </w:r>
            <w:r w:rsidR="004427AD">
              <w:rPr>
                <w:noProof/>
                <w:webHidden/>
              </w:rPr>
              <w:t>128</w:t>
            </w:r>
            <w:r w:rsidR="00ED1E27">
              <w:rPr>
                <w:noProof/>
                <w:webHidden/>
              </w:rPr>
              <w:fldChar w:fldCharType="end"/>
            </w:r>
          </w:hyperlink>
        </w:p>
        <w:p w14:paraId="329F150C" w14:textId="77777777" w:rsidR="00ED1E27" w:rsidRDefault="000C10D6">
          <w:pPr>
            <w:pStyle w:val="TOC1"/>
            <w:rPr>
              <w:rFonts w:asciiTheme="minorHAnsi" w:eastAsiaTheme="minorEastAsia" w:hAnsiTheme="minorHAnsi" w:cstheme="minorBidi"/>
              <w:sz w:val="22"/>
              <w:szCs w:val="22"/>
              <w:lang w:eastAsia="en-AU"/>
            </w:rPr>
          </w:pPr>
          <w:hyperlink w:anchor="_Toc430091320" w:history="1">
            <w:r w:rsidR="00ED1E27" w:rsidRPr="0061785B">
              <w:rPr>
                <w:rStyle w:val="Hyperlink"/>
              </w:rPr>
              <w:t>Legal compliance</w:t>
            </w:r>
            <w:r w:rsidR="00ED1E27">
              <w:rPr>
                <w:webHidden/>
              </w:rPr>
              <w:tab/>
            </w:r>
            <w:r w:rsidR="00ED1E27">
              <w:rPr>
                <w:webHidden/>
              </w:rPr>
              <w:fldChar w:fldCharType="begin"/>
            </w:r>
            <w:r w:rsidR="00ED1E27">
              <w:rPr>
                <w:webHidden/>
              </w:rPr>
              <w:instrText xml:space="preserve"> PAGEREF _Toc430091320 \h </w:instrText>
            </w:r>
            <w:r w:rsidR="00ED1E27">
              <w:rPr>
                <w:webHidden/>
              </w:rPr>
            </w:r>
            <w:r w:rsidR="00ED1E27">
              <w:rPr>
                <w:webHidden/>
              </w:rPr>
              <w:fldChar w:fldCharType="separate"/>
            </w:r>
            <w:r w:rsidR="004427AD">
              <w:rPr>
                <w:webHidden/>
              </w:rPr>
              <w:t>131</w:t>
            </w:r>
            <w:r w:rsidR="00ED1E27">
              <w:rPr>
                <w:webHidden/>
              </w:rPr>
              <w:fldChar w:fldCharType="end"/>
            </w:r>
          </w:hyperlink>
        </w:p>
        <w:p w14:paraId="1BF74028"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21" w:history="1">
            <w:r w:rsidR="00ED1E27" w:rsidRPr="0061785B">
              <w:rPr>
                <w:rStyle w:val="Hyperlink"/>
                <w:noProof/>
              </w:rPr>
              <w:t>Public Sector standards and ethical codes</w:t>
            </w:r>
            <w:r w:rsidR="00ED1E27">
              <w:rPr>
                <w:noProof/>
                <w:webHidden/>
              </w:rPr>
              <w:tab/>
            </w:r>
            <w:r w:rsidR="00ED1E27">
              <w:rPr>
                <w:noProof/>
                <w:webHidden/>
              </w:rPr>
              <w:fldChar w:fldCharType="begin"/>
            </w:r>
            <w:r w:rsidR="00ED1E27">
              <w:rPr>
                <w:noProof/>
                <w:webHidden/>
              </w:rPr>
              <w:instrText xml:space="preserve"> PAGEREF _Toc430091321 \h </w:instrText>
            </w:r>
            <w:r w:rsidR="00ED1E27">
              <w:rPr>
                <w:noProof/>
                <w:webHidden/>
              </w:rPr>
            </w:r>
            <w:r w:rsidR="00ED1E27">
              <w:rPr>
                <w:noProof/>
                <w:webHidden/>
              </w:rPr>
              <w:fldChar w:fldCharType="separate"/>
            </w:r>
            <w:r w:rsidR="004427AD">
              <w:rPr>
                <w:noProof/>
                <w:webHidden/>
              </w:rPr>
              <w:t>131</w:t>
            </w:r>
            <w:r w:rsidR="00ED1E27">
              <w:rPr>
                <w:noProof/>
                <w:webHidden/>
              </w:rPr>
              <w:fldChar w:fldCharType="end"/>
            </w:r>
          </w:hyperlink>
        </w:p>
        <w:p w14:paraId="77650D5A" w14:textId="77777777" w:rsidR="00ED1E27" w:rsidRDefault="000C10D6">
          <w:pPr>
            <w:pStyle w:val="TOC3"/>
            <w:rPr>
              <w:rFonts w:asciiTheme="minorHAnsi" w:eastAsiaTheme="minorEastAsia" w:hAnsiTheme="minorHAnsi" w:cstheme="minorBidi"/>
              <w:noProof/>
              <w:sz w:val="22"/>
              <w:szCs w:val="22"/>
              <w:lang w:eastAsia="en-AU"/>
            </w:rPr>
          </w:pPr>
          <w:hyperlink w:anchor="_Toc430091322" w:history="1">
            <w:r w:rsidR="00ED1E27" w:rsidRPr="0061785B">
              <w:rPr>
                <w:rStyle w:val="Hyperlink"/>
                <w:noProof/>
              </w:rPr>
              <w:t>Public Sector Code of Ethics</w:t>
            </w:r>
            <w:r w:rsidR="00ED1E27">
              <w:rPr>
                <w:noProof/>
                <w:webHidden/>
              </w:rPr>
              <w:tab/>
            </w:r>
            <w:r w:rsidR="00ED1E27">
              <w:rPr>
                <w:noProof/>
                <w:webHidden/>
              </w:rPr>
              <w:fldChar w:fldCharType="begin"/>
            </w:r>
            <w:r w:rsidR="00ED1E27">
              <w:rPr>
                <w:noProof/>
                <w:webHidden/>
              </w:rPr>
              <w:instrText xml:space="preserve"> PAGEREF _Toc430091322 \h </w:instrText>
            </w:r>
            <w:r w:rsidR="00ED1E27">
              <w:rPr>
                <w:noProof/>
                <w:webHidden/>
              </w:rPr>
            </w:r>
            <w:r w:rsidR="00ED1E27">
              <w:rPr>
                <w:noProof/>
                <w:webHidden/>
              </w:rPr>
              <w:fldChar w:fldCharType="separate"/>
            </w:r>
            <w:r w:rsidR="004427AD">
              <w:rPr>
                <w:noProof/>
                <w:webHidden/>
              </w:rPr>
              <w:t>131</w:t>
            </w:r>
            <w:r w:rsidR="00ED1E27">
              <w:rPr>
                <w:noProof/>
                <w:webHidden/>
              </w:rPr>
              <w:fldChar w:fldCharType="end"/>
            </w:r>
          </w:hyperlink>
        </w:p>
        <w:p w14:paraId="7ABE3931" w14:textId="77777777" w:rsidR="00ED1E27" w:rsidRDefault="000C10D6">
          <w:pPr>
            <w:pStyle w:val="TOC3"/>
            <w:rPr>
              <w:rFonts w:asciiTheme="minorHAnsi" w:eastAsiaTheme="minorEastAsia" w:hAnsiTheme="minorHAnsi" w:cstheme="minorBidi"/>
              <w:noProof/>
              <w:sz w:val="22"/>
              <w:szCs w:val="22"/>
              <w:lang w:eastAsia="en-AU"/>
            </w:rPr>
          </w:pPr>
          <w:hyperlink w:anchor="_Toc430091323" w:history="1">
            <w:r w:rsidR="00ED1E27" w:rsidRPr="0061785B">
              <w:rPr>
                <w:rStyle w:val="Hyperlink"/>
                <w:noProof/>
              </w:rPr>
              <w:t>WorkCover WA Code of Conduct</w:t>
            </w:r>
            <w:r w:rsidR="00ED1E27">
              <w:rPr>
                <w:noProof/>
                <w:webHidden/>
              </w:rPr>
              <w:tab/>
            </w:r>
            <w:r w:rsidR="00ED1E27">
              <w:rPr>
                <w:noProof/>
                <w:webHidden/>
              </w:rPr>
              <w:fldChar w:fldCharType="begin"/>
            </w:r>
            <w:r w:rsidR="00ED1E27">
              <w:rPr>
                <w:noProof/>
                <w:webHidden/>
              </w:rPr>
              <w:instrText xml:space="preserve"> PAGEREF _Toc430091323 \h </w:instrText>
            </w:r>
            <w:r w:rsidR="00ED1E27">
              <w:rPr>
                <w:noProof/>
                <w:webHidden/>
              </w:rPr>
            </w:r>
            <w:r w:rsidR="00ED1E27">
              <w:rPr>
                <w:noProof/>
                <w:webHidden/>
              </w:rPr>
              <w:fldChar w:fldCharType="separate"/>
            </w:r>
            <w:r w:rsidR="004427AD">
              <w:rPr>
                <w:noProof/>
                <w:webHidden/>
              </w:rPr>
              <w:t>131</w:t>
            </w:r>
            <w:r w:rsidR="00ED1E27">
              <w:rPr>
                <w:noProof/>
                <w:webHidden/>
              </w:rPr>
              <w:fldChar w:fldCharType="end"/>
            </w:r>
          </w:hyperlink>
        </w:p>
        <w:p w14:paraId="6EA5049C" w14:textId="77777777" w:rsidR="00ED1E27" w:rsidRDefault="000C10D6">
          <w:pPr>
            <w:pStyle w:val="TOC3"/>
            <w:rPr>
              <w:rFonts w:asciiTheme="minorHAnsi" w:eastAsiaTheme="minorEastAsia" w:hAnsiTheme="minorHAnsi" w:cstheme="minorBidi"/>
              <w:noProof/>
              <w:sz w:val="22"/>
              <w:szCs w:val="22"/>
              <w:lang w:eastAsia="en-AU"/>
            </w:rPr>
          </w:pPr>
          <w:hyperlink w:anchor="_Toc430091324" w:history="1">
            <w:r w:rsidR="00ED1E27" w:rsidRPr="0061785B">
              <w:rPr>
                <w:rStyle w:val="Hyperlink"/>
                <w:noProof/>
              </w:rPr>
              <w:t>Public Sector Commissioner’s Instruction Employment Standard</w:t>
            </w:r>
            <w:r w:rsidR="00ED1E27">
              <w:rPr>
                <w:noProof/>
                <w:webHidden/>
              </w:rPr>
              <w:tab/>
            </w:r>
            <w:r w:rsidR="00ED1E27">
              <w:rPr>
                <w:noProof/>
                <w:webHidden/>
              </w:rPr>
              <w:fldChar w:fldCharType="begin"/>
            </w:r>
            <w:r w:rsidR="00ED1E27">
              <w:rPr>
                <w:noProof/>
                <w:webHidden/>
              </w:rPr>
              <w:instrText xml:space="preserve"> PAGEREF _Toc430091324 \h </w:instrText>
            </w:r>
            <w:r w:rsidR="00ED1E27">
              <w:rPr>
                <w:noProof/>
                <w:webHidden/>
              </w:rPr>
            </w:r>
            <w:r w:rsidR="00ED1E27">
              <w:rPr>
                <w:noProof/>
                <w:webHidden/>
              </w:rPr>
              <w:fldChar w:fldCharType="separate"/>
            </w:r>
            <w:r w:rsidR="004427AD">
              <w:rPr>
                <w:noProof/>
                <w:webHidden/>
              </w:rPr>
              <w:t>131</w:t>
            </w:r>
            <w:r w:rsidR="00ED1E27">
              <w:rPr>
                <w:noProof/>
                <w:webHidden/>
              </w:rPr>
              <w:fldChar w:fldCharType="end"/>
            </w:r>
          </w:hyperlink>
        </w:p>
        <w:p w14:paraId="4BAEBF98" w14:textId="77777777" w:rsidR="00ED1E27" w:rsidRDefault="000C10D6">
          <w:pPr>
            <w:pStyle w:val="TOC3"/>
            <w:rPr>
              <w:rFonts w:asciiTheme="minorHAnsi" w:eastAsiaTheme="minorEastAsia" w:hAnsiTheme="minorHAnsi" w:cstheme="minorBidi"/>
              <w:noProof/>
              <w:sz w:val="22"/>
              <w:szCs w:val="22"/>
              <w:lang w:eastAsia="en-AU"/>
            </w:rPr>
          </w:pPr>
          <w:hyperlink w:anchor="_Toc430091325" w:history="1">
            <w:r w:rsidR="00ED1E27" w:rsidRPr="0061785B">
              <w:rPr>
                <w:rStyle w:val="Hyperlink"/>
                <w:noProof/>
              </w:rPr>
              <w:t>Grievance Resolution Standard</w:t>
            </w:r>
            <w:r w:rsidR="00ED1E27">
              <w:rPr>
                <w:noProof/>
                <w:webHidden/>
              </w:rPr>
              <w:tab/>
            </w:r>
            <w:r w:rsidR="00ED1E27">
              <w:rPr>
                <w:noProof/>
                <w:webHidden/>
              </w:rPr>
              <w:fldChar w:fldCharType="begin"/>
            </w:r>
            <w:r w:rsidR="00ED1E27">
              <w:rPr>
                <w:noProof/>
                <w:webHidden/>
              </w:rPr>
              <w:instrText xml:space="preserve"> PAGEREF _Toc430091325 \h </w:instrText>
            </w:r>
            <w:r w:rsidR="00ED1E27">
              <w:rPr>
                <w:noProof/>
                <w:webHidden/>
              </w:rPr>
            </w:r>
            <w:r w:rsidR="00ED1E27">
              <w:rPr>
                <w:noProof/>
                <w:webHidden/>
              </w:rPr>
              <w:fldChar w:fldCharType="separate"/>
            </w:r>
            <w:r w:rsidR="004427AD">
              <w:rPr>
                <w:noProof/>
                <w:webHidden/>
              </w:rPr>
              <w:t>131</w:t>
            </w:r>
            <w:r w:rsidR="00ED1E27">
              <w:rPr>
                <w:noProof/>
                <w:webHidden/>
              </w:rPr>
              <w:fldChar w:fldCharType="end"/>
            </w:r>
          </w:hyperlink>
        </w:p>
        <w:p w14:paraId="09F90BDB"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26" w:history="1">
            <w:r w:rsidR="00ED1E27" w:rsidRPr="0061785B">
              <w:rPr>
                <w:rStyle w:val="Hyperlink"/>
                <w:noProof/>
              </w:rPr>
              <w:t>Disability Access and Inclusion Plan</w:t>
            </w:r>
            <w:r w:rsidR="00ED1E27">
              <w:rPr>
                <w:noProof/>
                <w:webHidden/>
              </w:rPr>
              <w:tab/>
            </w:r>
            <w:r w:rsidR="00ED1E27">
              <w:rPr>
                <w:noProof/>
                <w:webHidden/>
              </w:rPr>
              <w:fldChar w:fldCharType="begin"/>
            </w:r>
            <w:r w:rsidR="00ED1E27">
              <w:rPr>
                <w:noProof/>
                <w:webHidden/>
              </w:rPr>
              <w:instrText xml:space="preserve"> PAGEREF _Toc430091326 \h </w:instrText>
            </w:r>
            <w:r w:rsidR="00ED1E27">
              <w:rPr>
                <w:noProof/>
                <w:webHidden/>
              </w:rPr>
            </w:r>
            <w:r w:rsidR="00ED1E27">
              <w:rPr>
                <w:noProof/>
                <w:webHidden/>
              </w:rPr>
              <w:fldChar w:fldCharType="separate"/>
            </w:r>
            <w:r w:rsidR="004427AD">
              <w:rPr>
                <w:noProof/>
                <w:webHidden/>
              </w:rPr>
              <w:t>131</w:t>
            </w:r>
            <w:r w:rsidR="00ED1E27">
              <w:rPr>
                <w:noProof/>
                <w:webHidden/>
              </w:rPr>
              <w:fldChar w:fldCharType="end"/>
            </w:r>
          </w:hyperlink>
        </w:p>
        <w:p w14:paraId="324877AC"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27" w:history="1">
            <w:r w:rsidR="00ED1E27" w:rsidRPr="0061785B">
              <w:rPr>
                <w:rStyle w:val="Hyperlink"/>
                <w:noProof/>
              </w:rPr>
              <w:t>Recordkeeping Plan</w:t>
            </w:r>
            <w:r w:rsidR="00ED1E27">
              <w:rPr>
                <w:noProof/>
                <w:webHidden/>
              </w:rPr>
              <w:tab/>
            </w:r>
            <w:r w:rsidR="00ED1E27">
              <w:rPr>
                <w:noProof/>
                <w:webHidden/>
              </w:rPr>
              <w:fldChar w:fldCharType="begin"/>
            </w:r>
            <w:r w:rsidR="00ED1E27">
              <w:rPr>
                <w:noProof/>
                <w:webHidden/>
              </w:rPr>
              <w:instrText xml:space="preserve"> PAGEREF _Toc430091327 \h </w:instrText>
            </w:r>
            <w:r w:rsidR="00ED1E27">
              <w:rPr>
                <w:noProof/>
                <w:webHidden/>
              </w:rPr>
            </w:r>
            <w:r w:rsidR="00ED1E27">
              <w:rPr>
                <w:noProof/>
                <w:webHidden/>
              </w:rPr>
              <w:fldChar w:fldCharType="separate"/>
            </w:r>
            <w:r w:rsidR="004427AD">
              <w:rPr>
                <w:noProof/>
                <w:webHidden/>
              </w:rPr>
              <w:t>132</w:t>
            </w:r>
            <w:r w:rsidR="00ED1E27">
              <w:rPr>
                <w:noProof/>
                <w:webHidden/>
              </w:rPr>
              <w:fldChar w:fldCharType="end"/>
            </w:r>
          </w:hyperlink>
        </w:p>
        <w:p w14:paraId="2123D448" w14:textId="77777777" w:rsidR="00ED1E27" w:rsidRDefault="000C10D6">
          <w:pPr>
            <w:pStyle w:val="TOC3"/>
            <w:rPr>
              <w:rFonts w:asciiTheme="minorHAnsi" w:eastAsiaTheme="minorEastAsia" w:hAnsiTheme="minorHAnsi" w:cstheme="minorBidi"/>
              <w:noProof/>
              <w:sz w:val="22"/>
              <w:szCs w:val="22"/>
              <w:lang w:eastAsia="en-AU"/>
            </w:rPr>
          </w:pPr>
          <w:hyperlink w:anchor="_Toc430091328" w:history="1">
            <w:r w:rsidR="00ED1E27" w:rsidRPr="0061785B">
              <w:rPr>
                <w:rStyle w:val="Hyperlink"/>
                <w:noProof/>
              </w:rPr>
              <w:t>Report against WorkCover WA Recordkeeping Plan</w:t>
            </w:r>
            <w:r w:rsidR="00ED1E27">
              <w:rPr>
                <w:noProof/>
                <w:webHidden/>
              </w:rPr>
              <w:tab/>
            </w:r>
            <w:r w:rsidR="00ED1E27">
              <w:rPr>
                <w:noProof/>
                <w:webHidden/>
              </w:rPr>
              <w:fldChar w:fldCharType="begin"/>
            </w:r>
            <w:r w:rsidR="00ED1E27">
              <w:rPr>
                <w:noProof/>
                <w:webHidden/>
              </w:rPr>
              <w:instrText xml:space="preserve"> PAGEREF _Toc430091328 \h </w:instrText>
            </w:r>
            <w:r w:rsidR="00ED1E27">
              <w:rPr>
                <w:noProof/>
                <w:webHidden/>
              </w:rPr>
            </w:r>
            <w:r w:rsidR="00ED1E27">
              <w:rPr>
                <w:noProof/>
                <w:webHidden/>
              </w:rPr>
              <w:fldChar w:fldCharType="separate"/>
            </w:r>
            <w:r w:rsidR="004427AD">
              <w:rPr>
                <w:noProof/>
                <w:webHidden/>
              </w:rPr>
              <w:t>133</w:t>
            </w:r>
            <w:r w:rsidR="00ED1E27">
              <w:rPr>
                <w:noProof/>
                <w:webHidden/>
              </w:rPr>
              <w:fldChar w:fldCharType="end"/>
            </w:r>
          </w:hyperlink>
        </w:p>
        <w:p w14:paraId="76939CFA" w14:textId="77777777" w:rsidR="00ED1E27" w:rsidRDefault="000C10D6">
          <w:pPr>
            <w:pStyle w:val="TOC1"/>
            <w:rPr>
              <w:rFonts w:asciiTheme="minorHAnsi" w:eastAsiaTheme="minorEastAsia" w:hAnsiTheme="minorHAnsi" w:cstheme="minorBidi"/>
              <w:sz w:val="22"/>
              <w:szCs w:val="22"/>
              <w:lang w:eastAsia="en-AU"/>
            </w:rPr>
          </w:pPr>
          <w:hyperlink w:anchor="_Toc430091329" w:history="1">
            <w:r w:rsidR="00ED1E27" w:rsidRPr="0061785B">
              <w:rPr>
                <w:rStyle w:val="Hyperlink"/>
              </w:rPr>
              <w:t>Government policy requirements</w:t>
            </w:r>
            <w:r w:rsidR="00ED1E27">
              <w:rPr>
                <w:webHidden/>
              </w:rPr>
              <w:tab/>
            </w:r>
            <w:r w:rsidR="00ED1E27">
              <w:rPr>
                <w:webHidden/>
              </w:rPr>
              <w:fldChar w:fldCharType="begin"/>
            </w:r>
            <w:r w:rsidR="00ED1E27">
              <w:rPr>
                <w:webHidden/>
              </w:rPr>
              <w:instrText xml:space="preserve"> PAGEREF _Toc430091329 \h </w:instrText>
            </w:r>
            <w:r w:rsidR="00ED1E27">
              <w:rPr>
                <w:webHidden/>
              </w:rPr>
            </w:r>
            <w:r w:rsidR="00ED1E27">
              <w:rPr>
                <w:webHidden/>
              </w:rPr>
              <w:fldChar w:fldCharType="separate"/>
            </w:r>
            <w:r w:rsidR="004427AD">
              <w:rPr>
                <w:webHidden/>
              </w:rPr>
              <w:t>134</w:t>
            </w:r>
            <w:r w:rsidR="00ED1E27">
              <w:rPr>
                <w:webHidden/>
              </w:rPr>
              <w:fldChar w:fldCharType="end"/>
            </w:r>
          </w:hyperlink>
        </w:p>
        <w:p w14:paraId="17FA2652"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30" w:history="1">
            <w:r w:rsidR="00ED1E27" w:rsidRPr="0061785B">
              <w:rPr>
                <w:rStyle w:val="Hyperlink"/>
                <w:noProof/>
              </w:rPr>
              <w:t>Substantive equality</w:t>
            </w:r>
            <w:r w:rsidR="00ED1E27">
              <w:rPr>
                <w:noProof/>
                <w:webHidden/>
              </w:rPr>
              <w:tab/>
            </w:r>
            <w:r w:rsidR="00ED1E27">
              <w:rPr>
                <w:noProof/>
                <w:webHidden/>
              </w:rPr>
              <w:fldChar w:fldCharType="begin"/>
            </w:r>
            <w:r w:rsidR="00ED1E27">
              <w:rPr>
                <w:noProof/>
                <w:webHidden/>
              </w:rPr>
              <w:instrText xml:space="preserve"> PAGEREF _Toc430091330 \h </w:instrText>
            </w:r>
            <w:r w:rsidR="00ED1E27">
              <w:rPr>
                <w:noProof/>
                <w:webHidden/>
              </w:rPr>
            </w:r>
            <w:r w:rsidR="00ED1E27">
              <w:rPr>
                <w:noProof/>
                <w:webHidden/>
              </w:rPr>
              <w:fldChar w:fldCharType="separate"/>
            </w:r>
            <w:r w:rsidR="004427AD">
              <w:rPr>
                <w:noProof/>
                <w:webHidden/>
              </w:rPr>
              <w:t>134</w:t>
            </w:r>
            <w:r w:rsidR="00ED1E27">
              <w:rPr>
                <w:noProof/>
                <w:webHidden/>
              </w:rPr>
              <w:fldChar w:fldCharType="end"/>
            </w:r>
          </w:hyperlink>
        </w:p>
        <w:p w14:paraId="729CE93C"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31" w:history="1">
            <w:r w:rsidR="00ED1E27" w:rsidRPr="0061785B">
              <w:rPr>
                <w:rStyle w:val="Hyperlink"/>
                <w:noProof/>
              </w:rPr>
              <w:t>Occupational safety, health and injury management</w:t>
            </w:r>
            <w:r w:rsidR="00ED1E27">
              <w:rPr>
                <w:noProof/>
                <w:webHidden/>
              </w:rPr>
              <w:tab/>
            </w:r>
            <w:r w:rsidR="00ED1E27">
              <w:rPr>
                <w:noProof/>
                <w:webHidden/>
              </w:rPr>
              <w:fldChar w:fldCharType="begin"/>
            </w:r>
            <w:r w:rsidR="00ED1E27">
              <w:rPr>
                <w:noProof/>
                <w:webHidden/>
              </w:rPr>
              <w:instrText xml:space="preserve"> PAGEREF _Toc430091331 \h </w:instrText>
            </w:r>
            <w:r w:rsidR="00ED1E27">
              <w:rPr>
                <w:noProof/>
                <w:webHidden/>
              </w:rPr>
            </w:r>
            <w:r w:rsidR="00ED1E27">
              <w:rPr>
                <w:noProof/>
                <w:webHidden/>
              </w:rPr>
              <w:fldChar w:fldCharType="separate"/>
            </w:r>
            <w:r w:rsidR="004427AD">
              <w:rPr>
                <w:noProof/>
                <w:webHidden/>
              </w:rPr>
              <w:t>134</w:t>
            </w:r>
            <w:r w:rsidR="00ED1E27">
              <w:rPr>
                <w:noProof/>
                <w:webHidden/>
              </w:rPr>
              <w:fldChar w:fldCharType="end"/>
            </w:r>
          </w:hyperlink>
        </w:p>
        <w:p w14:paraId="08AC8DA6" w14:textId="77777777" w:rsidR="00ED1E27" w:rsidRDefault="000C10D6">
          <w:pPr>
            <w:pStyle w:val="TOC3"/>
            <w:rPr>
              <w:rFonts w:asciiTheme="minorHAnsi" w:eastAsiaTheme="minorEastAsia" w:hAnsiTheme="minorHAnsi" w:cstheme="minorBidi"/>
              <w:noProof/>
              <w:sz w:val="22"/>
              <w:szCs w:val="22"/>
              <w:lang w:eastAsia="en-AU"/>
            </w:rPr>
          </w:pPr>
          <w:hyperlink w:anchor="_Toc430091332" w:history="1">
            <w:r w:rsidR="00ED1E27" w:rsidRPr="0061785B">
              <w:rPr>
                <w:rStyle w:val="Hyperlink"/>
                <w:noProof/>
              </w:rPr>
              <w:t>OSH and injury management performance</w:t>
            </w:r>
            <w:r w:rsidR="00ED1E27">
              <w:rPr>
                <w:noProof/>
                <w:webHidden/>
              </w:rPr>
              <w:tab/>
            </w:r>
            <w:r w:rsidR="00ED1E27">
              <w:rPr>
                <w:noProof/>
                <w:webHidden/>
              </w:rPr>
              <w:fldChar w:fldCharType="begin"/>
            </w:r>
            <w:r w:rsidR="00ED1E27">
              <w:rPr>
                <w:noProof/>
                <w:webHidden/>
              </w:rPr>
              <w:instrText xml:space="preserve"> PAGEREF _Toc430091332 \h </w:instrText>
            </w:r>
            <w:r w:rsidR="00ED1E27">
              <w:rPr>
                <w:noProof/>
                <w:webHidden/>
              </w:rPr>
            </w:r>
            <w:r w:rsidR="00ED1E27">
              <w:rPr>
                <w:noProof/>
                <w:webHidden/>
              </w:rPr>
              <w:fldChar w:fldCharType="separate"/>
            </w:r>
            <w:r w:rsidR="004427AD">
              <w:rPr>
                <w:noProof/>
                <w:webHidden/>
              </w:rPr>
              <w:t>134</w:t>
            </w:r>
            <w:r w:rsidR="00ED1E27">
              <w:rPr>
                <w:noProof/>
                <w:webHidden/>
              </w:rPr>
              <w:fldChar w:fldCharType="end"/>
            </w:r>
          </w:hyperlink>
        </w:p>
        <w:p w14:paraId="5EC2CD87" w14:textId="77777777" w:rsidR="00ED1E27" w:rsidRDefault="000C10D6">
          <w:pPr>
            <w:pStyle w:val="TOC1"/>
            <w:rPr>
              <w:rFonts w:asciiTheme="minorHAnsi" w:eastAsiaTheme="minorEastAsia" w:hAnsiTheme="minorHAnsi" w:cstheme="minorBidi"/>
              <w:sz w:val="22"/>
              <w:szCs w:val="22"/>
              <w:lang w:eastAsia="en-AU"/>
            </w:rPr>
          </w:pPr>
          <w:hyperlink w:anchor="_Toc430091333" w:history="1">
            <w:r w:rsidR="00ED1E27" w:rsidRPr="00ED1E27">
              <w:rPr>
                <w:rStyle w:val="Strong"/>
              </w:rPr>
              <w:t>Section 6 Key Performance Indicators</w:t>
            </w:r>
            <w:r w:rsidR="00ED1E27">
              <w:rPr>
                <w:webHidden/>
              </w:rPr>
              <w:tab/>
            </w:r>
            <w:r w:rsidR="00ED1E27">
              <w:rPr>
                <w:webHidden/>
              </w:rPr>
              <w:fldChar w:fldCharType="begin"/>
            </w:r>
            <w:r w:rsidR="00ED1E27">
              <w:rPr>
                <w:webHidden/>
              </w:rPr>
              <w:instrText xml:space="preserve"> PAGEREF _Toc430091333 \h </w:instrText>
            </w:r>
            <w:r w:rsidR="00ED1E27">
              <w:rPr>
                <w:webHidden/>
              </w:rPr>
            </w:r>
            <w:r w:rsidR="00ED1E27">
              <w:rPr>
                <w:webHidden/>
              </w:rPr>
              <w:fldChar w:fldCharType="separate"/>
            </w:r>
            <w:r w:rsidR="004427AD">
              <w:rPr>
                <w:webHidden/>
              </w:rPr>
              <w:t>137</w:t>
            </w:r>
            <w:r w:rsidR="00ED1E27">
              <w:rPr>
                <w:webHidden/>
              </w:rPr>
              <w:fldChar w:fldCharType="end"/>
            </w:r>
          </w:hyperlink>
        </w:p>
        <w:p w14:paraId="7253A508" w14:textId="77777777" w:rsidR="00ED1E27" w:rsidRDefault="000C10D6">
          <w:pPr>
            <w:pStyle w:val="TOC1"/>
            <w:rPr>
              <w:rFonts w:asciiTheme="minorHAnsi" w:eastAsiaTheme="minorEastAsia" w:hAnsiTheme="minorHAnsi" w:cstheme="minorBidi"/>
              <w:sz w:val="22"/>
              <w:szCs w:val="22"/>
              <w:lang w:eastAsia="en-AU"/>
            </w:rPr>
          </w:pPr>
          <w:hyperlink w:anchor="_Toc430091334" w:history="1">
            <w:r w:rsidR="00ED1E27" w:rsidRPr="0061785B">
              <w:rPr>
                <w:rStyle w:val="Hyperlink"/>
              </w:rPr>
              <w:t>Additional Key Performance Indicator information</w:t>
            </w:r>
            <w:r w:rsidR="00ED1E27">
              <w:rPr>
                <w:webHidden/>
              </w:rPr>
              <w:tab/>
            </w:r>
            <w:r w:rsidR="00ED1E27">
              <w:rPr>
                <w:webHidden/>
              </w:rPr>
              <w:fldChar w:fldCharType="begin"/>
            </w:r>
            <w:r w:rsidR="00ED1E27">
              <w:rPr>
                <w:webHidden/>
              </w:rPr>
              <w:instrText xml:space="preserve"> PAGEREF _Toc430091334 \h </w:instrText>
            </w:r>
            <w:r w:rsidR="00ED1E27">
              <w:rPr>
                <w:webHidden/>
              </w:rPr>
            </w:r>
            <w:r w:rsidR="00ED1E27">
              <w:rPr>
                <w:webHidden/>
              </w:rPr>
              <w:fldChar w:fldCharType="separate"/>
            </w:r>
            <w:r w:rsidR="004427AD">
              <w:rPr>
                <w:webHidden/>
              </w:rPr>
              <w:t>137</w:t>
            </w:r>
            <w:r w:rsidR="00ED1E27">
              <w:rPr>
                <w:webHidden/>
              </w:rPr>
              <w:fldChar w:fldCharType="end"/>
            </w:r>
          </w:hyperlink>
        </w:p>
        <w:p w14:paraId="0DEF20D1"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35" w:history="1">
            <w:r w:rsidR="00ED1E27" w:rsidRPr="0061785B">
              <w:rPr>
                <w:rStyle w:val="Hyperlink"/>
                <w:noProof/>
              </w:rPr>
              <w:t>Certification of KPIs</w:t>
            </w:r>
            <w:r w:rsidR="00ED1E27">
              <w:rPr>
                <w:noProof/>
                <w:webHidden/>
              </w:rPr>
              <w:tab/>
            </w:r>
            <w:r w:rsidR="00ED1E27">
              <w:rPr>
                <w:noProof/>
                <w:webHidden/>
              </w:rPr>
              <w:fldChar w:fldCharType="begin"/>
            </w:r>
            <w:r w:rsidR="00ED1E27">
              <w:rPr>
                <w:noProof/>
                <w:webHidden/>
              </w:rPr>
              <w:instrText xml:space="preserve"> PAGEREF _Toc430091335 \h </w:instrText>
            </w:r>
            <w:r w:rsidR="00ED1E27">
              <w:rPr>
                <w:noProof/>
                <w:webHidden/>
              </w:rPr>
            </w:r>
            <w:r w:rsidR="00ED1E27">
              <w:rPr>
                <w:noProof/>
                <w:webHidden/>
              </w:rPr>
              <w:fldChar w:fldCharType="separate"/>
            </w:r>
            <w:r w:rsidR="004427AD">
              <w:rPr>
                <w:noProof/>
                <w:webHidden/>
              </w:rPr>
              <w:t>137</w:t>
            </w:r>
            <w:r w:rsidR="00ED1E27">
              <w:rPr>
                <w:noProof/>
                <w:webHidden/>
              </w:rPr>
              <w:fldChar w:fldCharType="end"/>
            </w:r>
          </w:hyperlink>
        </w:p>
        <w:p w14:paraId="29CA9D9C"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36" w:history="1">
            <w:r w:rsidR="00ED1E27" w:rsidRPr="0061785B">
              <w:rPr>
                <w:rStyle w:val="Hyperlink"/>
                <w:noProof/>
              </w:rPr>
              <w:t>Detailed information in support of Key Performance Indicators</w:t>
            </w:r>
            <w:r w:rsidR="00ED1E27">
              <w:rPr>
                <w:noProof/>
                <w:webHidden/>
              </w:rPr>
              <w:tab/>
            </w:r>
            <w:r w:rsidR="00ED1E27">
              <w:rPr>
                <w:noProof/>
                <w:webHidden/>
              </w:rPr>
              <w:fldChar w:fldCharType="begin"/>
            </w:r>
            <w:r w:rsidR="00ED1E27">
              <w:rPr>
                <w:noProof/>
                <w:webHidden/>
              </w:rPr>
              <w:instrText xml:space="preserve"> PAGEREF _Toc430091336 \h </w:instrText>
            </w:r>
            <w:r w:rsidR="00ED1E27">
              <w:rPr>
                <w:noProof/>
                <w:webHidden/>
              </w:rPr>
            </w:r>
            <w:r w:rsidR="00ED1E27">
              <w:rPr>
                <w:noProof/>
                <w:webHidden/>
              </w:rPr>
              <w:fldChar w:fldCharType="separate"/>
            </w:r>
            <w:r w:rsidR="004427AD">
              <w:rPr>
                <w:noProof/>
                <w:webHidden/>
              </w:rPr>
              <w:t>138</w:t>
            </w:r>
            <w:r w:rsidR="00ED1E27">
              <w:rPr>
                <w:noProof/>
                <w:webHidden/>
              </w:rPr>
              <w:fldChar w:fldCharType="end"/>
            </w:r>
          </w:hyperlink>
        </w:p>
        <w:p w14:paraId="5D0D3F8A"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37" w:history="1">
            <w:r w:rsidR="00ED1E27" w:rsidRPr="0061785B">
              <w:rPr>
                <w:rStyle w:val="Hyperlink"/>
                <w:noProof/>
              </w:rPr>
              <w:t>Changes to the Outcomes Based Management Structure (OBM) in 2014/15</w:t>
            </w:r>
            <w:r w:rsidR="00ED1E27">
              <w:rPr>
                <w:noProof/>
                <w:webHidden/>
              </w:rPr>
              <w:tab/>
            </w:r>
            <w:r w:rsidR="00ED1E27">
              <w:rPr>
                <w:noProof/>
                <w:webHidden/>
              </w:rPr>
              <w:fldChar w:fldCharType="begin"/>
            </w:r>
            <w:r w:rsidR="00ED1E27">
              <w:rPr>
                <w:noProof/>
                <w:webHidden/>
              </w:rPr>
              <w:instrText xml:space="preserve"> PAGEREF _Toc430091337 \h </w:instrText>
            </w:r>
            <w:r w:rsidR="00ED1E27">
              <w:rPr>
                <w:noProof/>
                <w:webHidden/>
              </w:rPr>
            </w:r>
            <w:r w:rsidR="00ED1E27">
              <w:rPr>
                <w:noProof/>
                <w:webHidden/>
              </w:rPr>
              <w:fldChar w:fldCharType="separate"/>
            </w:r>
            <w:r w:rsidR="004427AD">
              <w:rPr>
                <w:noProof/>
                <w:webHidden/>
              </w:rPr>
              <w:t>140</w:t>
            </w:r>
            <w:r w:rsidR="00ED1E27">
              <w:rPr>
                <w:noProof/>
                <w:webHidden/>
              </w:rPr>
              <w:fldChar w:fldCharType="end"/>
            </w:r>
          </w:hyperlink>
        </w:p>
        <w:p w14:paraId="604B711D" w14:textId="77777777" w:rsidR="00ED1E27" w:rsidRDefault="000C10D6">
          <w:pPr>
            <w:pStyle w:val="TOC3"/>
            <w:rPr>
              <w:rFonts w:asciiTheme="minorHAnsi" w:eastAsiaTheme="minorEastAsia" w:hAnsiTheme="minorHAnsi" w:cstheme="minorBidi"/>
              <w:noProof/>
              <w:sz w:val="22"/>
              <w:szCs w:val="22"/>
              <w:lang w:eastAsia="en-AU"/>
            </w:rPr>
          </w:pPr>
          <w:hyperlink w:anchor="_Toc430091338" w:history="1">
            <w:r w:rsidR="00ED1E27" w:rsidRPr="0061785B">
              <w:rPr>
                <w:rStyle w:val="Hyperlink"/>
                <w:noProof/>
                <w:lang w:eastAsia="en-AU"/>
              </w:rPr>
              <w:t>More relevance to Stakeholders</w:t>
            </w:r>
            <w:r w:rsidR="00ED1E27">
              <w:rPr>
                <w:noProof/>
                <w:webHidden/>
              </w:rPr>
              <w:tab/>
            </w:r>
            <w:r w:rsidR="00ED1E27">
              <w:rPr>
                <w:noProof/>
                <w:webHidden/>
              </w:rPr>
              <w:fldChar w:fldCharType="begin"/>
            </w:r>
            <w:r w:rsidR="00ED1E27">
              <w:rPr>
                <w:noProof/>
                <w:webHidden/>
              </w:rPr>
              <w:instrText xml:space="preserve"> PAGEREF _Toc430091338 \h </w:instrText>
            </w:r>
            <w:r w:rsidR="00ED1E27">
              <w:rPr>
                <w:noProof/>
                <w:webHidden/>
              </w:rPr>
            </w:r>
            <w:r w:rsidR="00ED1E27">
              <w:rPr>
                <w:noProof/>
                <w:webHidden/>
              </w:rPr>
              <w:fldChar w:fldCharType="separate"/>
            </w:r>
            <w:r w:rsidR="004427AD">
              <w:rPr>
                <w:noProof/>
                <w:webHidden/>
              </w:rPr>
              <w:t>141</w:t>
            </w:r>
            <w:r w:rsidR="00ED1E27">
              <w:rPr>
                <w:noProof/>
                <w:webHidden/>
              </w:rPr>
              <w:fldChar w:fldCharType="end"/>
            </w:r>
          </w:hyperlink>
        </w:p>
        <w:p w14:paraId="493F5986" w14:textId="77777777" w:rsidR="00ED1E27" w:rsidRDefault="000C10D6">
          <w:pPr>
            <w:pStyle w:val="TOC3"/>
            <w:rPr>
              <w:rFonts w:asciiTheme="minorHAnsi" w:eastAsiaTheme="minorEastAsia" w:hAnsiTheme="minorHAnsi" w:cstheme="minorBidi"/>
              <w:noProof/>
              <w:sz w:val="22"/>
              <w:szCs w:val="22"/>
              <w:lang w:eastAsia="en-AU"/>
            </w:rPr>
          </w:pPr>
          <w:hyperlink w:anchor="_Toc430091339" w:history="1">
            <w:r w:rsidR="00ED1E27" w:rsidRPr="0061785B">
              <w:rPr>
                <w:rStyle w:val="Hyperlink"/>
                <w:noProof/>
              </w:rPr>
              <w:t>Issues with the previous KPI 1.3</w:t>
            </w:r>
            <w:r w:rsidR="00ED1E27">
              <w:rPr>
                <w:noProof/>
                <w:webHidden/>
              </w:rPr>
              <w:tab/>
            </w:r>
            <w:r w:rsidR="00ED1E27">
              <w:rPr>
                <w:noProof/>
                <w:webHidden/>
              </w:rPr>
              <w:fldChar w:fldCharType="begin"/>
            </w:r>
            <w:r w:rsidR="00ED1E27">
              <w:rPr>
                <w:noProof/>
                <w:webHidden/>
              </w:rPr>
              <w:instrText xml:space="preserve"> PAGEREF _Toc430091339 \h </w:instrText>
            </w:r>
            <w:r w:rsidR="00ED1E27">
              <w:rPr>
                <w:noProof/>
                <w:webHidden/>
              </w:rPr>
            </w:r>
            <w:r w:rsidR="00ED1E27">
              <w:rPr>
                <w:noProof/>
                <w:webHidden/>
              </w:rPr>
              <w:fldChar w:fldCharType="separate"/>
            </w:r>
            <w:r w:rsidR="004427AD">
              <w:rPr>
                <w:noProof/>
                <w:webHidden/>
              </w:rPr>
              <w:t>141</w:t>
            </w:r>
            <w:r w:rsidR="00ED1E27">
              <w:rPr>
                <w:noProof/>
                <w:webHidden/>
              </w:rPr>
              <w:fldChar w:fldCharType="end"/>
            </w:r>
          </w:hyperlink>
        </w:p>
        <w:p w14:paraId="1E5A4A6A" w14:textId="77777777" w:rsidR="00ED1E27" w:rsidRDefault="000C10D6">
          <w:pPr>
            <w:pStyle w:val="TOC1"/>
            <w:rPr>
              <w:rFonts w:asciiTheme="minorHAnsi" w:eastAsiaTheme="minorEastAsia" w:hAnsiTheme="minorHAnsi" w:cstheme="minorBidi"/>
              <w:sz w:val="22"/>
              <w:szCs w:val="22"/>
              <w:lang w:eastAsia="en-AU"/>
            </w:rPr>
          </w:pPr>
          <w:hyperlink w:anchor="_Toc430091340" w:history="1">
            <w:r w:rsidR="00ED1E27" w:rsidRPr="0061785B">
              <w:rPr>
                <w:rStyle w:val="Hyperlink"/>
              </w:rPr>
              <w:t>Key Performance Indicators</w:t>
            </w:r>
            <w:r w:rsidR="00ED1E27">
              <w:rPr>
                <w:webHidden/>
              </w:rPr>
              <w:tab/>
            </w:r>
            <w:r w:rsidR="00ED1E27">
              <w:rPr>
                <w:webHidden/>
              </w:rPr>
              <w:fldChar w:fldCharType="begin"/>
            </w:r>
            <w:r w:rsidR="00ED1E27">
              <w:rPr>
                <w:webHidden/>
              </w:rPr>
              <w:instrText xml:space="preserve"> PAGEREF _Toc430091340 \h </w:instrText>
            </w:r>
            <w:r w:rsidR="00ED1E27">
              <w:rPr>
                <w:webHidden/>
              </w:rPr>
            </w:r>
            <w:r w:rsidR="00ED1E27">
              <w:rPr>
                <w:webHidden/>
              </w:rPr>
              <w:fldChar w:fldCharType="separate"/>
            </w:r>
            <w:r w:rsidR="004427AD">
              <w:rPr>
                <w:webHidden/>
              </w:rPr>
              <w:t>143</w:t>
            </w:r>
            <w:r w:rsidR="00ED1E27">
              <w:rPr>
                <w:webHidden/>
              </w:rPr>
              <w:fldChar w:fldCharType="end"/>
            </w:r>
          </w:hyperlink>
        </w:p>
        <w:p w14:paraId="08E58B18"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41" w:history="1">
            <w:r w:rsidR="00ED1E27" w:rsidRPr="0061785B">
              <w:rPr>
                <w:rStyle w:val="Hyperlink"/>
                <w:rFonts w:eastAsia="Calibri"/>
                <w:noProof/>
              </w:rPr>
              <w:t>Summary of Key Performance Indicators</w:t>
            </w:r>
            <w:r w:rsidR="00ED1E27">
              <w:rPr>
                <w:noProof/>
                <w:webHidden/>
              </w:rPr>
              <w:tab/>
            </w:r>
            <w:r w:rsidR="00ED1E27">
              <w:rPr>
                <w:noProof/>
                <w:webHidden/>
              </w:rPr>
              <w:fldChar w:fldCharType="begin"/>
            </w:r>
            <w:r w:rsidR="00ED1E27">
              <w:rPr>
                <w:noProof/>
                <w:webHidden/>
              </w:rPr>
              <w:instrText xml:space="preserve"> PAGEREF _Toc430091341 \h </w:instrText>
            </w:r>
            <w:r w:rsidR="00ED1E27">
              <w:rPr>
                <w:noProof/>
                <w:webHidden/>
              </w:rPr>
            </w:r>
            <w:r w:rsidR="00ED1E27">
              <w:rPr>
                <w:noProof/>
                <w:webHidden/>
              </w:rPr>
              <w:fldChar w:fldCharType="separate"/>
            </w:r>
            <w:r w:rsidR="004427AD">
              <w:rPr>
                <w:noProof/>
                <w:webHidden/>
              </w:rPr>
              <w:t>144</w:t>
            </w:r>
            <w:r w:rsidR="00ED1E27">
              <w:rPr>
                <w:noProof/>
                <w:webHidden/>
              </w:rPr>
              <w:fldChar w:fldCharType="end"/>
            </w:r>
          </w:hyperlink>
        </w:p>
        <w:p w14:paraId="6915CF3D"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42" w:history="1">
            <w:r w:rsidR="00ED1E27" w:rsidRPr="0061785B">
              <w:rPr>
                <w:rStyle w:val="Hyperlink"/>
                <w:rFonts w:eastAsia="Calibri"/>
                <w:noProof/>
              </w:rPr>
              <w:t>Key Performance Indicators of Effectiveness</w:t>
            </w:r>
            <w:r w:rsidR="00ED1E27">
              <w:rPr>
                <w:noProof/>
                <w:webHidden/>
              </w:rPr>
              <w:tab/>
            </w:r>
            <w:r w:rsidR="00ED1E27">
              <w:rPr>
                <w:noProof/>
                <w:webHidden/>
              </w:rPr>
              <w:fldChar w:fldCharType="begin"/>
            </w:r>
            <w:r w:rsidR="00ED1E27">
              <w:rPr>
                <w:noProof/>
                <w:webHidden/>
              </w:rPr>
              <w:instrText xml:space="preserve"> PAGEREF _Toc430091342 \h </w:instrText>
            </w:r>
            <w:r w:rsidR="00ED1E27">
              <w:rPr>
                <w:noProof/>
                <w:webHidden/>
              </w:rPr>
            </w:r>
            <w:r w:rsidR="00ED1E27">
              <w:rPr>
                <w:noProof/>
                <w:webHidden/>
              </w:rPr>
              <w:fldChar w:fldCharType="separate"/>
            </w:r>
            <w:r w:rsidR="004427AD">
              <w:rPr>
                <w:noProof/>
                <w:webHidden/>
              </w:rPr>
              <w:t>145</w:t>
            </w:r>
            <w:r w:rsidR="00ED1E27">
              <w:rPr>
                <w:noProof/>
                <w:webHidden/>
              </w:rPr>
              <w:fldChar w:fldCharType="end"/>
            </w:r>
          </w:hyperlink>
        </w:p>
        <w:p w14:paraId="04BC47DB"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43" w:history="1">
            <w:r w:rsidR="00ED1E27" w:rsidRPr="0061785B">
              <w:rPr>
                <w:rStyle w:val="Hyperlink"/>
                <w:noProof/>
              </w:rPr>
              <w:t>Key Indicators of Efficiency</w:t>
            </w:r>
            <w:r w:rsidR="00ED1E27">
              <w:rPr>
                <w:noProof/>
                <w:webHidden/>
              </w:rPr>
              <w:tab/>
            </w:r>
            <w:r w:rsidR="00ED1E27">
              <w:rPr>
                <w:noProof/>
                <w:webHidden/>
              </w:rPr>
              <w:fldChar w:fldCharType="begin"/>
            </w:r>
            <w:r w:rsidR="00ED1E27">
              <w:rPr>
                <w:noProof/>
                <w:webHidden/>
              </w:rPr>
              <w:instrText xml:space="preserve"> PAGEREF _Toc430091343 \h </w:instrText>
            </w:r>
            <w:r w:rsidR="00ED1E27">
              <w:rPr>
                <w:noProof/>
                <w:webHidden/>
              </w:rPr>
            </w:r>
            <w:r w:rsidR="00ED1E27">
              <w:rPr>
                <w:noProof/>
                <w:webHidden/>
              </w:rPr>
              <w:fldChar w:fldCharType="separate"/>
            </w:r>
            <w:r w:rsidR="004427AD">
              <w:rPr>
                <w:noProof/>
                <w:webHidden/>
              </w:rPr>
              <w:t>152</w:t>
            </w:r>
            <w:r w:rsidR="00ED1E27">
              <w:rPr>
                <w:noProof/>
                <w:webHidden/>
              </w:rPr>
              <w:fldChar w:fldCharType="end"/>
            </w:r>
          </w:hyperlink>
        </w:p>
        <w:p w14:paraId="461D573A"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44" w:history="1">
            <w:r w:rsidR="00ED1E27" w:rsidRPr="0061785B">
              <w:rPr>
                <w:rStyle w:val="Hyperlink"/>
                <w:noProof/>
              </w:rPr>
              <w:t>Allocation of agency costs</w:t>
            </w:r>
            <w:r w:rsidR="00ED1E27">
              <w:rPr>
                <w:noProof/>
                <w:webHidden/>
              </w:rPr>
              <w:tab/>
            </w:r>
            <w:r w:rsidR="00ED1E27">
              <w:rPr>
                <w:noProof/>
                <w:webHidden/>
              </w:rPr>
              <w:fldChar w:fldCharType="begin"/>
            </w:r>
            <w:r w:rsidR="00ED1E27">
              <w:rPr>
                <w:noProof/>
                <w:webHidden/>
              </w:rPr>
              <w:instrText xml:space="preserve"> PAGEREF _Toc430091344 \h </w:instrText>
            </w:r>
            <w:r w:rsidR="00ED1E27">
              <w:rPr>
                <w:noProof/>
                <w:webHidden/>
              </w:rPr>
            </w:r>
            <w:r w:rsidR="00ED1E27">
              <w:rPr>
                <w:noProof/>
                <w:webHidden/>
              </w:rPr>
              <w:fldChar w:fldCharType="separate"/>
            </w:r>
            <w:r w:rsidR="004427AD">
              <w:rPr>
                <w:noProof/>
                <w:webHidden/>
              </w:rPr>
              <w:t>152</w:t>
            </w:r>
            <w:r w:rsidR="00ED1E27">
              <w:rPr>
                <w:noProof/>
                <w:webHidden/>
              </w:rPr>
              <w:fldChar w:fldCharType="end"/>
            </w:r>
          </w:hyperlink>
        </w:p>
        <w:p w14:paraId="6EA82E86" w14:textId="77777777" w:rsidR="00ED1E27" w:rsidRDefault="000C10D6">
          <w:pPr>
            <w:pStyle w:val="TOC1"/>
            <w:rPr>
              <w:rFonts w:asciiTheme="minorHAnsi" w:eastAsiaTheme="minorEastAsia" w:hAnsiTheme="minorHAnsi" w:cstheme="minorBidi"/>
              <w:sz w:val="22"/>
              <w:szCs w:val="22"/>
              <w:lang w:eastAsia="en-AU"/>
            </w:rPr>
          </w:pPr>
          <w:hyperlink w:anchor="_Toc430091345" w:history="1">
            <w:r w:rsidR="00ED1E27" w:rsidRPr="00ED1E27">
              <w:rPr>
                <w:rStyle w:val="Strong"/>
              </w:rPr>
              <w:t>Section 7: Financial Statements and Notes</w:t>
            </w:r>
            <w:r w:rsidR="00ED1E27">
              <w:rPr>
                <w:webHidden/>
              </w:rPr>
              <w:tab/>
            </w:r>
            <w:r w:rsidR="00ED1E27">
              <w:rPr>
                <w:webHidden/>
              </w:rPr>
              <w:fldChar w:fldCharType="begin"/>
            </w:r>
            <w:r w:rsidR="00ED1E27">
              <w:rPr>
                <w:webHidden/>
              </w:rPr>
              <w:instrText xml:space="preserve"> PAGEREF _Toc430091345 \h </w:instrText>
            </w:r>
            <w:r w:rsidR="00ED1E27">
              <w:rPr>
                <w:webHidden/>
              </w:rPr>
            </w:r>
            <w:r w:rsidR="00ED1E27">
              <w:rPr>
                <w:webHidden/>
              </w:rPr>
              <w:fldChar w:fldCharType="separate"/>
            </w:r>
            <w:r w:rsidR="004427AD">
              <w:rPr>
                <w:webHidden/>
              </w:rPr>
              <w:t>165</w:t>
            </w:r>
            <w:r w:rsidR="00ED1E27">
              <w:rPr>
                <w:webHidden/>
              </w:rPr>
              <w:fldChar w:fldCharType="end"/>
            </w:r>
          </w:hyperlink>
        </w:p>
        <w:p w14:paraId="450DBE72" w14:textId="77777777" w:rsidR="00ED1E27" w:rsidRDefault="000C10D6">
          <w:pPr>
            <w:pStyle w:val="TOC1"/>
            <w:rPr>
              <w:rFonts w:asciiTheme="minorHAnsi" w:eastAsiaTheme="minorEastAsia" w:hAnsiTheme="minorHAnsi" w:cstheme="minorBidi"/>
              <w:sz w:val="22"/>
              <w:szCs w:val="22"/>
              <w:lang w:eastAsia="en-AU"/>
            </w:rPr>
          </w:pPr>
          <w:hyperlink w:anchor="_Toc430091346" w:history="1">
            <w:r w:rsidR="00ED1E27" w:rsidRPr="0061785B">
              <w:rPr>
                <w:rStyle w:val="Hyperlink"/>
              </w:rPr>
              <w:t>Financial Statements</w:t>
            </w:r>
            <w:r w:rsidR="00ED1E27">
              <w:rPr>
                <w:webHidden/>
              </w:rPr>
              <w:tab/>
            </w:r>
            <w:r w:rsidR="00ED1E27">
              <w:rPr>
                <w:webHidden/>
              </w:rPr>
              <w:fldChar w:fldCharType="begin"/>
            </w:r>
            <w:r w:rsidR="00ED1E27">
              <w:rPr>
                <w:webHidden/>
              </w:rPr>
              <w:instrText xml:space="preserve"> PAGEREF _Toc430091346 \h </w:instrText>
            </w:r>
            <w:r w:rsidR="00ED1E27">
              <w:rPr>
                <w:webHidden/>
              </w:rPr>
            </w:r>
            <w:r w:rsidR="00ED1E27">
              <w:rPr>
                <w:webHidden/>
              </w:rPr>
              <w:fldChar w:fldCharType="separate"/>
            </w:r>
            <w:r w:rsidR="004427AD">
              <w:rPr>
                <w:webHidden/>
              </w:rPr>
              <w:t>165</w:t>
            </w:r>
            <w:r w:rsidR="00ED1E27">
              <w:rPr>
                <w:webHidden/>
              </w:rPr>
              <w:fldChar w:fldCharType="end"/>
            </w:r>
          </w:hyperlink>
        </w:p>
        <w:p w14:paraId="3B4FE751"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47" w:history="1">
            <w:r w:rsidR="00ED1E27" w:rsidRPr="0061785B">
              <w:rPr>
                <w:rStyle w:val="Hyperlink"/>
                <w:noProof/>
                <w:spacing w:val="-14"/>
              </w:rPr>
              <w:t>C</w:t>
            </w:r>
            <w:r w:rsidR="00ED1E27" w:rsidRPr="0061785B">
              <w:rPr>
                <w:rStyle w:val="Hyperlink"/>
                <w:noProof/>
                <w:spacing w:val="-4"/>
              </w:rPr>
              <w:t>e</w:t>
            </w:r>
            <w:r w:rsidR="00ED1E27" w:rsidRPr="0061785B">
              <w:rPr>
                <w:rStyle w:val="Hyperlink"/>
                <w:noProof/>
                <w:spacing w:val="2"/>
              </w:rPr>
              <w:t>r</w:t>
            </w:r>
            <w:r w:rsidR="00ED1E27" w:rsidRPr="0061785B">
              <w:rPr>
                <w:rStyle w:val="Hyperlink"/>
                <w:noProof/>
                <w:spacing w:val="-4"/>
              </w:rPr>
              <w:t>t</w:t>
            </w:r>
            <w:r w:rsidR="00ED1E27" w:rsidRPr="0061785B">
              <w:rPr>
                <w:rStyle w:val="Hyperlink"/>
                <w:noProof/>
                <w:spacing w:val="2"/>
              </w:rPr>
              <w:t>i</w:t>
            </w:r>
            <w:r w:rsidR="00ED1E27" w:rsidRPr="0061785B">
              <w:rPr>
                <w:rStyle w:val="Hyperlink"/>
                <w:noProof/>
              </w:rPr>
              <w:t>f</w:t>
            </w:r>
            <w:r w:rsidR="00ED1E27" w:rsidRPr="0061785B">
              <w:rPr>
                <w:rStyle w:val="Hyperlink"/>
                <w:noProof/>
                <w:spacing w:val="-7"/>
              </w:rPr>
              <w:t>i</w:t>
            </w:r>
            <w:r w:rsidR="00ED1E27" w:rsidRPr="0061785B">
              <w:rPr>
                <w:rStyle w:val="Hyperlink"/>
                <w:noProof/>
                <w:spacing w:val="-18"/>
              </w:rPr>
              <w:t>c</w:t>
            </w:r>
            <w:r w:rsidR="00ED1E27" w:rsidRPr="0061785B">
              <w:rPr>
                <w:rStyle w:val="Hyperlink"/>
                <w:noProof/>
                <w:spacing w:val="-6"/>
              </w:rPr>
              <w:t>a</w:t>
            </w:r>
            <w:r w:rsidR="00ED1E27" w:rsidRPr="0061785B">
              <w:rPr>
                <w:rStyle w:val="Hyperlink"/>
                <w:noProof/>
                <w:spacing w:val="-4"/>
              </w:rPr>
              <w:t>t</w:t>
            </w:r>
            <w:r w:rsidR="00ED1E27" w:rsidRPr="0061785B">
              <w:rPr>
                <w:rStyle w:val="Hyperlink"/>
                <w:noProof/>
                <w:spacing w:val="-7"/>
              </w:rPr>
              <w:t>i</w:t>
            </w:r>
            <w:r w:rsidR="00ED1E27" w:rsidRPr="0061785B">
              <w:rPr>
                <w:rStyle w:val="Hyperlink"/>
                <w:noProof/>
                <w:spacing w:val="-9"/>
              </w:rPr>
              <w:t>o</w:t>
            </w:r>
            <w:r w:rsidR="00ED1E27" w:rsidRPr="0061785B">
              <w:rPr>
                <w:rStyle w:val="Hyperlink"/>
                <w:noProof/>
              </w:rPr>
              <w:t>n</w:t>
            </w:r>
            <w:r w:rsidR="00ED1E27" w:rsidRPr="0061785B">
              <w:rPr>
                <w:rStyle w:val="Hyperlink"/>
                <w:noProof/>
                <w:spacing w:val="-18"/>
              </w:rPr>
              <w:t xml:space="preserve"> </w:t>
            </w:r>
            <w:r w:rsidR="00ED1E27" w:rsidRPr="0061785B">
              <w:rPr>
                <w:rStyle w:val="Hyperlink"/>
                <w:noProof/>
                <w:spacing w:val="-6"/>
              </w:rPr>
              <w:t>o</w:t>
            </w:r>
            <w:r w:rsidR="00ED1E27" w:rsidRPr="0061785B">
              <w:rPr>
                <w:rStyle w:val="Hyperlink"/>
                <w:noProof/>
              </w:rPr>
              <w:t>f</w:t>
            </w:r>
            <w:r w:rsidR="00ED1E27" w:rsidRPr="0061785B">
              <w:rPr>
                <w:rStyle w:val="Hyperlink"/>
                <w:noProof/>
                <w:spacing w:val="-18"/>
              </w:rPr>
              <w:t xml:space="preserve"> </w:t>
            </w:r>
            <w:r w:rsidR="00ED1E27" w:rsidRPr="0061785B">
              <w:rPr>
                <w:rStyle w:val="Hyperlink"/>
                <w:noProof/>
                <w:spacing w:val="-8"/>
              </w:rPr>
              <w:t>F</w:t>
            </w:r>
            <w:r w:rsidR="00ED1E27" w:rsidRPr="0061785B">
              <w:rPr>
                <w:rStyle w:val="Hyperlink"/>
                <w:noProof/>
                <w:spacing w:val="-6"/>
              </w:rPr>
              <w:t>i</w:t>
            </w:r>
            <w:r w:rsidR="00ED1E27" w:rsidRPr="0061785B">
              <w:rPr>
                <w:rStyle w:val="Hyperlink"/>
                <w:noProof/>
                <w:spacing w:val="-8"/>
              </w:rPr>
              <w:t>na</w:t>
            </w:r>
            <w:r w:rsidR="00ED1E27" w:rsidRPr="0061785B">
              <w:rPr>
                <w:rStyle w:val="Hyperlink"/>
                <w:noProof/>
                <w:spacing w:val="-9"/>
              </w:rPr>
              <w:t>n</w:t>
            </w:r>
            <w:r w:rsidR="00ED1E27" w:rsidRPr="0061785B">
              <w:rPr>
                <w:rStyle w:val="Hyperlink"/>
                <w:noProof/>
                <w:spacing w:val="-14"/>
              </w:rPr>
              <w:t>c</w:t>
            </w:r>
            <w:r w:rsidR="00ED1E27" w:rsidRPr="0061785B">
              <w:rPr>
                <w:rStyle w:val="Hyperlink"/>
                <w:noProof/>
                <w:spacing w:val="-8"/>
              </w:rPr>
              <w:t>i</w:t>
            </w:r>
            <w:r w:rsidR="00ED1E27" w:rsidRPr="0061785B">
              <w:rPr>
                <w:rStyle w:val="Hyperlink"/>
                <w:noProof/>
                <w:spacing w:val="-6"/>
              </w:rPr>
              <w:t>a</w:t>
            </w:r>
            <w:r w:rsidR="00ED1E27" w:rsidRPr="0061785B">
              <w:rPr>
                <w:rStyle w:val="Hyperlink"/>
                <w:noProof/>
              </w:rPr>
              <w:t>l</w:t>
            </w:r>
            <w:r w:rsidR="00ED1E27" w:rsidRPr="0061785B">
              <w:rPr>
                <w:rStyle w:val="Hyperlink"/>
                <w:noProof/>
                <w:spacing w:val="-18"/>
              </w:rPr>
              <w:t xml:space="preserve"> </w:t>
            </w:r>
            <w:r w:rsidR="00ED1E27" w:rsidRPr="0061785B">
              <w:rPr>
                <w:rStyle w:val="Hyperlink"/>
                <w:noProof/>
                <w:spacing w:val="-12"/>
              </w:rPr>
              <w:t>S</w:t>
            </w:r>
            <w:r w:rsidR="00ED1E27" w:rsidRPr="0061785B">
              <w:rPr>
                <w:rStyle w:val="Hyperlink"/>
                <w:noProof/>
                <w:spacing w:val="-9"/>
              </w:rPr>
              <w:t>t</w:t>
            </w:r>
            <w:r w:rsidR="00ED1E27" w:rsidRPr="0061785B">
              <w:rPr>
                <w:rStyle w:val="Hyperlink"/>
                <w:noProof/>
                <w:spacing w:val="-6"/>
              </w:rPr>
              <w:t>a</w:t>
            </w:r>
            <w:r w:rsidR="00ED1E27" w:rsidRPr="0061785B">
              <w:rPr>
                <w:rStyle w:val="Hyperlink"/>
                <w:noProof/>
                <w:spacing w:val="-9"/>
              </w:rPr>
              <w:t>te</w:t>
            </w:r>
            <w:r w:rsidR="00ED1E27" w:rsidRPr="0061785B">
              <w:rPr>
                <w:rStyle w:val="Hyperlink"/>
                <w:noProof/>
                <w:spacing w:val="-8"/>
              </w:rPr>
              <w:t>m</w:t>
            </w:r>
            <w:r w:rsidR="00ED1E27" w:rsidRPr="0061785B">
              <w:rPr>
                <w:rStyle w:val="Hyperlink"/>
                <w:noProof/>
                <w:spacing w:val="-10"/>
              </w:rPr>
              <w:t>e</w:t>
            </w:r>
            <w:r w:rsidR="00ED1E27" w:rsidRPr="0061785B">
              <w:rPr>
                <w:rStyle w:val="Hyperlink"/>
                <w:noProof/>
                <w:spacing w:val="-8"/>
              </w:rPr>
              <w:t>n</w:t>
            </w:r>
            <w:r w:rsidR="00ED1E27" w:rsidRPr="0061785B">
              <w:rPr>
                <w:rStyle w:val="Hyperlink"/>
                <w:noProof/>
                <w:spacing w:val="-4"/>
              </w:rPr>
              <w:t>t</w:t>
            </w:r>
            <w:r w:rsidR="00ED1E27" w:rsidRPr="0061785B">
              <w:rPr>
                <w:rStyle w:val="Hyperlink"/>
                <w:noProof/>
              </w:rPr>
              <w:t>s</w:t>
            </w:r>
            <w:r w:rsidR="00ED1E27">
              <w:rPr>
                <w:noProof/>
                <w:webHidden/>
              </w:rPr>
              <w:tab/>
            </w:r>
            <w:r w:rsidR="00ED1E27">
              <w:rPr>
                <w:noProof/>
                <w:webHidden/>
              </w:rPr>
              <w:fldChar w:fldCharType="begin"/>
            </w:r>
            <w:r w:rsidR="00ED1E27">
              <w:rPr>
                <w:noProof/>
                <w:webHidden/>
              </w:rPr>
              <w:instrText xml:space="preserve"> PAGEREF _Toc430091347 \h </w:instrText>
            </w:r>
            <w:r w:rsidR="00ED1E27">
              <w:rPr>
                <w:noProof/>
                <w:webHidden/>
              </w:rPr>
            </w:r>
            <w:r w:rsidR="00ED1E27">
              <w:rPr>
                <w:noProof/>
                <w:webHidden/>
              </w:rPr>
              <w:fldChar w:fldCharType="separate"/>
            </w:r>
            <w:r w:rsidR="004427AD">
              <w:rPr>
                <w:noProof/>
                <w:webHidden/>
              </w:rPr>
              <w:t>165</w:t>
            </w:r>
            <w:r w:rsidR="00ED1E27">
              <w:rPr>
                <w:noProof/>
                <w:webHidden/>
              </w:rPr>
              <w:fldChar w:fldCharType="end"/>
            </w:r>
          </w:hyperlink>
        </w:p>
        <w:p w14:paraId="0369E858" w14:textId="77777777" w:rsidR="00ED1E27" w:rsidRDefault="000C10D6">
          <w:pPr>
            <w:pStyle w:val="TOC1"/>
            <w:rPr>
              <w:rFonts w:asciiTheme="minorHAnsi" w:eastAsiaTheme="minorEastAsia" w:hAnsiTheme="minorHAnsi" w:cstheme="minorBidi"/>
              <w:sz w:val="22"/>
              <w:szCs w:val="22"/>
              <w:lang w:eastAsia="en-AU"/>
            </w:rPr>
          </w:pPr>
          <w:hyperlink w:anchor="_Toc430091348" w:history="1">
            <w:r w:rsidR="00ED1E27" w:rsidRPr="0061785B">
              <w:rPr>
                <w:rStyle w:val="Hyperlink"/>
                <w:spacing w:val="-13"/>
              </w:rPr>
              <w:t>Independen</w:t>
            </w:r>
            <w:r w:rsidR="00ED1E27" w:rsidRPr="0061785B">
              <w:rPr>
                <w:rStyle w:val="Hyperlink"/>
              </w:rPr>
              <w:t>t</w:t>
            </w:r>
            <w:r w:rsidR="00ED1E27" w:rsidRPr="0061785B">
              <w:rPr>
                <w:rStyle w:val="Hyperlink"/>
                <w:spacing w:val="-38"/>
              </w:rPr>
              <w:t xml:space="preserve"> </w:t>
            </w:r>
            <w:r w:rsidR="00ED1E27" w:rsidRPr="0061785B">
              <w:rPr>
                <w:rStyle w:val="Hyperlink"/>
              </w:rPr>
              <w:t>Audit</w:t>
            </w:r>
            <w:r w:rsidR="00ED1E27" w:rsidRPr="0061785B">
              <w:rPr>
                <w:rStyle w:val="Hyperlink"/>
                <w:spacing w:val="-38"/>
              </w:rPr>
              <w:t xml:space="preserve"> </w:t>
            </w:r>
            <w:r w:rsidR="00ED1E27" w:rsidRPr="0061785B">
              <w:rPr>
                <w:rStyle w:val="Hyperlink"/>
              </w:rPr>
              <w:t>Opinion</w:t>
            </w:r>
            <w:r w:rsidR="00ED1E27">
              <w:rPr>
                <w:webHidden/>
              </w:rPr>
              <w:tab/>
            </w:r>
            <w:r w:rsidR="00ED1E27">
              <w:rPr>
                <w:webHidden/>
              </w:rPr>
              <w:fldChar w:fldCharType="begin"/>
            </w:r>
            <w:r w:rsidR="00ED1E27">
              <w:rPr>
                <w:webHidden/>
              </w:rPr>
              <w:instrText xml:space="preserve"> PAGEREF _Toc430091348 \h </w:instrText>
            </w:r>
            <w:r w:rsidR="00ED1E27">
              <w:rPr>
                <w:webHidden/>
              </w:rPr>
            </w:r>
            <w:r w:rsidR="00ED1E27">
              <w:rPr>
                <w:webHidden/>
              </w:rPr>
              <w:fldChar w:fldCharType="separate"/>
            </w:r>
            <w:r w:rsidR="004427AD">
              <w:rPr>
                <w:webHidden/>
              </w:rPr>
              <w:t>166</w:t>
            </w:r>
            <w:r w:rsidR="00ED1E27">
              <w:rPr>
                <w:webHidden/>
              </w:rPr>
              <w:fldChar w:fldCharType="end"/>
            </w:r>
          </w:hyperlink>
        </w:p>
        <w:p w14:paraId="11032A40" w14:textId="77777777" w:rsidR="00ED1E27" w:rsidRDefault="000C10D6">
          <w:pPr>
            <w:pStyle w:val="TOC1"/>
            <w:rPr>
              <w:rFonts w:asciiTheme="minorHAnsi" w:eastAsiaTheme="minorEastAsia" w:hAnsiTheme="minorHAnsi" w:cstheme="minorBidi"/>
              <w:sz w:val="22"/>
              <w:szCs w:val="22"/>
              <w:lang w:eastAsia="en-AU"/>
            </w:rPr>
          </w:pPr>
          <w:hyperlink w:anchor="_Toc430091349" w:history="1">
            <w:r w:rsidR="00ED1E27" w:rsidRPr="0061785B">
              <w:rPr>
                <w:rStyle w:val="Hyperlink"/>
                <w:spacing w:val="-12"/>
              </w:rPr>
              <w:t>S</w:t>
            </w:r>
            <w:r w:rsidR="00ED1E27" w:rsidRPr="0061785B">
              <w:rPr>
                <w:rStyle w:val="Hyperlink"/>
              </w:rPr>
              <w:t>t</w:t>
            </w:r>
            <w:r w:rsidR="00ED1E27" w:rsidRPr="0061785B">
              <w:rPr>
                <w:rStyle w:val="Hyperlink"/>
                <w:spacing w:val="-6"/>
              </w:rPr>
              <w:t>a</w:t>
            </w:r>
            <w:r w:rsidR="00ED1E27" w:rsidRPr="0061785B">
              <w:rPr>
                <w:rStyle w:val="Hyperlink"/>
              </w:rPr>
              <w:t>te</w:t>
            </w:r>
            <w:r w:rsidR="00ED1E27" w:rsidRPr="0061785B">
              <w:rPr>
                <w:rStyle w:val="Hyperlink"/>
                <w:spacing w:val="-8"/>
              </w:rPr>
              <w:t>m</w:t>
            </w:r>
            <w:r w:rsidR="00ED1E27" w:rsidRPr="0061785B">
              <w:rPr>
                <w:rStyle w:val="Hyperlink"/>
                <w:spacing w:val="-10"/>
              </w:rPr>
              <w:t>e</w:t>
            </w:r>
            <w:r w:rsidR="00ED1E27" w:rsidRPr="0061785B">
              <w:rPr>
                <w:rStyle w:val="Hyperlink"/>
                <w:spacing w:val="-8"/>
              </w:rPr>
              <w:t>n</w:t>
            </w:r>
            <w:r w:rsidR="00ED1E27" w:rsidRPr="0061785B">
              <w:rPr>
                <w:rStyle w:val="Hyperlink"/>
              </w:rPr>
              <w:t>t</w:t>
            </w:r>
            <w:r w:rsidR="00ED1E27" w:rsidRPr="0061785B">
              <w:rPr>
                <w:rStyle w:val="Hyperlink"/>
                <w:spacing w:val="-18"/>
              </w:rPr>
              <w:t xml:space="preserve"> </w:t>
            </w:r>
            <w:r w:rsidR="00ED1E27" w:rsidRPr="0061785B">
              <w:rPr>
                <w:rStyle w:val="Hyperlink"/>
                <w:spacing w:val="-6"/>
              </w:rPr>
              <w:t>o</w:t>
            </w:r>
            <w:r w:rsidR="00ED1E27" w:rsidRPr="0061785B">
              <w:rPr>
                <w:rStyle w:val="Hyperlink"/>
              </w:rPr>
              <w:t>f</w:t>
            </w:r>
            <w:r w:rsidR="00ED1E27" w:rsidRPr="0061785B">
              <w:rPr>
                <w:rStyle w:val="Hyperlink"/>
                <w:spacing w:val="-18"/>
              </w:rPr>
              <w:t xml:space="preserve"> </w:t>
            </w:r>
            <w:r w:rsidR="00ED1E27" w:rsidRPr="0061785B">
              <w:rPr>
                <w:rStyle w:val="Hyperlink"/>
                <w:spacing w:val="-14"/>
              </w:rPr>
              <w:t>C</w:t>
            </w:r>
            <w:r w:rsidR="00ED1E27" w:rsidRPr="0061785B">
              <w:rPr>
                <w:rStyle w:val="Hyperlink"/>
              </w:rPr>
              <w:t>o</w:t>
            </w:r>
            <w:r w:rsidR="00ED1E27" w:rsidRPr="0061785B">
              <w:rPr>
                <w:rStyle w:val="Hyperlink"/>
                <w:spacing w:val="-7"/>
              </w:rPr>
              <w:t>m</w:t>
            </w:r>
            <w:r w:rsidR="00ED1E27" w:rsidRPr="0061785B">
              <w:rPr>
                <w:rStyle w:val="Hyperlink"/>
                <w:spacing w:val="-3"/>
              </w:rPr>
              <w:t>p</w:t>
            </w:r>
            <w:r w:rsidR="00ED1E27" w:rsidRPr="0061785B">
              <w:rPr>
                <w:rStyle w:val="Hyperlink"/>
                <w:spacing w:val="-15"/>
              </w:rPr>
              <w:t>r</w:t>
            </w:r>
            <w:r w:rsidR="00ED1E27" w:rsidRPr="0061785B">
              <w:rPr>
                <w:rStyle w:val="Hyperlink"/>
                <w:spacing w:val="-10"/>
              </w:rPr>
              <w:t>e</w:t>
            </w:r>
            <w:r w:rsidR="00ED1E27" w:rsidRPr="0061785B">
              <w:rPr>
                <w:rStyle w:val="Hyperlink"/>
                <w:spacing w:val="-8"/>
              </w:rPr>
              <w:t>h</w:t>
            </w:r>
            <w:r w:rsidR="00ED1E27" w:rsidRPr="0061785B">
              <w:rPr>
                <w:rStyle w:val="Hyperlink"/>
                <w:spacing w:val="-10"/>
              </w:rPr>
              <w:t>e</w:t>
            </w:r>
            <w:r w:rsidR="00ED1E27" w:rsidRPr="0061785B">
              <w:rPr>
                <w:rStyle w:val="Hyperlink"/>
                <w:spacing w:val="-8"/>
              </w:rPr>
              <w:t>n</w:t>
            </w:r>
            <w:r w:rsidR="00ED1E27" w:rsidRPr="0061785B">
              <w:rPr>
                <w:rStyle w:val="Hyperlink"/>
                <w:spacing w:val="-6"/>
              </w:rPr>
              <w:t>s</w:t>
            </w:r>
            <w:r w:rsidR="00ED1E27" w:rsidRPr="0061785B">
              <w:rPr>
                <w:rStyle w:val="Hyperlink"/>
                <w:spacing w:val="-7"/>
              </w:rPr>
              <w:t>i</w:t>
            </w:r>
            <w:r w:rsidR="00ED1E27" w:rsidRPr="0061785B">
              <w:rPr>
                <w:rStyle w:val="Hyperlink"/>
                <w:spacing w:val="-19"/>
              </w:rPr>
              <w:t>v</w:t>
            </w:r>
            <w:r w:rsidR="00ED1E27" w:rsidRPr="0061785B">
              <w:rPr>
                <w:rStyle w:val="Hyperlink"/>
              </w:rPr>
              <w:t>e</w:t>
            </w:r>
            <w:r w:rsidR="00ED1E27" w:rsidRPr="0061785B">
              <w:rPr>
                <w:rStyle w:val="Hyperlink"/>
                <w:spacing w:val="-18"/>
              </w:rPr>
              <w:t xml:space="preserve"> </w:t>
            </w:r>
            <w:r w:rsidR="00ED1E27" w:rsidRPr="0061785B">
              <w:rPr>
                <w:rStyle w:val="Hyperlink"/>
                <w:spacing w:val="-6"/>
              </w:rPr>
              <w:t>I</w:t>
            </w:r>
            <w:r w:rsidR="00ED1E27" w:rsidRPr="0061785B">
              <w:rPr>
                <w:rStyle w:val="Hyperlink"/>
              </w:rPr>
              <w:t>n</w:t>
            </w:r>
            <w:r w:rsidR="00ED1E27" w:rsidRPr="0061785B">
              <w:rPr>
                <w:rStyle w:val="Hyperlink"/>
                <w:spacing w:val="-19"/>
              </w:rPr>
              <w:t>c</w:t>
            </w:r>
            <w:r w:rsidR="00ED1E27" w:rsidRPr="0061785B">
              <w:rPr>
                <w:rStyle w:val="Hyperlink"/>
              </w:rPr>
              <w:t>o</w:t>
            </w:r>
            <w:r w:rsidR="00ED1E27" w:rsidRPr="0061785B">
              <w:rPr>
                <w:rStyle w:val="Hyperlink"/>
                <w:spacing w:val="-8"/>
              </w:rPr>
              <w:t>m</w:t>
            </w:r>
            <w:r w:rsidR="00ED1E27" w:rsidRPr="0061785B">
              <w:rPr>
                <w:rStyle w:val="Hyperlink"/>
              </w:rPr>
              <w:t>e</w:t>
            </w:r>
            <w:r w:rsidR="00ED1E27">
              <w:rPr>
                <w:webHidden/>
              </w:rPr>
              <w:tab/>
            </w:r>
            <w:r w:rsidR="00ED1E27">
              <w:rPr>
                <w:webHidden/>
              </w:rPr>
              <w:fldChar w:fldCharType="begin"/>
            </w:r>
            <w:r w:rsidR="00ED1E27">
              <w:rPr>
                <w:webHidden/>
              </w:rPr>
              <w:instrText xml:space="preserve"> PAGEREF _Toc430091349 \h </w:instrText>
            </w:r>
            <w:r w:rsidR="00ED1E27">
              <w:rPr>
                <w:webHidden/>
              </w:rPr>
            </w:r>
            <w:r w:rsidR="00ED1E27">
              <w:rPr>
                <w:webHidden/>
              </w:rPr>
              <w:fldChar w:fldCharType="separate"/>
            </w:r>
            <w:r w:rsidR="004427AD">
              <w:rPr>
                <w:webHidden/>
              </w:rPr>
              <w:t>170</w:t>
            </w:r>
            <w:r w:rsidR="00ED1E27">
              <w:rPr>
                <w:webHidden/>
              </w:rPr>
              <w:fldChar w:fldCharType="end"/>
            </w:r>
          </w:hyperlink>
        </w:p>
        <w:p w14:paraId="41788828"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50" w:history="1">
            <w:r w:rsidR="00ED1E27" w:rsidRPr="0061785B">
              <w:rPr>
                <w:rStyle w:val="Hyperlink"/>
                <w:noProof/>
                <w:spacing w:val="-8"/>
              </w:rPr>
              <w:t>F</w:t>
            </w:r>
            <w:r w:rsidR="00ED1E27" w:rsidRPr="0061785B">
              <w:rPr>
                <w:rStyle w:val="Hyperlink"/>
                <w:noProof/>
                <w:spacing w:val="-3"/>
              </w:rPr>
              <w:t>o</w:t>
            </w:r>
            <w:r w:rsidR="00ED1E27" w:rsidRPr="0061785B">
              <w:rPr>
                <w:rStyle w:val="Hyperlink"/>
                <w:noProof/>
              </w:rPr>
              <w:t>r</w:t>
            </w:r>
            <w:r w:rsidR="00ED1E27" w:rsidRPr="0061785B">
              <w:rPr>
                <w:rStyle w:val="Hyperlink"/>
                <w:noProof/>
                <w:spacing w:val="-15"/>
              </w:rPr>
              <w:t xml:space="preserve"> </w:t>
            </w:r>
            <w:r w:rsidR="00ED1E27" w:rsidRPr="0061785B">
              <w:rPr>
                <w:rStyle w:val="Hyperlink"/>
                <w:noProof/>
                <w:spacing w:val="-5"/>
              </w:rPr>
              <w:t>t</w:t>
            </w:r>
            <w:r w:rsidR="00ED1E27" w:rsidRPr="0061785B">
              <w:rPr>
                <w:rStyle w:val="Hyperlink"/>
                <w:noProof/>
                <w:spacing w:val="-6"/>
              </w:rPr>
              <w:t>h</w:t>
            </w:r>
            <w:r w:rsidR="00ED1E27" w:rsidRPr="0061785B">
              <w:rPr>
                <w:rStyle w:val="Hyperlink"/>
                <w:noProof/>
              </w:rPr>
              <w:t>e</w:t>
            </w:r>
            <w:r w:rsidR="00ED1E27" w:rsidRPr="0061785B">
              <w:rPr>
                <w:rStyle w:val="Hyperlink"/>
                <w:noProof/>
                <w:spacing w:val="-15"/>
              </w:rPr>
              <w:t xml:space="preserve"> y</w:t>
            </w:r>
            <w:r w:rsidR="00ED1E27" w:rsidRPr="0061785B">
              <w:rPr>
                <w:rStyle w:val="Hyperlink"/>
                <w:noProof/>
                <w:spacing w:val="-7"/>
              </w:rPr>
              <w:t>e</w:t>
            </w:r>
            <w:r w:rsidR="00ED1E27" w:rsidRPr="0061785B">
              <w:rPr>
                <w:rStyle w:val="Hyperlink"/>
                <w:noProof/>
                <w:spacing w:val="-2"/>
              </w:rPr>
              <w:t>a</w:t>
            </w:r>
            <w:r w:rsidR="00ED1E27" w:rsidRPr="0061785B">
              <w:rPr>
                <w:rStyle w:val="Hyperlink"/>
                <w:noProof/>
              </w:rPr>
              <w:t>r</w:t>
            </w:r>
            <w:r w:rsidR="00ED1E27" w:rsidRPr="0061785B">
              <w:rPr>
                <w:rStyle w:val="Hyperlink"/>
                <w:noProof/>
                <w:spacing w:val="-15"/>
              </w:rPr>
              <w:t xml:space="preserve"> </w:t>
            </w:r>
            <w:r w:rsidR="00ED1E27" w:rsidRPr="0061785B">
              <w:rPr>
                <w:rStyle w:val="Hyperlink"/>
                <w:noProof/>
                <w:spacing w:val="-7"/>
              </w:rPr>
              <w:t>e</w:t>
            </w:r>
            <w:r w:rsidR="00ED1E27" w:rsidRPr="0061785B">
              <w:rPr>
                <w:rStyle w:val="Hyperlink"/>
                <w:noProof/>
                <w:spacing w:val="-6"/>
              </w:rPr>
              <w:t>n</w:t>
            </w:r>
            <w:r w:rsidR="00ED1E27" w:rsidRPr="0061785B">
              <w:rPr>
                <w:rStyle w:val="Hyperlink"/>
                <w:noProof/>
                <w:spacing w:val="-7"/>
              </w:rPr>
              <w:t>de</w:t>
            </w:r>
            <w:r w:rsidR="00ED1E27" w:rsidRPr="0061785B">
              <w:rPr>
                <w:rStyle w:val="Hyperlink"/>
                <w:noProof/>
              </w:rPr>
              <w:t>d</w:t>
            </w:r>
            <w:r w:rsidR="00ED1E27" w:rsidRPr="0061785B">
              <w:rPr>
                <w:rStyle w:val="Hyperlink"/>
                <w:noProof/>
                <w:spacing w:val="-15"/>
              </w:rPr>
              <w:t xml:space="preserve"> </w:t>
            </w:r>
            <w:r w:rsidR="00ED1E27" w:rsidRPr="0061785B">
              <w:rPr>
                <w:rStyle w:val="Hyperlink"/>
                <w:noProof/>
              </w:rPr>
              <w:t>30</w:t>
            </w:r>
            <w:r w:rsidR="00ED1E27" w:rsidRPr="0061785B">
              <w:rPr>
                <w:rStyle w:val="Hyperlink"/>
                <w:noProof/>
                <w:spacing w:val="-14"/>
              </w:rPr>
              <w:t xml:space="preserve"> </w:t>
            </w:r>
            <w:r w:rsidR="00ED1E27" w:rsidRPr="0061785B">
              <w:rPr>
                <w:rStyle w:val="Hyperlink"/>
                <w:noProof/>
                <w:spacing w:val="-8"/>
              </w:rPr>
              <w:t>J</w:t>
            </w:r>
            <w:r w:rsidR="00ED1E27" w:rsidRPr="0061785B">
              <w:rPr>
                <w:rStyle w:val="Hyperlink"/>
                <w:noProof/>
                <w:spacing w:val="-7"/>
              </w:rPr>
              <w:t>u</w:t>
            </w:r>
            <w:r w:rsidR="00ED1E27" w:rsidRPr="0061785B">
              <w:rPr>
                <w:rStyle w:val="Hyperlink"/>
                <w:noProof/>
                <w:spacing w:val="-6"/>
              </w:rPr>
              <w:t>n</w:t>
            </w:r>
            <w:r w:rsidR="00ED1E27" w:rsidRPr="0061785B">
              <w:rPr>
                <w:rStyle w:val="Hyperlink"/>
                <w:noProof/>
              </w:rPr>
              <w:t>e</w:t>
            </w:r>
            <w:r w:rsidR="00ED1E27" w:rsidRPr="0061785B">
              <w:rPr>
                <w:rStyle w:val="Hyperlink"/>
                <w:noProof/>
                <w:spacing w:val="-16"/>
              </w:rPr>
              <w:t xml:space="preserve"> </w:t>
            </w:r>
            <w:r w:rsidR="00ED1E27" w:rsidRPr="0061785B">
              <w:rPr>
                <w:rStyle w:val="Hyperlink"/>
                <w:noProof/>
                <w:spacing w:val="-1"/>
              </w:rPr>
              <w:t>2</w:t>
            </w:r>
            <w:r w:rsidR="00ED1E27" w:rsidRPr="0061785B">
              <w:rPr>
                <w:rStyle w:val="Hyperlink"/>
                <w:noProof/>
                <w:spacing w:val="-14"/>
              </w:rPr>
              <w:t>0</w:t>
            </w:r>
            <w:r w:rsidR="00ED1E27" w:rsidRPr="0061785B">
              <w:rPr>
                <w:rStyle w:val="Hyperlink"/>
                <w:noProof/>
                <w:spacing w:val="-22"/>
              </w:rPr>
              <w:t>1</w:t>
            </w:r>
            <w:r w:rsidR="00ED1E27" w:rsidRPr="0061785B">
              <w:rPr>
                <w:rStyle w:val="Hyperlink"/>
                <w:noProof/>
              </w:rPr>
              <w:t>5</w:t>
            </w:r>
            <w:r w:rsidR="00ED1E27">
              <w:rPr>
                <w:noProof/>
                <w:webHidden/>
              </w:rPr>
              <w:tab/>
            </w:r>
            <w:r w:rsidR="00ED1E27">
              <w:rPr>
                <w:noProof/>
                <w:webHidden/>
              </w:rPr>
              <w:fldChar w:fldCharType="begin"/>
            </w:r>
            <w:r w:rsidR="00ED1E27">
              <w:rPr>
                <w:noProof/>
                <w:webHidden/>
              </w:rPr>
              <w:instrText xml:space="preserve"> PAGEREF _Toc430091350 \h </w:instrText>
            </w:r>
            <w:r w:rsidR="00ED1E27">
              <w:rPr>
                <w:noProof/>
                <w:webHidden/>
              </w:rPr>
            </w:r>
            <w:r w:rsidR="00ED1E27">
              <w:rPr>
                <w:noProof/>
                <w:webHidden/>
              </w:rPr>
              <w:fldChar w:fldCharType="separate"/>
            </w:r>
            <w:r w:rsidR="004427AD">
              <w:rPr>
                <w:noProof/>
                <w:webHidden/>
              </w:rPr>
              <w:t>170</w:t>
            </w:r>
            <w:r w:rsidR="00ED1E27">
              <w:rPr>
                <w:noProof/>
                <w:webHidden/>
              </w:rPr>
              <w:fldChar w:fldCharType="end"/>
            </w:r>
          </w:hyperlink>
        </w:p>
        <w:p w14:paraId="480C3522" w14:textId="77777777" w:rsidR="00ED1E27" w:rsidRDefault="000C10D6">
          <w:pPr>
            <w:pStyle w:val="TOC1"/>
            <w:rPr>
              <w:rFonts w:asciiTheme="minorHAnsi" w:eastAsiaTheme="minorEastAsia" w:hAnsiTheme="minorHAnsi" w:cstheme="minorBidi"/>
              <w:sz w:val="22"/>
              <w:szCs w:val="22"/>
              <w:lang w:eastAsia="en-AU"/>
            </w:rPr>
          </w:pPr>
          <w:hyperlink w:anchor="_Toc430091351" w:history="1">
            <w:r w:rsidR="00ED1E27" w:rsidRPr="0061785B">
              <w:rPr>
                <w:rStyle w:val="Hyperlink"/>
                <w:spacing w:val="-12"/>
              </w:rPr>
              <w:t>S</w:t>
            </w:r>
            <w:r w:rsidR="00ED1E27" w:rsidRPr="0061785B">
              <w:rPr>
                <w:rStyle w:val="Hyperlink"/>
              </w:rPr>
              <w:t>t</w:t>
            </w:r>
            <w:r w:rsidR="00ED1E27" w:rsidRPr="0061785B">
              <w:rPr>
                <w:rStyle w:val="Hyperlink"/>
                <w:spacing w:val="-6"/>
              </w:rPr>
              <w:t>a</w:t>
            </w:r>
            <w:r w:rsidR="00ED1E27" w:rsidRPr="0061785B">
              <w:rPr>
                <w:rStyle w:val="Hyperlink"/>
              </w:rPr>
              <w:t>te</w:t>
            </w:r>
            <w:r w:rsidR="00ED1E27" w:rsidRPr="0061785B">
              <w:rPr>
                <w:rStyle w:val="Hyperlink"/>
                <w:spacing w:val="-8"/>
              </w:rPr>
              <w:t>m</w:t>
            </w:r>
            <w:r w:rsidR="00ED1E27" w:rsidRPr="0061785B">
              <w:rPr>
                <w:rStyle w:val="Hyperlink"/>
                <w:spacing w:val="-10"/>
              </w:rPr>
              <w:t>e</w:t>
            </w:r>
            <w:r w:rsidR="00ED1E27" w:rsidRPr="0061785B">
              <w:rPr>
                <w:rStyle w:val="Hyperlink"/>
                <w:spacing w:val="-8"/>
              </w:rPr>
              <w:t>n</w:t>
            </w:r>
            <w:r w:rsidR="00ED1E27" w:rsidRPr="0061785B">
              <w:rPr>
                <w:rStyle w:val="Hyperlink"/>
              </w:rPr>
              <w:t>t</w:t>
            </w:r>
            <w:r w:rsidR="00ED1E27" w:rsidRPr="0061785B">
              <w:rPr>
                <w:rStyle w:val="Hyperlink"/>
                <w:spacing w:val="-18"/>
              </w:rPr>
              <w:t xml:space="preserve"> </w:t>
            </w:r>
            <w:r w:rsidR="00ED1E27" w:rsidRPr="0061785B">
              <w:rPr>
                <w:rStyle w:val="Hyperlink"/>
                <w:spacing w:val="-6"/>
              </w:rPr>
              <w:t>o</w:t>
            </w:r>
            <w:r w:rsidR="00ED1E27" w:rsidRPr="0061785B">
              <w:rPr>
                <w:rStyle w:val="Hyperlink"/>
              </w:rPr>
              <w:t>f</w:t>
            </w:r>
            <w:r w:rsidR="00ED1E27" w:rsidRPr="0061785B">
              <w:rPr>
                <w:rStyle w:val="Hyperlink"/>
                <w:spacing w:val="-18"/>
              </w:rPr>
              <w:t xml:space="preserve"> </w:t>
            </w:r>
            <w:r w:rsidR="00ED1E27" w:rsidRPr="0061785B">
              <w:rPr>
                <w:rStyle w:val="Hyperlink"/>
              </w:rPr>
              <w:t>Financial</w:t>
            </w:r>
            <w:r w:rsidR="00ED1E27" w:rsidRPr="0061785B">
              <w:rPr>
                <w:rStyle w:val="Hyperlink"/>
                <w:spacing w:val="-18"/>
              </w:rPr>
              <w:t xml:space="preserve"> </w:t>
            </w:r>
            <w:r w:rsidR="00ED1E27" w:rsidRPr="0061785B">
              <w:rPr>
                <w:rStyle w:val="Hyperlink"/>
              </w:rPr>
              <w:t>Position</w:t>
            </w:r>
            <w:r w:rsidR="00ED1E27">
              <w:rPr>
                <w:webHidden/>
              </w:rPr>
              <w:tab/>
            </w:r>
            <w:r w:rsidR="00ED1E27">
              <w:rPr>
                <w:webHidden/>
              </w:rPr>
              <w:fldChar w:fldCharType="begin"/>
            </w:r>
            <w:r w:rsidR="00ED1E27">
              <w:rPr>
                <w:webHidden/>
              </w:rPr>
              <w:instrText xml:space="preserve"> PAGEREF _Toc430091351 \h </w:instrText>
            </w:r>
            <w:r w:rsidR="00ED1E27">
              <w:rPr>
                <w:webHidden/>
              </w:rPr>
            </w:r>
            <w:r w:rsidR="00ED1E27">
              <w:rPr>
                <w:webHidden/>
              </w:rPr>
              <w:fldChar w:fldCharType="separate"/>
            </w:r>
            <w:r w:rsidR="004427AD">
              <w:rPr>
                <w:webHidden/>
              </w:rPr>
              <w:t>171</w:t>
            </w:r>
            <w:r w:rsidR="00ED1E27">
              <w:rPr>
                <w:webHidden/>
              </w:rPr>
              <w:fldChar w:fldCharType="end"/>
            </w:r>
          </w:hyperlink>
        </w:p>
        <w:p w14:paraId="175F2196"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52" w:history="1">
            <w:r w:rsidR="00ED1E27" w:rsidRPr="0061785B">
              <w:rPr>
                <w:rStyle w:val="Hyperlink"/>
                <w:noProof/>
                <w:spacing w:val="-8"/>
              </w:rPr>
              <w:t>F</w:t>
            </w:r>
            <w:r w:rsidR="00ED1E27" w:rsidRPr="0061785B">
              <w:rPr>
                <w:rStyle w:val="Hyperlink"/>
                <w:noProof/>
                <w:spacing w:val="-3"/>
              </w:rPr>
              <w:t>o</w:t>
            </w:r>
            <w:r w:rsidR="00ED1E27" w:rsidRPr="0061785B">
              <w:rPr>
                <w:rStyle w:val="Hyperlink"/>
                <w:noProof/>
              </w:rPr>
              <w:t>r</w:t>
            </w:r>
            <w:r w:rsidR="00ED1E27" w:rsidRPr="0061785B">
              <w:rPr>
                <w:rStyle w:val="Hyperlink"/>
                <w:noProof/>
                <w:spacing w:val="-15"/>
              </w:rPr>
              <w:t xml:space="preserve"> </w:t>
            </w:r>
            <w:r w:rsidR="00ED1E27" w:rsidRPr="0061785B">
              <w:rPr>
                <w:rStyle w:val="Hyperlink"/>
                <w:noProof/>
                <w:spacing w:val="-5"/>
              </w:rPr>
              <w:t>t</w:t>
            </w:r>
            <w:r w:rsidR="00ED1E27" w:rsidRPr="0061785B">
              <w:rPr>
                <w:rStyle w:val="Hyperlink"/>
                <w:noProof/>
                <w:spacing w:val="-6"/>
              </w:rPr>
              <w:t>h</w:t>
            </w:r>
            <w:r w:rsidR="00ED1E27" w:rsidRPr="0061785B">
              <w:rPr>
                <w:rStyle w:val="Hyperlink"/>
                <w:noProof/>
              </w:rPr>
              <w:t>e</w:t>
            </w:r>
            <w:r w:rsidR="00ED1E27" w:rsidRPr="0061785B">
              <w:rPr>
                <w:rStyle w:val="Hyperlink"/>
                <w:noProof/>
                <w:spacing w:val="-15"/>
              </w:rPr>
              <w:t xml:space="preserve"> y</w:t>
            </w:r>
            <w:r w:rsidR="00ED1E27" w:rsidRPr="0061785B">
              <w:rPr>
                <w:rStyle w:val="Hyperlink"/>
                <w:noProof/>
                <w:spacing w:val="-7"/>
              </w:rPr>
              <w:t>e</w:t>
            </w:r>
            <w:r w:rsidR="00ED1E27" w:rsidRPr="0061785B">
              <w:rPr>
                <w:rStyle w:val="Hyperlink"/>
                <w:noProof/>
                <w:spacing w:val="-2"/>
              </w:rPr>
              <w:t>a</w:t>
            </w:r>
            <w:r w:rsidR="00ED1E27" w:rsidRPr="0061785B">
              <w:rPr>
                <w:rStyle w:val="Hyperlink"/>
                <w:noProof/>
              </w:rPr>
              <w:t>r</w:t>
            </w:r>
            <w:r w:rsidR="00ED1E27" w:rsidRPr="0061785B">
              <w:rPr>
                <w:rStyle w:val="Hyperlink"/>
                <w:noProof/>
                <w:spacing w:val="-15"/>
              </w:rPr>
              <w:t xml:space="preserve"> </w:t>
            </w:r>
            <w:r w:rsidR="00ED1E27" w:rsidRPr="0061785B">
              <w:rPr>
                <w:rStyle w:val="Hyperlink"/>
                <w:noProof/>
                <w:spacing w:val="-7"/>
              </w:rPr>
              <w:t>e</w:t>
            </w:r>
            <w:r w:rsidR="00ED1E27" w:rsidRPr="0061785B">
              <w:rPr>
                <w:rStyle w:val="Hyperlink"/>
                <w:noProof/>
                <w:spacing w:val="-6"/>
              </w:rPr>
              <w:t>n</w:t>
            </w:r>
            <w:r w:rsidR="00ED1E27" w:rsidRPr="0061785B">
              <w:rPr>
                <w:rStyle w:val="Hyperlink"/>
                <w:noProof/>
                <w:spacing w:val="-7"/>
              </w:rPr>
              <w:t>de</w:t>
            </w:r>
            <w:r w:rsidR="00ED1E27" w:rsidRPr="0061785B">
              <w:rPr>
                <w:rStyle w:val="Hyperlink"/>
                <w:noProof/>
              </w:rPr>
              <w:t>d</w:t>
            </w:r>
            <w:r w:rsidR="00ED1E27" w:rsidRPr="0061785B">
              <w:rPr>
                <w:rStyle w:val="Hyperlink"/>
                <w:noProof/>
                <w:spacing w:val="-15"/>
              </w:rPr>
              <w:t xml:space="preserve"> </w:t>
            </w:r>
            <w:r w:rsidR="00ED1E27" w:rsidRPr="0061785B">
              <w:rPr>
                <w:rStyle w:val="Hyperlink"/>
                <w:noProof/>
              </w:rPr>
              <w:t>30</w:t>
            </w:r>
            <w:r w:rsidR="00ED1E27" w:rsidRPr="0061785B">
              <w:rPr>
                <w:rStyle w:val="Hyperlink"/>
                <w:noProof/>
                <w:spacing w:val="-14"/>
              </w:rPr>
              <w:t xml:space="preserve"> </w:t>
            </w:r>
            <w:r w:rsidR="00ED1E27" w:rsidRPr="0061785B">
              <w:rPr>
                <w:rStyle w:val="Hyperlink"/>
                <w:noProof/>
                <w:spacing w:val="-8"/>
              </w:rPr>
              <w:t>J</w:t>
            </w:r>
            <w:r w:rsidR="00ED1E27" w:rsidRPr="0061785B">
              <w:rPr>
                <w:rStyle w:val="Hyperlink"/>
                <w:noProof/>
                <w:spacing w:val="-7"/>
              </w:rPr>
              <w:t>u</w:t>
            </w:r>
            <w:r w:rsidR="00ED1E27" w:rsidRPr="0061785B">
              <w:rPr>
                <w:rStyle w:val="Hyperlink"/>
                <w:noProof/>
                <w:spacing w:val="-6"/>
              </w:rPr>
              <w:t>n</w:t>
            </w:r>
            <w:r w:rsidR="00ED1E27" w:rsidRPr="0061785B">
              <w:rPr>
                <w:rStyle w:val="Hyperlink"/>
                <w:noProof/>
              </w:rPr>
              <w:t>e</w:t>
            </w:r>
            <w:r w:rsidR="00ED1E27" w:rsidRPr="0061785B">
              <w:rPr>
                <w:rStyle w:val="Hyperlink"/>
                <w:noProof/>
                <w:spacing w:val="-16"/>
              </w:rPr>
              <w:t xml:space="preserve"> </w:t>
            </w:r>
            <w:r w:rsidR="00ED1E27" w:rsidRPr="0061785B">
              <w:rPr>
                <w:rStyle w:val="Hyperlink"/>
                <w:noProof/>
                <w:spacing w:val="-1"/>
              </w:rPr>
              <w:t>2</w:t>
            </w:r>
            <w:r w:rsidR="00ED1E27" w:rsidRPr="0061785B">
              <w:rPr>
                <w:rStyle w:val="Hyperlink"/>
                <w:noProof/>
                <w:spacing w:val="-14"/>
              </w:rPr>
              <w:t>0</w:t>
            </w:r>
            <w:r w:rsidR="00ED1E27" w:rsidRPr="0061785B">
              <w:rPr>
                <w:rStyle w:val="Hyperlink"/>
                <w:noProof/>
                <w:spacing w:val="-22"/>
              </w:rPr>
              <w:t>1</w:t>
            </w:r>
            <w:r w:rsidR="00ED1E27" w:rsidRPr="0061785B">
              <w:rPr>
                <w:rStyle w:val="Hyperlink"/>
                <w:noProof/>
              </w:rPr>
              <w:t>5</w:t>
            </w:r>
            <w:r w:rsidR="00ED1E27">
              <w:rPr>
                <w:noProof/>
                <w:webHidden/>
              </w:rPr>
              <w:tab/>
            </w:r>
            <w:r w:rsidR="00ED1E27">
              <w:rPr>
                <w:noProof/>
                <w:webHidden/>
              </w:rPr>
              <w:fldChar w:fldCharType="begin"/>
            </w:r>
            <w:r w:rsidR="00ED1E27">
              <w:rPr>
                <w:noProof/>
                <w:webHidden/>
              </w:rPr>
              <w:instrText xml:space="preserve"> PAGEREF _Toc430091352 \h </w:instrText>
            </w:r>
            <w:r w:rsidR="00ED1E27">
              <w:rPr>
                <w:noProof/>
                <w:webHidden/>
              </w:rPr>
            </w:r>
            <w:r w:rsidR="00ED1E27">
              <w:rPr>
                <w:noProof/>
                <w:webHidden/>
              </w:rPr>
              <w:fldChar w:fldCharType="separate"/>
            </w:r>
            <w:r w:rsidR="004427AD">
              <w:rPr>
                <w:noProof/>
                <w:webHidden/>
              </w:rPr>
              <w:t>171</w:t>
            </w:r>
            <w:r w:rsidR="00ED1E27">
              <w:rPr>
                <w:noProof/>
                <w:webHidden/>
              </w:rPr>
              <w:fldChar w:fldCharType="end"/>
            </w:r>
          </w:hyperlink>
        </w:p>
        <w:p w14:paraId="37982EDD" w14:textId="77777777" w:rsidR="00ED1E27" w:rsidRDefault="000C10D6">
          <w:pPr>
            <w:pStyle w:val="TOC1"/>
            <w:rPr>
              <w:rFonts w:asciiTheme="minorHAnsi" w:eastAsiaTheme="minorEastAsia" w:hAnsiTheme="minorHAnsi" w:cstheme="minorBidi"/>
              <w:sz w:val="22"/>
              <w:szCs w:val="22"/>
              <w:lang w:eastAsia="en-AU"/>
            </w:rPr>
          </w:pPr>
          <w:hyperlink w:anchor="_Toc430091353" w:history="1">
            <w:r w:rsidR="00ED1E27" w:rsidRPr="0061785B">
              <w:rPr>
                <w:rStyle w:val="Hyperlink"/>
                <w:spacing w:val="-12"/>
              </w:rPr>
              <w:t>S</w:t>
            </w:r>
            <w:r w:rsidR="00ED1E27" w:rsidRPr="0061785B">
              <w:rPr>
                <w:rStyle w:val="Hyperlink"/>
              </w:rPr>
              <w:t>t</w:t>
            </w:r>
            <w:r w:rsidR="00ED1E27" w:rsidRPr="0061785B">
              <w:rPr>
                <w:rStyle w:val="Hyperlink"/>
                <w:spacing w:val="-6"/>
              </w:rPr>
              <w:t>a</w:t>
            </w:r>
            <w:r w:rsidR="00ED1E27" w:rsidRPr="0061785B">
              <w:rPr>
                <w:rStyle w:val="Hyperlink"/>
              </w:rPr>
              <w:t>te</w:t>
            </w:r>
            <w:r w:rsidR="00ED1E27" w:rsidRPr="0061785B">
              <w:rPr>
                <w:rStyle w:val="Hyperlink"/>
                <w:spacing w:val="-8"/>
              </w:rPr>
              <w:t>m</w:t>
            </w:r>
            <w:r w:rsidR="00ED1E27" w:rsidRPr="0061785B">
              <w:rPr>
                <w:rStyle w:val="Hyperlink"/>
                <w:spacing w:val="-10"/>
              </w:rPr>
              <w:t>e</w:t>
            </w:r>
            <w:r w:rsidR="00ED1E27" w:rsidRPr="0061785B">
              <w:rPr>
                <w:rStyle w:val="Hyperlink"/>
                <w:spacing w:val="-8"/>
              </w:rPr>
              <w:t>n</w:t>
            </w:r>
            <w:r w:rsidR="00ED1E27" w:rsidRPr="0061785B">
              <w:rPr>
                <w:rStyle w:val="Hyperlink"/>
              </w:rPr>
              <w:t>t</w:t>
            </w:r>
            <w:r w:rsidR="00ED1E27" w:rsidRPr="0061785B">
              <w:rPr>
                <w:rStyle w:val="Hyperlink"/>
                <w:spacing w:val="-18"/>
              </w:rPr>
              <w:t xml:space="preserve"> </w:t>
            </w:r>
            <w:r w:rsidR="00ED1E27" w:rsidRPr="0061785B">
              <w:rPr>
                <w:rStyle w:val="Hyperlink"/>
                <w:spacing w:val="-6"/>
              </w:rPr>
              <w:t>o</w:t>
            </w:r>
            <w:r w:rsidR="00ED1E27" w:rsidRPr="0061785B">
              <w:rPr>
                <w:rStyle w:val="Hyperlink"/>
              </w:rPr>
              <w:t>f</w:t>
            </w:r>
            <w:r w:rsidR="00ED1E27" w:rsidRPr="0061785B">
              <w:rPr>
                <w:rStyle w:val="Hyperlink"/>
                <w:spacing w:val="-18"/>
              </w:rPr>
              <w:t xml:space="preserve"> </w:t>
            </w:r>
            <w:r w:rsidR="00ED1E27" w:rsidRPr="0061785B">
              <w:rPr>
                <w:rStyle w:val="Hyperlink"/>
              </w:rPr>
              <w:t>Changes</w:t>
            </w:r>
            <w:r w:rsidR="00ED1E27" w:rsidRPr="0061785B">
              <w:rPr>
                <w:rStyle w:val="Hyperlink"/>
                <w:spacing w:val="-18"/>
              </w:rPr>
              <w:t xml:space="preserve"> </w:t>
            </w:r>
            <w:r w:rsidR="00ED1E27" w:rsidRPr="0061785B">
              <w:rPr>
                <w:rStyle w:val="Hyperlink"/>
              </w:rPr>
              <w:t>in</w:t>
            </w:r>
            <w:r w:rsidR="00ED1E27" w:rsidRPr="0061785B">
              <w:rPr>
                <w:rStyle w:val="Hyperlink"/>
                <w:spacing w:val="-18"/>
              </w:rPr>
              <w:t xml:space="preserve"> </w:t>
            </w:r>
            <w:r w:rsidR="00ED1E27" w:rsidRPr="0061785B">
              <w:rPr>
                <w:rStyle w:val="Hyperlink"/>
              </w:rPr>
              <w:t>Equity</w:t>
            </w:r>
            <w:r w:rsidR="00ED1E27">
              <w:rPr>
                <w:webHidden/>
              </w:rPr>
              <w:tab/>
            </w:r>
            <w:r w:rsidR="00ED1E27">
              <w:rPr>
                <w:webHidden/>
              </w:rPr>
              <w:fldChar w:fldCharType="begin"/>
            </w:r>
            <w:r w:rsidR="00ED1E27">
              <w:rPr>
                <w:webHidden/>
              </w:rPr>
              <w:instrText xml:space="preserve"> PAGEREF _Toc430091353 \h </w:instrText>
            </w:r>
            <w:r w:rsidR="00ED1E27">
              <w:rPr>
                <w:webHidden/>
              </w:rPr>
            </w:r>
            <w:r w:rsidR="00ED1E27">
              <w:rPr>
                <w:webHidden/>
              </w:rPr>
              <w:fldChar w:fldCharType="separate"/>
            </w:r>
            <w:r w:rsidR="004427AD">
              <w:rPr>
                <w:webHidden/>
              </w:rPr>
              <w:t>173</w:t>
            </w:r>
            <w:r w:rsidR="00ED1E27">
              <w:rPr>
                <w:webHidden/>
              </w:rPr>
              <w:fldChar w:fldCharType="end"/>
            </w:r>
          </w:hyperlink>
        </w:p>
        <w:p w14:paraId="644AB70A"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54" w:history="1">
            <w:r w:rsidR="00ED1E27" w:rsidRPr="0061785B">
              <w:rPr>
                <w:rStyle w:val="Hyperlink"/>
                <w:noProof/>
                <w:spacing w:val="-8"/>
              </w:rPr>
              <w:t>F</w:t>
            </w:r>
            <w:r w:rsidR="00ED1E27" w:rsidRPr="0061785B">
              <w:rPr>
                <w:rStyle w:val="Hyperlink"/>
                <w:noProof/>
                <w:spacing w:val="-3"/>
              </w:rPr>
              <w:t>o</w:t>
            </w:r>
            <w:r w:rsidR="00ED1E27" w:rsidRPr="0061785B">
              <w:rPr>
                <w:rStyle w:val="Hyperlink"/>
                <w:noProof/>
              </w:rPr>
              <w:t>r</w:t>
            </w:r>
            <w:r w:rsidR="00ED1E27" w:rsidRPr="0061785B">
              <w:rPr>
                <w:rStyle w:val="Hyperlink"/>
                <w:noProof/>
                <w:spacing w:val="-15"/>
              </w:rPr>
              <w:t xml:space="preserve"> </w:t>
            </w:r>
            <w:r w:rsidR="00ED1E27" w:rsidRPr="0061785B">
              <w:rPr>
                <w:rStyle w:val="Hyperlink"/>
                <w:noProof/>
                <w:spacing w:val="-5"/>
              </w:rPr>
              <w:t>t</w:t>
            </w:r>
            <w:r w:rsidR="00ED1E27" w:rsidRPr="0061785B">
              <w:rPr>
                <w:rStyle w:val="Hyperlink"/>
                <w:noProof/>
                <w:spacing w:val="-6"/>
              </w:rPr>
              <w:t>h</w:t>
            </w:r>
            <w:r w:rsidR="00ED1E27" w:rsidRPr="0061785B">
              <w:rPr>
                <w:rStyle w:val="Hyperlink"/>
                <w:noProof/>
              </w:rPr>
              <w:t>e</w:t>
            </w:r>
            <w:r w:rsidR="00ED1E27" w:rsidRPr="0061785B">
              <w:rPr>
                <w:rStyle w:val="Hyperlink"/>
                <w:noProof/>
                <w:spacing w:val="-15"/>
              </w:rPr>
              <w:t xml:space="preserve"> y</w:t>
            </w:r>
            <w:r w:rsidR="00ED1E27" w:rsidRPr="0061785B">
              <w:rPr>
                <w:rStyle w:val="Hyperlink"/>
                <w:noProof/>
                <w:spacing w:val="-7"/>
              </w:rPr>
              <w:t>e</w:t>
            </w:r>
            <w:r w:rsidR="00ED1E27" w:rsidRPr="0061785B">
              <w:rPr>
                <w:rStyle w:val="Hyperlink"/>
                <w:noProof/>
                <w:spacing w:val="-2"/>
              </w:rPr>
              <w:t>a</w:t>
            </w:r>
            <w:r w:rsidR="00ED1E27" w:rsidRPr="0061785B">
              <w:rPr>
                <w:rStyle w:val="Hyperlink"/>
                <w:noProof/>
              </w:rPr>
              <w:t>r</w:t>
            </w:r>
            <w:r w:rsidR="00ED1E27" w:rsidRPr="0061785B">
              <w:rPr>
                <w:rStyle w:val="Hyperlink"/>
                <w:noProof/>
                <w:spacing w:val="-15"/>
              </w:rPr>
              <w:t xml:space="preserve"> </w:t>
            </w:r>
            <w:r w:rsidR="00ED1E27" w:rsidRPr="0061785B">
              <w:rPr>
                <w:rStyle w:val="Hyperlink"/>
                <w:noProof/>
                <w:spacing w:val="-7"/>
              </w:rPr>
              <w:t>e</w:t>
            </w:r>
            <w:r w:rsidR="00ED1E27" w:rsidRPr="0061785B">
              <w:rPr>
                <w:rStyle w:val="Hyperlink"/>
                <w:noProof/>
                <w:spacing w:val="-6"/>
              </w:rPr>
              <w:t>n</w:t>
            </w:r>
            <w:r w:rsidR="00ED1E27" w:rsidRPr="0061785B">
              <w:rPr>
                <w:rStyle w:val="Hyperlink"/>
                <w:noProof/>
                <w:spacing w:val="-7"/>
              </w:rPr>
              <w:t>de</w:t>
            </w:r>
            <w:r w:rsidR="00ED1E27" w:rsidRPr="0061785B">
              <w:rPr>
                <w:rStyle w:val="Hyperlink"/>
                <w:noProof/>
              </w:rPr>
              <w:t>d</w:t>
            </w:r>
            <w:r w:rsidR="00ED1E27" w:rsidRPr="0061785B">
              <w:rPr>
                <w:rStyle w:val="Hyperlink"/>
                <w:noProof/>
                <w:spacing w:val="-15"/>
              </w:rPr>
              <w:t xml:space="preserve"> </w:t>
            </w:r>
            <w:r w:rsidR="00ED1E27" w:rsidRPr="0061785B">
              <w:rPr>
                <w:rStyle w:val="Hyperlink"/>
                <w:noProof/>
              </w:rPr>
              <w:t>30</w:t>
            </w:r>
            <w:r w:rsidR="00ED1E27" w:rsidRPr="0061785B">
              <w:rPr>
                <w:rStyle w:val="Hyperlink"/>
                <w:noProof/>
                <w:spacing w:val="-14"/>
              </w:rPr>
              <w:t xml:space="preserve"> </w:t>
            </w:r>
            <w:r w:rsidR="00ED1E27" w:rsidRPr="0061785B">
              <w:rPr>
                <w:rStyle w:val="Hyperlink"/>
                <w:noProof/>
                <w:spacing w:val="-8"/>
              </w:rPr>
              <w:t>J</w:t>
            </w:r>
            <w:r w:rsidR="00ED1E27" w:rsidRPr="0061785B">
              <w:rPr>
                <w:rStyle w:val="Hyperlink"/>
                <w:noProof/>
                <w:spacing w:val="-7"/>
              </w:rPr>
              <w:t>u</w:t>
            </w:r>
            <w:r w:rsidR="00ED1E27" w:rsidRPr="0061785B">
              <w:rPr>
                <w:rStyle w:val="Hyperlink"/>
                <w:noProof/>
                <w:spacing w:val="-6"/>
              </w:rPr>
              <w:t>n</w:t>
            </w:r>
            <w:r w:rsidR="00ED1E27" w:rsidRPr="0061785B">
              <w:rPr>
                <w:rStyle w:val="Hyperlink"/>
                <w:noProof/>
              </w:rPr>
              <w:t>e</w:t>
            </w:r>
            <w:r w:rsidR="00ED1E27" w:rsidRPr="0061785B">
              <w:rPr>
                <w:rStyle w:val="Hyperlink"/>
                <w:noProof/>
                <w:spacing w:val="-16"/>
              </w:rPr>
              <w:t xml:space="preserve"> </w:t>
            </w:r>
            <w:r w:rsidR="00ED1E27" w:rsidRPr="0061785B">
              <w:rPr>
                <w:rStyle w:val="Hyperlink"/>
                <w:noProof/>
                <w:spacing w:val="-1"/>
              </w:rPr>
              <w:t>2</w:t>
            </w:r>
            <w:r w:rsidR="00ED1E27" w:rsidRPr="0061785B">
              <w:rPr>
                <w:rStyle w:val="Hyperlink"/>
                <w:noProof/>
                <w:spacing w:val="-14"/>
              </w:rPr>
              <w:t>0</w:t>
            </w:r>
            <w:r w:rsidR="00ED1E27" w:rsidRPr="0061785B">
              <w:rPr>
                <w:rStyle w:val="Hyperlink"/>
                <w:noProof/>
                <w:spacing w:val="-22"/>
              </w:rPr>
              <w:t>1</w:t>
            </w:r>
            <w:r w:rsidR="00ED1E27" w:rsidRPr="0061785B">
              <w:rPr>
                <w:rStyle w:val="Hyperlink"/>
                <w:noProof/>
              </w:rPr>
              <w:t>5</w:t>
            </w:r>
            <w:r w:rsidR="00ED1E27">
              <w:rPr>
                <w:noProof/>
                <w:webHidden/>
              </w:rPr>
              <w:tab/>
            </w:r>
            <w:r w:rsidR="00ED1E27">
              <w:rPr>
                <w:noProof/>
                <w:webHidden/>
              </w:rPr>
              <w:fldChar w:fldCharType="begin"/>
            </w:r>
            <w:r w:rsidR="00ED1E27">
              <w:rPr>
                <w:noProof/>
                <w:webHidden/>
              </w:rPr>
              <w:instrText xml:space="preserve"> PAGEREF _Toc430091354 \h </w:instrText>
            </w:r>
            <w:r w:rsidR="00ED1E27">
              <w:rPr>
                <w:noProof/>
                <w:webHidden/>
              </w:rPr>
            </w:r>
            <w:r w:rsidR="00ED1E27">
              <w:rPr>
                <w:noProof/>
                <w:webHidden/>
              </w:rPr>
              <w:fldChar w:fldCharType="separate"/>
            </w:r>
            <w:r w:rsidR="004427AD">
              <w:rPr>
                <w:noProof/>
                <w:webHidden/>
              </w:rPr>
              <w:t>173</w:t>
            </w:r>
            <w:r w:rsidR="00ED1E27">
              <w:rPr>
                <w:noProof/>
                <w:webHidden/>
              </w:rPr>
              <w:fldChar w:fldCharType="end"/>
            </w:r>
          </w:hyperlink>
        </w:p>
        <w:p w14:paraId="215CE3E9" w14:textId="77777777" w:rsidR="00ED1E27" w:rsidRDefault="000C10D6">
          <w:pPr>
            <w:pStyle w:val="TOC1"/>
            <w:rPr>
              <w:rFonts w:asciiTheme="minorHAnsi" w:eastAsiaTheme="minorEastAsia" w:hAnsiTheme="minorHAnsi" w:cstheme="minorBidi"/>
              <w:sz w:val="22"/>
              <w:szCs w:val="22"/>
              <w:lang w:eastAsia="en-AU"/>
            </w:rPr>
          </w:pPr>
          <w:hyperlink w:anchor="_Toc430091355" w:history="1">
            <w:r w:rsidR="00ED1E27" w:rsidRPr="0061785B">
              <w:rPr>
                <w:rStyle w:val="Hyperlink"/>
                <w:spacing w:val="-12"/>
              </w:rPr>
              <w:t>S</w:t>
            </w:r>
            <w:r w:rsidR="00ED1E27" w:rsidRPr="0061785B">
              <w:rPr>
                <w:rStyle w:val="Hyperlink"/>
                <w:spacing w:val="-9"/>
              </w:rPr>
              <w:t>t</w:t>
            </w:r>
            <w:r w:rsidR="00ED1E27" w:rsidRPr="0061785B">
              <w:rPr>
                <w:rStyle w:val="Hyperlink"/>
                <w:spacing w:val="-6"/>
              </w:rPr>
              <w:t>a</w:t>
            </w:r>
            <w:r w:rsidR="00ED1E27" w:rsidRPr="0061785B">
              <w:rPr>
                <w:rStyle w:val="Hyperlink"/>
                <w:spacing w:val="-9"/>
              </w:rPr>
              <w:t>te</w:t>
            </w:r>
            <w:r w:rsidR="00ED1E27" w:rsidRPr="0061785B">
              <w:rPr>
                <w:rStyle w:val="Hyperlink"/>
              </w:rPr>
              <w:t>m</w:t>
            </w:r>
            <w:r w:rsidR="00ED1E27" w:rsidRPr="0061785B">
              <w:rPr>
                <w:rStyle w:val="Hyperlink"/>
                <w:spacing w:val="-10"/>
              </w:rPr>
              <w:t>e</w:t>
            </w:r>
            <w:r w:rsidR="00ED1E27" w:rsidRPr="0061785B">
              <w:rPr>
                <w:rStyle w:val="Hyperlink"/>
              </w:rPr>
              <w:t>nt</w:t>
            </w:r>
            <w:r w:rsidR="00ED1E27" w:rsidRPr="0061785B">
              <w:rPr>
                <w:rStyle w:val="Hyperlink"/>
                <w:spacing w:val="-18"/>
              </w:rPr>
              <w:t xml:space="preserve"> </w:t>
            </w:r>
            <w:r w:rsidR="00ED1E27" w:rsidRPr="0061785B">
              <w:rPr>
                <w:rStyle w:val="Hyperlink"/>
                <w:spacing w:val="-6"/>
              </w:rPr>
              <w:t>o</w:t>
            </w:r>
            <w:r w:rsidR="00ED1E27" w:rsidRPr="0061785B">
              <w:rPr>
                <w:rStyle w:val="Hyperlink"/>
              </w:rPr>
              <w:t>f</w:t>
            </w:r>
            <w:r w:rsidR="00ED1E27" w:rsidRPr="0061785B">
              <w:rPr>
                <w:rStyle w:val="Hyperlink"/>
                <w:spacing w:val="-18"/>
              </w:rPr>
              <w:t xml:space="preserve"> </w:t>
            </w:r>
            <w:r w:rsidR="00ED1E27" w:rsidRPr="0061785B">
              <w:rPr>
                <w:rStyle w:val="Hyperlink"/>
                <w:spacing w:val="-14"/>
              </w:rPr>
              <w:t>C</w:t>
            </w:r>
            <w:r w:rsidR="00ED1E27" w:rsidRPr="0061785B">
              <w:rPr>
                <w:rStyle w:val="Hyperlink"/>
              </w:rPr>
              <w:t>ash</w:t>
            </w:r>
            <w:r w:rsidR="00ED1E27" w:rsidRPr="0061785B">
              <w:rPr>
                <w:rStyle w:val="Hyperlink"/>
                <w:spacing w:val="-18"/>
              </w:rPr>
              <w:t xml:space="preserve"> </w:t>
            </w:r>
            <w:r w:rsidR="00ED1E27" w:rsidRPr="0061785B">
              <w:rPr>
                <w:rStyle w:val="Hyperlink"/>
                <w:spacing w:val="-7"/>
              </w:rPr>
              <w:t>F</w:t>
            </w:r>
            <w:r w:rsidR="00ED1E27" w:rsidRPr="0061785B">
              <w:rPr>
                <w:rStyle w:val="Hyperlink"/>
                <w:spacing w:val="-6"/>
              </w:rPr>
              <w:t>l</w:t>
            </w:r>
            <w:r w:rsidR="00ED1E27" w:rsidRPr="0061785B">
              <w:rPr>
                <w:rStyle w:val="Hyperlink"/>
                <w:spacing w:val="-16"/>
              </w:rPr>
              <w:t>o</w:t>
            </w:r>
            <w:r w:rsidR="00ED1E27" w:rsidRPr="0061785B">
              <w:rPr>
                <w:rStyle w:val="Hyperlink"/>
                <w:spacing w:val="-11"/>
              </w:rPr>
              <w:t>w</w:t>
            </w:r>
            <w:r w:rsidR="00ED1E27" w:rsidRPr="0061785B">
              <w:rPr>
                <w:rStyle w:val="Hyperlink"/>
              </w:rPr>
              <w:t>s</w:t>
            </w:r>
            <w:r w:rsidR="00ED1E27">
              <w:rPr>
                <w:webHidden/>
              </w:rPr>
              <w:tab/>
            </w:r>
            <w:r w:rsidR="00ED1E27">
              <w:rPr>
                <w:webHidden/>
              </w:rPr>
              <w:fldChar w:fldCharType="begin"/>
            </w:r>
            <w:r w:rsidR="00ED1E27">
              <w:rPr>
                <w:webHidden/>
              </w:rPr>
              <w:instrText xml:space="preserve"> PAGEREF _Toc430091355 \h </w:instrText>
            </w:r>
            <w:r w:rsidR="00ED1E27">
              <w:rPr>
                <w:webHidden/>
              </w:rPr>
            </w:r>
            <w:r w:rsidR="00ED1E27">
              <w:rPr>
                <w:webHidden/>
              </w:rPr>
              <w:fldChar w:fldCharType="separate"/>
            </w:r>
            <w:r w:rsidR="004427AD">
              <w:rPr>
                <w:webHidden/>
              </w:rPr>
              <w:t>174</w:t>
            </w:r>
            <w:r w:rsidR="00ED1E27">
              <w:rPr>
                <w:webHidden/>
              </w:rPr>
              <w:fldChar w:fldCharType="end"/>
            </w:r>
          </w:hyperlink>
        </w:p>
        <w:p w14:paraId="03A01CFE" w14:textId="77777777" w:rsidR="00ED1E27" w:rsidRDefault="000C10D6">
          <w:pPr>
            <w:pStyle w:val="TOC2"/>
            <w:tabs>
              <w:tab w:val="right" w:leader="dot" w:pos="9016"/>
            </w:tabs>
            <w:rPr>
              <w:rFonts w:asciiTheme="minorHAnsi" w:eastAsiaTheme="minorEastAsia" w:hAnsiTheme="minorHAnsi" w:cstheme="minorBidi"/>
              <w:noProof/>
              <w:sz w:val="22"/>
              <w:szCs w:val="22"/>
              <w:lang w:eastAsia="en-AU"/>
            </w:rPr>
          </w:pPr>
          <w:hyperlink w:anchor="_Toc430091356" w:history="1">
            <w:r w:rsidR="00ED1E27" w:rsidRPr="0061785B">
              <w:rPr>
                <w:rStyle w:val="Hyperlink"/>
                <w:noProof/>
                <w:spacing w:val="-8"/>
              </w:rPr>
              <w:t>F</w:t>
            </w:r>
            <w:r w:rsidR="00ED1E27" w:rsidRPr="0061785B">
              <w:rPr>
                <w:rStyle w:val="Hyperlink"/>
                <w:noProof/>
                <w:spacing w:val="-3"/>
              </w:rPr>
              <w:t>o</w:t>
            </w:r>
            <w:r w:rsidR="00ED1E27" w:rsidRPr="0061785B">
              <w:rPr>
                <w:rStyle w:val="Hyperlink"/>
                <w:noProof/>
              </w:rPr>
              <w:t>r</w:t>
            </w:r>
            <w:r w:rsidR="00ED1E27" w:rsidRPr="0061785B">
              <w:rPr>
                <w:rStyle w:val="Hyperlink"/>
                <w:noProof/>
                <w:spacing w:val="-15"/>
              </w:rPr>
              <w:t xml:space="preserve"> </w:t>
            </w:r>
            <w:r w:rsidR="00ED1E27" w:rsidRPr="0061785B">
              <w:rPr>
                <w:rStyle w:val="Hyperlink"/>
                <w:noProof/>
                <w:spacing w:val="-5"/>
              </w:rPr>
              <w:t>t</w:t>
            </w:r>
            <w:r w:rsidR="00ED1E27" w:rsidRPr="0061785B">
              <w:rPr>
                <w:rStyle w:val="Hyperlink"/>
                <w:noProof/>
                <w:spacing w:val="-6"/>
              </w:rPr>
              <w:t>h</w:t>
            </w:r>
            <w:r w:rsidR="00ED1E27" w:rsidRPr="0061785B">
              <w:rPr>
                <w:rStyle w:val="Hyperlink"/>
                <w:noProof/>
              </w:rPr>
              <w:t>e</w:t>
            </w:r>
            <w:r w:rsidR="00ED1E27" w:rsidRPr="0061785B">
              <w:rPr>
                <w:rStyle w:val="Hyperlink"/>
                <w:noProof/>
                <w:spacing w:val="-15"/>
              </w:rPr>
              <w:t xml:space="preserve"> y</w:t>
            </w:r>
            <w:r w:rsidR="00ED1E27" w:rsidRPr="0061785B">
              <w:rPr>
                <w:rStyle w:val="Hyperlink"/>
                <w:noProof/>
                <w:spacing w:val="-7"/>
              </w:rPr>
              <w:t>e</w:t>
            </w:r>
            <w:r w:rsidR="00ED1E27" w:rsidRPr="0061785B">
              <w:rPr>
                <w:rStyle w:val="Hyperlink"/>
                <w:noProof/>
                <w:spacing w:val="-2"/>
              </w:rPr>
              <w:t>a</w:t>
            </w:r>
            <w:r w:rsidR="00ED1E27" w:rsidRPr="0061785B">
              <w:rPr>
                <w:rStyle w:val="Hyperlink"/>
                <w:noProof/>
              </w:rPr>
              <w:t>r</w:t>
            </w:r>
            <w:r w:rsidR="00ED1E27" w:rsidRPr="0061785B">
              <w:rPr>
                <w:rStyle w:val="Hyperlink"/>
                <w:noProof/>
                <w:spacing w:val="-15"/>
              </w:rPr>
              <w:t xml:space="preserve"> </w:t>
            </w:r>
            <w:r w:rsidR="00ED1E27" w:rsidRPr="0061785B">
              <w:rPr>
                <w:rStyle w:val="Hyperlink"/>
                <w:noProof/>
                <w:spacing w:val="-7"/>
              </w:rPr>
              <w:t>e</w:t>
            </w:r>
            <w:r w:rsidR="00ED1E27" w:rsidRPr="0061785B">
              <w:rPr>
                <w:rStyle w:val="Hyperlink"/>
                <w:noProof/>
                <w:spacing w:val="-6"/>
              </w:rPr>
              <w:t>n</w:t>
            </w:r>
            <w:r w:rsidR="00ED1E27" w:rsidRPr="0061785B">
              <w:rPr>
                <w:rStyle w:val="Hyperlink"/>
                <w:noProof/>
                <w:spacing w:val="-7"/>
              </w:rPr>
              <w:t>de</w:t>
            </w:r>
            <w:r w:rsidR="00ED1E27" w:rsidRPr="0061785B">
              <w:rPr>
                <w:rStyle w:val="Hyperlink"/>
                <w:noProof/>
              </w:rPr>
              <w:t>d</w:t>
            </w:r>
            <w:r w:rsidR="00ED1E27" w:rsidRPr="0061785B">
              <w:rPr>
                <w:rStyle w:val="Hyperlink"/>
                <w:noProof/>
                <w:spacing w:val="-15"/>
              </w:rPr>
              <w:t xml:space="preserve"> </w:t>
            </w:r>
            <w:r w:rsidR="00ED1E27" w:rsidRPr="0061785B">
              <w:rPr>
                <w:rStyle w:val="Hyperlink"/>
                <w:noProof/>
              </w:rPr>
              <w:t>30</w:t>
            </w:r>
            <w:r w:rsidR="00ED1E27" w:rsidRPr="0061785B">
              <w:rPr>
                <w:rStyle w:val="Hyperlink"/>
                <w:noProof/>
                <w:spacing w:val="-14"/>
              </w:rPr>
              <w:t xml:space="preserve"> </w:t>
            </w:r>
            <w:r w:rsidR="00ED1E27" w:rsidRPr="0061785B">
              <w:rPr>
                <w:rStyle w:val="Hyperlink"/>
                <w:noProof/>
                <w:spacing w:val="-8"/>
              </w:rPr>
              <w:t>J</w:t>
            </w:r>
            <w:r w:rsidR="00ED1E27" w:rsidRPr="0061785B">
              <w:rPr>
                <w:rStyle w:val="Hyperlink"/>
                <w:noProof/>
                <w:spacing w:val="-7"/>
              </w:rPr>
              <w:t>u</w:t>
            </w:r>
            <w:r w:rsidR="00ED1E27" w:rsidRPr="0061785B">
              <w:rPr>
                <w:rStyle w:val="Hyperlink"/>
                <w:noProof/>
                <w:spacing w:val="-6"/>
              </w:rPr>
              <w:t>n</w:t>
            </w:r>
            <w:r w:rsidR="00ED1E27" w:rsidRPr="0061785B">
              <w:rPr>
                <w:rStyle w:val="Hyperlink"/>
                <w:noProof/>
              </w:rPr>
              <w:t>e</w:t>
            </w:r>
            <w:r w:rsidR="00ED1E27" w:rsidRPr="0061785B">
              <w:rPr>
                <w:rStyle w:val="Hyperlink"/>
                <w:noProof/>
                <w:spacing w:val="-16"/>
              </w:rPr>
              <w:t xml:space="preserve"> </w:t>
            </w:r>
            <w:r w:rsidR="00ED1E27" w:rsidRPr="0061785B">
              <w:rPr>
                <w:rStyle w:val="Hyperlink"/>
                <w:noProof/>
                <w:spacing w:val="-1"/>
              </w:rPr>
              <w:t>2</w:t>
            </w:r>
            <w:r w:rsidR="00ED1E27" w:rsidRPr="0061785B">
              <w:rPr>
                <w:rStyle w:val="Hyperlink"/>
                <w:noProof/>
                <w:spacing w:val="-14"/>
              </w:rPr>
              <w:t>0</w:t>
            </w:r>
            <w:r w:rsidR="00ED1E27" w:rsidRPr="0061785B">
              <w:rPr>
                <w:rStyle w:val="Hyperlink"/>
                <w:noProof/>
                <w:spacing w:val="-22"/>
              </w:rPr>
              <w:t>1</w:t>
            </w:r>
            <w:r w:rsidR="00ED1E27" w:rsidRPr="0061785B">
              <w:rPr>
                <w:rStyle w:val="Hyperlink"/>
                <w:noProof/>
              </w:rPr>
              <w:t>5</w:t>
            </w:r>
            <w:r w:rsidR="00ED1E27">
              <w:rPr>
                <w:noProof/>
                <w:webHidden/>
              </w:rPr>
              <w:tab/>
            </w:r>
            <w:r w:rsidR="00ED1E27">
              <w:rPr>
                <w:noProof/>
                <w:webHidden/>
              </w:rPr>
              <w:fldChar w:fldCharType="begin"/>
            </w:r>
            <w:r w:rsidR="00ED1E27">
              <w:rPr>
                <w:noProof/>
                <w:webHidden/>
              </w:rPr>
              <w:instrText xml:space="preserve"> PAGEREF _Toc430091356 \h </w:instrText>
            </w:r>
            <w:r w:rsidR="00ED1E27">
              <w:rPr>
                <w:noProof/>
                <w:webHidden/>
              </w:rPr>
            </w:r>
            <w:r w:rsidR="00ED1E27">
              <w:rPr>
                <w:noProof/>
                <w:webHidden/>
              </w:rPr>
              <w:fldChar w:fldCharType="separate"/>
            </w:r>
            <w:r w:rsidR="004427AD">
              <w:rPr>
                <w:noProof/>
                <w:webHidden/>
              </w:rPr>
              <w:t>174</w:t>
            </w:r>
            <w:r w:rsidR="00ED1E27">
              <w:rPr>
                <w:noProof/>
                <w:webHidden/>
              </w:rPr>
              <w:fldChar w:fldCharType="end"/>
            </w:r>
          </w:hyperlink>
        </w:p>
        <w:p w14:paraId="3084EA5B" w14:textId="77777777" w:rsidR="00ED1E27" w:rsidRDefault="000C10D6">
          <w:pPr>
            <w:pStyle w:val="TOC1"/>
            <w:rPr>
              <w:rFonts w:asciiTheme="minorHAnsi" w:eastAsiaTheme="minorEastAsia" w:hAnsiTheme="minorHAnsi" w:cstheme="minorBidi"/>
              <w:sz w:val="22"/>
              <w:szCs w:val="22"/>
              <w:lang w:eastAsia="en-AU"/>
            </w:rPr>
          </w:pPr>
          <w:hyperlink w:anchor="_Toc430091357" w:history="1">
            <w:r w:rsidR="00ED1E27" w:rsidRPr="0061785B">
              <w:rPr>
                <w:rStyle w:val="Hyperlink"/>
                <w:spacing w:val="-14"/>
              </w:rPr>
              <w:t>N</w:t>
            </w:r>
            <w:r w:rsidR="00ED1E27" w:rsidRPr="0061785B">
              <w:rPr>
                <w:rStyle w:val="Hyperlink"/>
                <w:spacing w:val="-17"/>
              </w:rPr>
              <w:t>o</w:t>
            </w:r>
            <w:r w:rsidR="00ED1E27" w:rsidRPr="0061785B">
              <w:rPr>
                <w:rStyle w:val="Hyperlink"/>
                <w:spacing w:val="-15"/>
              </w:rPr>
              <w:t>t</w:t>
            </w:r>
            <w:r w:rsidR="00ED1E27" w:rsidRPr="0061785B">
              <w:rPr>
                <w:rStyle w:val="Hyperlink"/>
                <w:spacing w:val="-18"/>
              </w:rPr>
              <w:t>e</w:t>
            </w:r>
            <w:r w:rsidR="00ED1E27" w:rsidRPr="0061785B">
              <w:rPr>
                <w:rStyle w:val="Hyperlink"/>
              </w:rPr>
              <w:t>s</w:t>
            </w:r>
            <w:r w:rsidR="00ED1E27" w:rsidRPr="0061785B">
              <w:rPr>
                <w:rStyle w:val="Hyperlink"/>
                <w:spacing w:val="-31"/>
              </w:rPr>
              <w:t xml:space="preserve"> </w:t>
            </w:r>
            <w:r w:rsidR="00ED1E27" w:rsidRPr="0061785B">
              <w:rPr>
                <w:rStyle w:val="Hyperlink"/>
                <w:spacing w:val="-16"/>
              </w:rPr>
              <w:t>t</w:t>
            </w:r>
            <w:r w:rsidR="00ED1E27" w:rsidRPr="0061785B">
              <w:rPr>
                <w:rStyle w:val="Hyperlink"/>
              </w:rPr>
              <w:t>o</w:t>
            </w:r>
            <w:r w:rsidR="00ED1E27" w:rsidRPr="0061785B">
              <w:rPr>
                <w:rStyle w:val="Hyperlink"/>
                <w:spacing w:val="-31"/>
              </w:rPr>
              <w:t xml:space="preserve"> </w:t>
            </w:r>
            <w:r w:rsidR="00ED1E27" w:rsidRPr="0061785B">
              <w:rPr>
                <w:rStyle w:val="Hyperlink"/>
                <w:spacing w:val="-9"/>
              </w:rPr>
              <w:t>t</w:t>
            </w:r>
            <w:r w:rsidR="00ED1E27" w:rsidRPr="0061785B">
              <w:rPr>
                <w:rStyle w:val="Hyperlink"/>
                <w:spacing w:val="-13"/>
              </w:rPr>
              <w:t>h</w:t>
            </w:r>
            <w:r w:rsidR="00ED1E27" w:rsidRPr="0061785B">
              <w:rPr>
                <w:rStyle w:val="Hyperlink"/>
              </w:rPr>
              <w:t>e</w:t>
            </w:r>
            <w:r w:rsidR="00ED1E27" w:rsidRPr="0061785B">
              <w:rPr>
                <w:rStyle w:val="Hyperlink"/>
                <w:spacing w:val="-31"/>
              </w:rPr>
              <w:t xml:space="preserve"> </w:t>
            </w:r>
            <w:r w:rsidR="00ED1E27" w:rsidRPr="0061785B">
              <w:rPr>
                <w:rStyle w:val="Hyperlink"/>
                <w:spacing w:val="-13"/>
              </w:rPr>
              <w:t>F</w:t>
            </w:r>
            <w:r w:rsidR="00ED1E27" w:rsidRPr="0061785B">
              <w:rPr>
                <w:rStyle w:val="Hyperlink"/>
                <w:spacing w:val="-10"/>
              </w:rPr>
              <w:t>i</w:t>
            </w:r>
            <w:r w:rsidR="00ED1E27" w:rsidRPr="0061785B">
              <w:rPr>
                <w:rStyle w:val="Hyperlink"/>
                <w:spacing w:val="-13"/>
              </w:rPr>
              <w:t>na</w:t>
            </w:r>
            <w:r w:rsidR="00ED1E27" w:rsidRPr="0061785B">
              <w:rPr>
                <w:rStyle w:val="Hyperlink"/>
                <w:spacing w:val="-14"/>
              </w:rPr>
              <w:t>n</w:t>
            </w:r>
            <w:r w:rsidR="00ED1E27" w:rsidRPr="0061785B">
              <w:rPr>
                <w:rStyle w:val="Hyperlink"/>
                <w:spacing w:val="-21"/>
              </w:rPr>
              <w:t>c</w:t>
            </w:r>
            <w:r w:rsidR="00ED1E27" w:rsidRPr="0061785B">
              <w:rPr>
                <w:rStyle w:val="Hyperlink"/>
                <w:spacing w:val="-13"/>
              </w:rPr>
              <w:t>i</w:t>
            </w:r>
            <w:r w:rsidR="00ED1E27" w:rsidRPr="0061785B">
              <w:rPr>
                <w:rStyle w:val="Hyperlink"/>
                <w:spacing w:val="-9"/>
              </w:rPr>
              <w:t>a</w:t>
            </w:r>
            <w:r w:rsidR="00ED1E27" w:rsidRPr="0061785B">
              <w:rPr>
                <w:rStyle w:val="Hyperlink"/>
              </w:rPr>
              <w:t>l</w:t>
            </w:r>
            <w:r w:rsidR="00ED1E27" w:rsidRPr="0061785B">
              <w:rPr>
                <w:rStyle w:val="Hyperlink"/>
                <w:w w:val="99"/>
              </w:rPr>
              <w:t xml:space="preserve"> </w:t>
            </w:r>
            <w:r w:rsidR="00ED1E27" w:rsidRPr="0061785B">
              <w:rPr>
                <w:rStyle w:val="Hyperlink"/>
                <w:spacing w:val="-19"/>
              </w:rPr>
              <w:t>S</w:t>
            </w:r>
            <w:r w:rsidR="00ED1E27" w:rsidRPr="0061785B">
              <w:rPr>
                <w:rStyle w:val="Hyperlink"/>
                <w:spacing w:val="-15"/>
              </w:rPr>
              <w:t>t</w:t>
            </w:r>
            <w:r w:rsidR="00ED1E27" w:rsidRPr="0061785B">
              <w:rPr>
                <w:rStyle w:val="Hyperlink"/>
                <w:spacing w:val="-10"/>
              </w:rPr>
              <w:t>a</w:t>
            </w:r>
            <w:r w:rsidR="00ED1E27" w:rsidRPr="0061785B">
              <w:rPr>
                <w:rStyle w:val="Hyperlink"/>
                <w:spacing w:val="-15"/>
              </w:rPr>
              <w:t>te</w:t>
            </w:r>
            <w:r w:rsidR="00ED1E27" w:rsidRPr="0061785B">
              <w:rPr>
                <w:rStyle w:val="Hyperlink"/>
                <w:spacing w:val="-13"/>
              </w:rPr>
              <w:t>m</w:t>
            </w:r>
            <w:r w:rsidR="00ED1E27" w:rsidRPr="0061785B">
              <w:rPr>
                <w:rStyle w:val="Hyperlink"/>
                <w:spacing w:val="-15"/>
              </w:rPr>
              <w:t>e</w:t>
            </w:r>
            <w:r w:rsidR="00ED1E27" w:rsidRPr="0061785B">
              <w:rPr>
                <w:rStyle w:val="Hyperlink"/>
                <w:spacing w:val="-13"/>
              </w:rPr>
              <w:t>n</w:t>
            </w:r>
            <w:r w:rsidR="00ED1E27" w:rsidRPr="0061785B">
              <w:rPr>
                <w:rStyle w:val="Hyperlink"/>
                <w:spacing w:val="-8"/>
              </w:rPr>
              <w:t>t</w:t>
            </w:r>
            <w:r w:rsidR="00ED1E27" w:rsidRPr="0061785B">
              <w:rPr>
                <w:rStyle w:val="Hyperlink"/>
              </w:rPr>
              <w:t>s</w:t>
            </w:r>
            <w:r w:rsidR="00ED1E27">
              <w:rPr>
                <w:webHidden/>
              </w:rPr>
              <w:tab/>
            </w:r>
            <w:r w:rsidR="00ED1E27">
              <w:rPr>
                <w:webHidden/>
              </w:rPr>
              <w:fldChar w:fldCharType="begin"/>
            </w:r>
            <w:r w:rsidR="00ED1E27">
              <w:rPr>
                <w:webHidden/>
              </w:rPr>
              <w:instrText xml:space="preserve"> PAGEREF _Toc430091357 \h </w:instrText>
            </w:r>
            <w:r w:rsidR="00ED1E27">
              <w:rPr>
                <w:webHidden/>
              </w:rPr>
            </w:r>
            <w:r w:rsidR="00ED1E27">
              <w:rPr>
                <w:webHidden/>
              </w:rPr>
              <w:fldChar w:fldCharType="separate"/>
            </w:r>
            <w:r w:rsidR="004427AD">
              <w:rPr>
                <w:webHidden/>
              </w:rPr>
              <w:t>175</w:t>
            </w:r>
            <w:r w:rsidR="00ED1E27">
              <w:rPr>
                <w:webHidden/>
              </w:rPr>
              <w:fldChar w:fldCharType="end"/>
            </w:r>
          </w:hyperlink>
        </w:p>
        <w:p w14:paraId="761F73BB"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58" w:history="1">
            <w:r w:rsidR="00ED1E27" w:rsidRPr="0061785B">
              <w:rPr>
                <w:rStyle w:val="Hyperlink"/>
                <w:noProof/>
              </w:rPr>
              <w:t>1.</w:t>
            </w:r>
            <w:r w:rsidR="00ED1E27">
              <w:rPr>
                <w:rFonts w:asciiTheme="minorHAnsi" w:eastAsiaTheme="minorEastAsia" w:hAnsiTheme="minorHAnsi" w:cstheme="minorBidi"/>
                <w:noProof/>
                <w:sz w:val="22"/>
                <w:szCs w:val="22"/>
                <w:lang w:eastAsia="en-AU"/>
              </w:rPr>
              <w:tab/>
            </w:r>
            <w:r w:rsidR="00ED1E27" w:rsidRPr="0061785B">
              <w:rPr>
                <w:rStyle w:val="Hyperlink"/>
                <w:noProof/>
                <w:spacing w:val="-18"/>
              </w:rPr>
              <w:t>A</w:t>
            </w:r>
            <w:r w:rsidR="00ED1E27" w:rsidRPr="0061785B">
              <w:rPr>
                <w:rStyle w:val="Hyperlink"/>
                <w:noProof/>
                <w:spacing w:val="-11"/>
              </w:rPr>
              <w:t>u</w:t>
            </w:r>
            <w:r w:rsidR="00ED1E27" w:rsidRPr="0061785B">
              <w:rPr>
                <w:rStyle w:val="Hyperlink"/>
                <w:noProof/>
              </w:rPr>
              <w:t>s</w:t>
            </w:r>
            <w:r w:rsidR="00ED1E27" w:rsidRPr="0061785B">
              <w:rPr>
                <w:rStyle w:val="Hyperlink"/>
                <w:noProof/>
                <w:spacing w:val="1"/>
              </w:rPr>
              <w:t>t</w:t>
            </w:r>
            <w:r w:rsidR="00ED1E27" w:rsidRPr="0061785B">
              <w:rPr>
                <w:rStyle w:val="Hyperlink"/>
                <w:noProof/>
                <w:spacing w:val="-16"/>
              </w:rPr>
              <w:t>r</w:t>
            </w:r>
            <w:r w:rsidR="00ED1E27" w:rsidRPr="0061785B">
              <w:rPr>
                <w:rStyle w:val="Hyperlink"/>
                <w:noProof/>
                <w:spacing w:val="-6"/>
              </w:rPr>
              <w:t>a</w:t>
            </w:r>
            <w:r w:rsidR="00ED1E27" w:rsidRPr="0061785B">
              <w:rPr>
                <w:rStyle w:val="Hyperlink"/>
                <w:noProof/>
                <w:spacing w:val="-3"/>
              </w:rPr>
              <w:t>l</w:t>
            </w:r>
            <w:r w:rsidR="00ED1E27" w:rsidRPr="0061785B">
              <w:rPr>
                <w:rStyle w:val="Hyperlink"/>
                <w:noProof/>
              </w:rPr>
              <w:t>ian</w:t>
            </w:r>
            <w:r w:rsidR="00ED1E27" w:rsidRPr="0061785B">
              <w:rPr>
                <w:rStyle w:val="Hyperlink"/>
                <w:noProof/>
                <w:spacing w:val="-23"/>
              </w:rPr>
              <w:t xml:space="preserve"> </w:t>
            </w:r>
            <w:r w:rsidR="00ED1E27" w:rsidRPr="0061785B">
              <w:rPr>
                <w:rStyle w:val="Hyperlink"/>
                <w:noProof/>
                <w:spacing w:val="-18"/>
              </w:rPr>
              <w:t>A</w:t>
            </w:r>
            <w:r w:rsidR="00ED1E27" w:rsidRPr="0061785B">
              <w:rPr>
                <w:rStyle w:val="Hyperlink"/>
                <w:noProof/>
                <w:spacing w:val="-19"/>
              </w:rPr>
              <w:t>cc</w:t>
            </w:r>
            <w:r w:rsidR="00ED1E27" w:rsidRPr="0061785B">
              <w:rPr>
                <w:rStyle w:val="Hyperlink"/>
                <w:noProof/>
                <w:spacing w:val="-11"/>
              </w:rPr>
              <w:t>o</w:t>
            </w:r>
            <w:r w:rsidR="00ED1E27" w:rsidRPr="0061785B">
              <w:rPr>
                <w:rStyle w:val="Hyperlink"/>
                <w:noProof/>
                <w:spacing w:val="-9"/>
              </w:rPr>
              <w:t>u</w:t>
            </w:r>
            <w:r w:rsidR="00ED1E27" w:rsidRPr="0061785B">
              <w:rPr>
                <w:rStyle w:val="Hyperlink"/>
                <w:noProof/>
              </w:rPr>
              <w:t>n</w:t>
            </w:r>
            <w:r w:rsidR="00ED1E27" w:rsidRPr="0061785B">
              <w:rPr>
                <w:rStyle w:val="Hyperlink"/>
                <w:noProof/>
                <w:spacing w:val="-5"/>
              </w:rPr>
              <w:t>t</w:t>
            </w:r>
            <w:r w:rsidR="00ED1E27" w:rsidRPr="0061785B">
              <w:rPr>
                <w:rStyle w:val="Hyperlink"/>
                <w:noProof/>
                <w:spacing w:val="-6"/>
              </w:rPr>
              <w:t>i</w:t>
            </w:r>
            <w:r w:rsidR="00ED1E27" w:rsidRPr="0061785B">
              <w:rPr>
                <w:rStyle w:val="Hyperlink"/>
                <w:noProof/>
                <w:spacing w:val="-9"/>
              </w:rPr>
              <w:t>n</w:t>
            </w:r>
            <w:r w:rsidR="00ED1E27" w:rsidRPr="0061785B">
              <w:rPr>
                <w:rStyle w:val="Hyperlink"/>
                <w:noProof/>
              </w:rPr>
              <w:t>g</w:t>
            </w:r>
            <w:r w:rsidR="00ED1E27" w:rsidRPr="0061785B">
              <w:rPr>
                <w:rStyle w:val="Hyperlink"/>
                <w:noProof/>
                <w:spacing w:val="-23"/>
              </w:rPr>
              <w:t xml:space="preserve"> </w:t>
            </w:r>
            <w:r w:rsidR="00ED1E27" w:rsidRPr="0061785B">
              <w:rPr>
                <w:rStyle w:val="Hyperlink"/>
                <w:noProof/>
                <w:spacing w:val="-12"/>
              </w:rPr>
              <w:t>S</w:t>
            </w:r>
            <w:r w:rsidR="00ED1E27" w:rsidRPr="0061785B">
              <w:rPr>
                <w:rStyle w:val="Hyperlink"/>
                <w:noProof/>
                <w:spacing w:val="-10"/>
              </w:rPr>
              <w:t>t</w:t>
            </w:r>
            <w:r w:rsidR="00ED1E27" w:rsidRPr="0061785B">
              <w:rPr>
                <w:rStyle w:val="Hyperlink"/>
                <w:noProof/>
              </w:rPr>
              <w:t>a</w:t>
            </w:r>
            <w:r w:rsidR="00ED1E27" w:rsidRPr="0061785B">
              <w:rPr>
                <w:rStyle w:val="Hyperlink"/>
                <w:noProof/>
                <w:spacing w:val="-9"/>
              </w:rPr>
              <w:t>nd</w:t>
            </w:r>
            <w:r w:rsidR="00ED1E27" w:rsidRPr="0061785B">
              <w:rPr>
                <w:rStyle w:val="Hyperlink"/>
                <w:noProof/>
                <w:spacing w:val="-3"/>
              </w:rPr>
              <w:t>a</w:t>
            </w:r>
            <w:r w:rsidR="00ED1E27" w:rsidRPr="0061785B">
              <w:rPr>
                <w:rStyle w:val="Hyperlink"/>
                <w:noProof/>
                <w:spacing w:val="-16"/>
              </w:rPr>
              <w:t>r</w:t>
            </w:r>
            <w:r w:rsidR="00ED1E27" w:rsidRPr="0061785B">
              <w:rPr>
                <w:rStyle w:val="Hyperlink"/>
                <w:noProof/>
              </w:rPr>
              <w:t>ds</w:t>
            </w:r>
            <w:r w:rsidR="00ED1E27">
              <w:rPr>
                <w:noProof/>
                <w:webHidden/>
              </w:rPr>
              <w:tab/>
            </w:r>
            <w:r w:rsidR="00ED1E27">
              <w:rPr>
                <w:noProof/>
                <w:webHidden/>
              </w:rPr>
              <w:fldChar w:fldCharType="begin"/>
            </w:r>
            <w:r w:rsidR="00ED1E27">
              <w:rPr>
                <w:noProof/>
                <w:webHidden/>
              </w:rPr>
              <w:instrText xml:space="preserve"> PAGEREF _Toc430091358 \h </w:instrText>
            </w:r>
            <w:r w:rsidR="00ED1E27">
              <w:rPr>
                <w:noProof/>
                <w:webHidden/>
              </w:rPr>
            </w:r>
            <w:r w:rsidR="00ED1E27">
              <w:rPr>
                <w:noProof/>
                <w:webHidden/>
              </w:rPr>
              <w:fldChar w:fldCharType="separate"/>
            </w:r>
            <w:r w:rsidR="004427AD">
              <w:rPr>
                <w:noProof/>
                <w:webHidden/>
              </w:rPr>
              <w:t>175</w:t>
            </w:r>
            <w:r w:rsidR="00ED1E27">
              <w:rPr>
                <w:noProof/>
                <w:webHidden/>
              </w:rPr>
              <w:fldChar w:fldCharType="end"/>
            </w:r>
          </w:hyperlink>
        </w:p>
        <w:p w14:paraId="2FA7C27F"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59" w:history="1">
            <w:r w:rsidR="00ED1E27" w:rsidRPr="0061785B">
              <w:rPr>
                <w:rStyle w:val="Hyperlink"/>
                <w:noProof/>
              </w:rPr>
              <w:t>2.</w:t>
            </w:r>
            <w:r w:rsidR="00ED1E27">
              <w:rPr>
                <w:rFonts w:asciiTheme="minorHAnsi" w:eastAsiaTheme="minorEastAsia" w:hAnsiTheme="minorHAnsi" w:cstheme="minorBidi"/>
                <w:noProof/>
                <w:sz w:val="22"/>
                <w:szCs w:val="22"/>
                <w:lang w:eastAsia="en-AU"/>
              </w:rPr>
              <w:tab/>
            </w:r>
            <w:r w:rsidR="00ED1E27" w:rsidRPr="0061785B">
              <w:rPr>
                <w:rStyle w:val="Hyperlink"/>
                <w:noProof/>
                <w:spacing w:val="-12"/>
              </w:rPr>
              <w:t>S</w:t>
            </w:r>
            <w:r w:rsidR="00ED1E27" w:rsidRPr="0061785B">
              <w:rPr>
                <w:rStyle w:val="Hyperlink"/>
                <w:noProof/>
                <w:spacing w:val="-9"/>
              </w:rPr>
              <w:t>u</w:t>
            </w:r>
            <w:r w:rsidR="00ED1E27" w:rsidRPr="0061785B">
              <w:rPr>
                <w:rStyle w:val="Hyperlink"/>
                <w:noProof/>
                <w:spacing w:val="-7"/>
              </w:rPr>
              <w:t>m</w:t>
            </w:r>
            <w:r w:rsidR="00ED1E27" w:rsidRPr="0061785B">
              <w:rPr>
                <w:rStyle w:val="Hyperlink"/>
                <w:noProof/>
              </w:rPr>
              <w:t>m</w:t>
            </w:r>
            <w:r w:rsidR="00ED1E27" w:rsidRPr="0061785B">
              <w:rPr>
                <w:rStyle w:val="Hyperlink"/>
                <w:noProof/>
                <w:spacing w:val="-3"/>
              </w:rPr>
              <w:t>a</w:t>
            </w:r>
            <w:r w:rsidR="00ED1E27" w:rsidRPr="0061785B">
              <w:rPr>
                <w:rStyle w:val="Hyperlink"/>
                <w:noProof/>
                <w:spacing w:val="4"/>
              </w:rPr>
              <w:t>r</w:t>
            </w:r>
            <w:r w:rsidR="00ED1E27" w:rsidRPr="0061785B">
              <w:rPr>
                <w:rStyle w:val="Hyperlink"/>
                <w:noProof/>
              </w:rPr>
              <w:t>y</w:t>
            </w:r>
            <w:r w:rsidR="00ED1E27" w:rsidRPr="0061785B">
              <w:rPr>
                <w:rStyle w:val="Hyperlink"/>
                <w:noProof/>
                <w:spacing w:val="-20"/>
              </w:rPr>
              <w:t xml:space="preserve"> </w:t>
            </w:r>
            <w:r w:rsidR="00ED1E27" w:rsidRPr="0061785B">
              <w:rPr>
                <w:rStyle w:val="Hyperlink"/>
                <w:noProof/>
                <w:spacing w:val="-6"/>
              </w:rPr>
              <w:t>o</w:t>
            </w:r>
            <w:r w:rsidR="00ED1E27" w:rsidRPr="0061785B">
              <w:rPr>
                <w:rStyle w:val="Hyperlink"/>
                <w:noProof/>
              </w:rPr>
              <w:t>f</w:t>
            </w:r>
            <w:r w:rsidR="00ED1E27" w:rsidRPr="0061785B">
              <w:rPr>
                <w:rStyle w:val="Hyperlink"/>
                <w:noProof/>
                <w:spacing w:val="-20"/>
              </w:rPr>
              <w:t xml:space="preserve"> </w:t>
            </w:r>
            <w:r w:rsidR="00ED1E27" w:rsidRPr="0061785B">
              <w:rPr>
                <w:rStyle w:val="Hyperlink"/>
                <w:noProof/>
                <w:spacing w:val="-6"/>
              </w:rPr>
              <w:t>s</w:t>
            </w:r>
            <w:r w:rsidR="00ED1E27" w:rsidRPr="0061785B">
              <w:rPr>
                <w:rStyle w:val="Hyperlink"/>
                <w:noProof/>
              </w:rPr>
              <w:t>ig</w:t>
            </w:r>
            <w:r w:rsidR="00ED1E27" w:rsidRPr="0061785B">
              <w:rPr>
                <w:rStyle w:val="Hyperlink"/>
                <w:noProof/>
                <w:spacing w:val="-5"/>
              </w:rPr>
              <w:t>n</w:t>
            </w:r>
            <w:r w:rsidR="00ED1E27" w:rsidRPr="0061785B">
              <w:rPr>
                <w:rStyle w:val="Hyperlink"/>
                <w:noProof/>
                <w:spacing w:val="2"/>
              </w:rPr>
              <w:t>i</w:t>
            </w:r>
            <w:r w:rsidR="00ED1E27" w:rsidRPr="0061785B">
              <w:rPr>
                <w:rStyle w:val="Hyperlink"/>
                <w:noProof/>
              </w:rPr>
              <w:t>f</w:t>
            </w:r>
            <w:r w:rsidR="00ED1E27" w:rsidRPr="0061785B">
              <w:rPr>
                <w:rStyle w:val="Hyperlink"/>
                <w:noProof/>
                <w:spacing w:val="-7"/>
              </w:rPr>
              <w:t>i</w:t>
            </w:r>
            <w:r w:rsidR="00ED1E27" w:rsidRPr="0061785B">
              <w:rPr>
                <w:rStyle w:val="Hyperlink"/>
                <w:noProof/>
                <w:spacing w:val="-18"/>
              </w:rPr>
              <w:t>c</w:t>
            </w:r>
            <w:r w:rsidR="00ED1E27" w:rsidRPr="0061785B">
              <w:rPr>
                <w:rStyle w:val="Hyperlink"/>
                <w:noProof/>
              </w:rPr>
              <w:t>ant</w:t>
            </w:r>
            <w:r w:rsidR="00ED1E27" w:rsidRPr="0061785B">
              <w:rPr>
                <w:rStyle w:val="Hyperlink"/>
                <w:noProof/>
                <w:spacing w:val="-20"/>
              </w:rPr>
              <w:t xml:space="preserve"> </w:t>
            </w:r>
            <w:r w:rsidR="00ED1E27" w:rsidRPr="0061785B">
              <w:rPr>
                <w:rStyle w:val="Hyperlink"/>
                <w:noProof/>
                <w:spacing w:val="-9"/>
              </w:rPr>
              <w:t>a</w:t>
            </w:r>
            <w:r w:rsidR="00ED1E27" w:rsidRPr="0061785B">
              <w:rPr>
                <w:rStyle w:val="Hyperlink"/>
                <w:noProof/>
                <w:spacing w:val="-19"/>
              </w:rPr>
              <w:t>cc</w:t>
            </w:r>
            <w:r w:rsidR="00ED1E27" w:rsidRPr="0061785B">
              <w:rPr>
                <w:rStyle w:val="Hyperlink"/>
                <w:noProof/>
                <w:spacing w:val="-11"/>
              </w:rPr>
              <w:t>o</w:t>
            </w:r>
            <w:r w:rsidR="00ED1E27" w:rsidRPr="0061785B">
              <w:rPr>
                <w:rStyle w:val="Hyperlink"/>
                <w:noProof/>
                <w:spacing w:val="-9"/>
              </w:rPr>
              <w:t>u</w:t>
            </w:r>
            <w:r w:rsidR="00ED1E27" w:rsidRPr="0061785B">
              <w:rPr>
                <w:rStyle w:val="Hyperlink"/>
                <w:noProof/>
              </w:rPr>
              <w:t>n</w:t>
            </w:r>
            <w:r w:rsidR="00ED1E27" w:rsidRPr="0061785B">
              <w:rPr>
                <w:rStyle w:val="Hyperlink"/>
                <w:noProof/>
                <w:spacing w:val="-4"/>
              </w:rPr>
              <w:t>t</w:t>
            </w:r>
            <w:r w:rsidR="00ED1E27" w:rsidRPr="0061785B">
              <w:rPr>
                <w:rStyle w:val="Hyperlink"/>
                <w:noProof/>
                <w:spacing w:val="-6"/>
              </w:rPr>
              <w:t>i</w:t>
            </w:r>
            <w:r w:rsidR="00ED1E27" w:rsidRPr="0061785B">
              <w:rPr>
                <w:rStyle w:val="Hyperlink"/>
                <w:noProof/>
                <w:spacing w:val="-9"/>
              </w:rPr>
              <w:t>n</w:t>
            </w:r>
            <w:r w:rsidR="00ED1E27" w:rsidRPr="0061785B">
              <w:rPr>
                <w:rStyle w:val="Hyperlink"/>
                <w:noProof/>
              </w:rPr>
              <w:t>g</w:t>
            </w:r>
            <w:r w:rsidR="00ED1E27" w:rsidRPr="0061785B">
              <w:rPr>
                <w:rStyle w:val="Hyperlink"/>
                <w:noProof/>
                <w:spacing w:val="-20"/>
              </w:rPr>
              <w:t xml:space="preserve"> </w:t>
            </w:r>
            <w:r w:rsidR="00ED1E27" w:rsidRPr="0061785B">
              <w:rPr>
                <w:rStyle w:val="Hyperlink"/>
                <w:noProof/>
                <w:spacing w:val="-9"/>
              </w:rPr>
              <w:t>p</w:t>
            </w:r>
            <w:r w:rsidR="00ED1E27" w:rsidRPr="0061785B">
              <w:rPr>
                <w:rStyle w:val="Hyperlink"/>
                <w:noProof/>
                <w:spacing w:val="-6"/>
              </w:rPr>
              <w:t>o</w:t>
            </w:r>
            <w:r w:rsidR="00ED1E27" w:rsidRPr="0061785B">
              <w:rPr>
                <w:rStyle w:val="Hyperlink"/>
                <w:noProof/>
                <w:spacing w:val="-3"/>
              </w:rPr>
              <w:t>l</w:t>
            </w:r>
            <w:r w:rsidR="00ED1E27" w:rsidRPr="0061785B">
              <w:rPr>
                <w:rStyle w:val="Hyperlink"/>
                <w:noProof/>
                <w:spacing w:val="-7"/>
              </w:rPr>
              <w:t>i</w:t>
            </w:r>
            <w:r w:rsidR="00ED1E27" w:rsidRPr="0061785B">
              <w:rPr>
                <w:rStyle w:val="Hyperlink"/>
                <w:noProof/>
                <w:spacing w:val="-14"/>
              </w:rPr>
              <w:t>c</w:t>
            </w:r>
            <w:r w:rsidR="00ED1E27" w:rsidRPr="0061785B">
              <w:rPr>
                <w:rStyle w:val="Hyperlink"/>
                <w:noProof/>
              </w:rPr>
              <w:t>i</w:t>
            </w:r>
            <w:r w:rsidR="00ED1E27" w:rsidRPr="0061785B">
              <w:rPr>
                <w:rStyle w:val="Hyperlink"/>
                <w:noProof/>
                <w:spacing w:val="-12"/>
              </w:rPr>
              <w:t>e</w:t>
            </w:r>
            <w:r w:rsidR="00ED1E27" w:rsidRPr="0061785B">
              <w:rPr>
                <w:rStyle w:val="Hyperlink"/>
                <w:noProof/>
              </w:rPr>
              <w:t>s</w:t>
            </w:r>
            <w:r w:rsidR="00ED1E27">
              <w:rPr>
                <w:noProof/>
                <w:webHidden/>
              </w:rPr>
              <w:tab/>
            </w:r>
            <w:r w:rsidR="00ED1E27">
              <w:rPr>
                <w:noProof/>
                <w:webHidden/>
              </w:rPr>
              <w:fldChar w:fldCharType="begin"/>
            </w:r>
            <w:r w:rsidR="00ED1E27">
              <w:rPr>
                <w:noProof/>
                <w:webHidden/>
              </w:rPr>
              <w:instrText xml:space="preserve"> PAGEREF _Toc430091359 \h </w:instrText>
            </w:r>
            <w:r w:rsidR="00ED1E27">
              <w:rPr>
                <w:noProof/>
                <w:webHidden/>
              </w:rPr>
            </w:r>
            <w:r w:rsidR="00ED1E27">
              <w:rPr>
                <w:noProof/>
                <w:webHidden/>
              </w:rPr>
              <w:fldChar w:fldCharType="separate"/>
            </w:r>
            <w:r w:rsidR="004427AD">
              <w:rPr>
                <w:noProof/>
                <w:webHidden/>
              </w:rPr>
              <w:t>175</w:t>
            </w:r>
            <w:r w:rsidR="00ED1E27">
              <w:rPr>
                <w:noProof/>
                <w:webHidden/>
              </w:rPr>
              <w:fldChar w:fldCharType="end"/>
            </w:r>
          </w:hyperlink>
        </w:p>
        <w:p w14:paraId="51DD5BD3"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60" w:history="1">
            <w:r w:rsidR="00ED1E27" w:rsidRPr="0061785B">
              <w:rPr>
                <w:rStyle w:val="Hyperlink"/>
                <w:noProof/>
              </w:rPr>
              <w:t>3.</w:t>
            </w:r>
            <w:r w:rsidR="00ED1E27">
              <w:rPr>
                <w:rFonts w:asciiTheme="minorHAnsi" w:eastAsiaTheme="minorEastAsia" w:hAnsiTheme="minorHAnsi" w:cstheme="minorBidi"/>
                <w:noProof/>
                <w:sz w:val="22"/>
                <w:szCs w:val="22"/>
                <w:lang w:eastAsia="en-AU"/>
              </w:rPr>
              <w:tab/>
            </w:r>
            <w:r w:rsidR="00ED1E27" w:rsidRPr="0061785B">
              <w:rPr>
                <w:rStyle w:val="Hyperlink"/>
                <w:noProof/>
              </w:rPr>
              <w:t>Segment information</w:t>
            </w:r>
            <w:r w:rsidR="00ED1E27">
              <w:rPr>
                <w:noProof/>
                <w:webHidden/>
              </w:rPr>
              <w:tab/>
            </w:r>
            <w:r w:rsidR="00ED1E27">
              <w:rPr>
                <w:noProof/>
                <w:webHidden/>
              </w:rPr>
              <w:fldChar w:fldCharType="begin"/>
            </w:r>
            <w:r w:rsidR="00ED1E27">
              <w:rPr>
                <w:noProof/>
                <w:webHidden/>
              </w:rPr>
              <w:instrText xml:space="preserve"> PAGEREF _Toc430091360 \h </w:instrText>
            </w:r>
            <w:r w:rsidR="00ED1E27">
              <w:rPr>
                <w:noProof/>
                <w:webHidden/>
              </w:rPr>
            </w:r>
            <w:r w:rsidR="00ED1E27">
              <w:rPr>
                <w:noProof/>
                <w:webHidden/>
              </w:rPr>
              <w:fldChar w:fldCharType="separate"/>
            </w:r>
            <w:r w:rsidR="004427AD">
              <w:rPr>
                <w:noProof/>
                <w:webHidden/>
              </w:rPr>
              <w:t>187</w:t>
            </w:r>
            <w:r w:rsidR="00ED1E27">
              <w:rPr>
                <w:noProof/>
                <w:webHidden/>
              </w:rPr>
              <w:fldChar w:fldCharType="end"/>
            </w:r>
          </w:hyperlink>
        </w:p>
        <w:p w14:paraId="341897C0"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61" w:history="1">
            <w:r w:rsidR="00ED1E27" w:rsidRPr="0061785B">
              <w:rPr>
                <w:rStyle w:val="Hyperlink"/>
                <w:noProof/>
              </w:rPr>
              <w:t>4.</w:t>
            </w:r>
            <w:r w:rsidR="00ED1E27">
              <w:rPr>
                <w:rFonts w:asciiTheme="minorHAnsi" w:eastAsiaTheme="minorEastAsia" w:hAnsiTheme="minorHAnsi" w:cstheme="minorBidi"/>
                <w:noProof/>
                <w:sz w:val="22"/>
                <w:szCs w:val="22"/>
                <w:lang w:eastAsia="en-AU"/>
              </w:rPr>
              <w:tab/>
            </w:r>
            <w:r w:rsidR="00ED1E27" w:rsidRPr="0061785B">
              <w:rPr>
                <w:rStyle w:val="Hyperlink"/>
                <w:noProof/>
              </w:rPr>
              <w:t>Judgements</w:t>
            </w:r>
            <w:r w:rsidR="00ED1E27" w:rsidRPr="0061785B">
              <w:rPr>
                <w:rStyle w:val="Hyperlink"/>
                <w:noProof/>
                <w:spacing w:val="-20"/>
              </w:rPr>
              <w:t xml:space="preserve"> </w:t>
            </w:r>
            <w:r w:rsidR="00ED1E27" w:rsidRPr="0061785B">
              <w:rPr>
                <w:rStyle w:val="Hyperlink"/>
                <w:noProof/>
              </w:rPr>
              <w:t>made</w:t>
            </w:r>
            <w:r w:rsidR="00ED1E27" w:rsidRPr="0061785B">
              <w:rPr>
                <w:rStyle w:val="Hyperlink"/>
                <w:noProof/>
                <w:spacing w:val="-19"/>
              </w:rPr>
              <w:t xml:space="preserve"> </w:t>
            </w:r>
            <w:r w:rsidR="00ED1E27" w:rsidRPr="0061785B">
              <w:rPr>
                <w:rStyle w:val="Hyperlink"/>
                <w:noProof/>
              </w:rPr>
              <w:t>by</w:t>
            </w:r>
            <w:r w:rsidR="00ED1E27" w:rsidRPr="0061785B">
              <w:rPr>
                <w:rStyle w:val="Hyperlink"/>
                <w:noProof/>
                <w:spacing w:val="-19"/>
              </w:rPr>
              <w:t xml:space="preserve"> </w:t>
            </w:r>
            <w:r w:rsidR="00ED1E27" w:rsidRPr="0061785B">
              <w:rPr>
                <w:rStyle w:val="Hyperlink"/>
                <w:noProof/>
              </w:rPr>
              <w:t>management</w:t>
            </w:r>
            <w:r w:rsidR="00ED1E27" w:rsidRPr="0061785B">
              <w:rPr>
                <w:rStyle w:val="Hyperlink"/>
                <w:noProof/>
                <w:spacing w:val="-20"/>
              </w:rPr>
              <w:t xml:space="preserve"> </w:t>
            </w:r>
            <w:r w:rsidR="00ED1E27" w:rsidRPr="0061785B">
              <w:rPr>
                <w:rStyle w:val="Hyperlink"/>
                <w:noProof/>
                <w:spacing w:val="-10"/>
              </w:rPr>
              <w:t>in</w:t>
            </w:r>
            <w:r w:rsidR="00ED1E27" w:rsidRPr="0061785B">
              <w:rPr>
                <w:rStyle w:val="Hyperlink"/>
                <w:noProof/>
                <w:w w:val="99"/>
              </w:rPr>
              <w:t xml:space="preserve"> </w:t>
            </w:r>
            <w:r w:rsidR="00ED1E27" w:rsidRPr="0061785B">
              <w:rPr>
                <w:rStyle w:val="Hyperlink"/>
                <w:noProof/>
              </w:rPr>
              <w:t>applying</w:t>
            </w:r>
            <w:r w:rsidR="00ED1E27" w:rsidRPr="0061785B">
              <w:rPr>
                <w:rStyle w:val="Hyperlink"/>
                <w:noProof/>
                <w:spacing w:val="-22"/>
              </w:rPr>
              <w:t xml:space="preserve"> </w:t>
            </w:r>
            <w:r w:rsidR="00ED1E27" w:rsidRPr="0061785B">
              <w:rPr>
                <w:rStyle w:val="Hyperlink"/>
                <w:noProof/>
              </w:rPr>
              <w:t>accounting</w:t>
            </w:r>
            <w:r w:rsidR="00ED1E27" w:rsidRPr="0061785B">
              <w:rPr>
                <w:rStyle w:val="Hyperlink"/>
                <w:noProof/>
                <w:spacing w:val="-22"/>
              </w:rPr>
              <w:t xml:space="preserve"> </w:t>
            </w:r>
            <w:r w:rsidR="00ED1E27" w:rsidRPr="0061785B">
              <w:rPr>
                <w:rStyle w:val="Hyperlink"/>
                <w:noProof/>
                <w:spacing w:val="-10"/>
              </w:rPr>
              <w:t>policies</w:t>
            </w:r>
            <w:r w:rsidR="00ED1E27">
              <w:rPr>
                <w:noProof/>
                <w:webHidden/>
              </w:rPr>
              <w:tab/>
            </w:r>
            <w:r w:rsidR="00ED1E27">
              <w:rPr>
                <w:noProof/>
                <w:webHidden/>
              </w:rPr>
              <w:fldChar w:fldCharType="begin"/>
            </w:r>
            <w:r w:rsidR="00ED1E27">
              <w:rPr>
                <w:noProof/>
                <w:webHidden/>
              </w:rPr>
              <w:instrText xml:space="preserve"> PAGEREF _Toc430091361 \h </w:instrText>
            </w:r>
            <w:r w:rsidR="00ED1E27">
              <w:rPr>
                <w:noProof/>
                <w:webHidden/>
              </w:rPr>
            </w:r>
            <w:r w:rsidR="00ED1E27">
              <w:rPr>
                <w:noProof/>
                <w:webHidden/>
              </w:rPr>
              <w:fldChar w:fldCharType="separate"/>
            </w:r>
            <w:r w:rsidR="004427AD">
              <w:rPr>
                <w:noProof/>
                <w:webHidden/>
              </w:rPr>
              <w:t>187</w:t>
            </w:r>
            <w:r w:rsidR="00ED1E27">
              <w:rPr>
                <w:noProof/>
                <w:webHidden/>
              </w:rPr>
              <w:fldChar w:fldCharType="end"/>
            </w:r>
          </w:hyperlink>
        </w:p>
        <w:p w14:paraId="2E828262"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62" w:history="1">
            <w:r w:rsidR="00ED1E27" w:rsidRPr="0061785B">
              <w:rPr>
                <w:rStyle w:val="Hyperlink"/>
                <w:noProof/>
              </w:rPr>
              <w:t>5.</w:t>
            </w:r>
            <w:r w:rsidR="00ED1E27">
              <w:rPr>
                <w:rFonts w:asciiTheme="minorHAnsi" w:eastAsiaTheme="minorEastAsia" w:hAnsiTheme="minorHAnsi" w:cstheme="minorBidi"/>
                <w:noProof/>
                <w:sz w:val="22"/>
                <w:szCs w:val="22"/>
                <w:lang w:eastAsia="en-AU"/>
              </w:rPr>
              <w:tab/>
            </w:r>
            <w:r w:rsidR="00ED1E27" w:rsidRPr="0061785B">
              <w:rPr>
                <w:rStyle w:val="Hyperlink"/>
                <w:noProof/>
              </w:rPr>
              <w:t>Key sources of estimation uncertainty</w:t>
            </w:r>
            <w:r w:rsidR="00ED1E27">
              <w:rPr>
                <w:noProof/>
                <w:webHidden/>
              </w:rPr>
              <w:tab/>
            </w:r>
            <w:r w:rsidR="00ED1E27">
              <w:rPr>
                <w:noProof/>
                <w:webHidden/>
              </w:rPr>
              <w:fldChar w:fldCharType="begin"/>
            </w:r>
            <w:r w:rsidR="00ED1E27">
              <w:rPr>
                <w:noProof/>
                <w:webHidden/>
              </w:rPr>
              <w:instrText xml:space="preserve"> PAGEREF _Toc430091362 \h </w:instrText>
            </w:r>
            <w:r w:rsidR="00ED1E27">
              <w:rPr>
                <w:noProof/>
                <w:webHidden/>
              </w:rPr>
            </w:r>
            <w:r w:rsidR="00ED1E27">
              <w:rPr>
                <w:noProof/>
                <w:webHidden/>
              </w:rPr>
              <w:fldChar w:fldCharType="separate"/>
            </w:r>
            <w:r w:rsidR="004427AD">
              <w:rPr>
                <w:noProof/>
                <w:webHidden/>
              </w:rPr>
              <w:t>188</w:t>
            </w:r>
            <w:r w:rsidR="00ED1E27">
              <w:rPr>
                <w:noProof/>
                <w:webHidden/>
              </w:rPr>
              <w:fldChar w:fldCharType="end"/>
            </w:r>
          </w:hyperlink>
        </w:p>
        <w:p w14:paraId="5FD0B713"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63" w:history="1">
            <w:r w:rsidR="00ED1E27" w:rsidRPr="0061785B">
              <w:rPr>
                <w:rStyle w:val="Hyperlink"/>
                <w:noProof/>
              </w:rPr>
              <w:t>6.</w:t>
            </w:r>
            <w:r w:rsidR="00ED1E27">
              <w:rPr>
                <w:rFonts w:asciiTheme="minorHAnsi" w:eastAsiaTheme="minorEastAsia" w:hAnsiTheme="minorHAnsi" w:cstheme="minorBidi"/>
                <w:noProof/>
                <w:sz w:val="22"/>
                <w:szCs w:val="22"/>
                <w:lang w:eastAsia="en-AU"/>
              </w:rPr>
              <w:tab/>
            </w:r>
            <w:r w:rsidR="00ED1E27" w:rsidRPr="0061785B">
              <w:rPr>
                <w:rStyle w:val="Hyperlink"/>
                <w:noProof/>
                <w:spacing w:val="-4"/>
                <w:w w:val="95"/>
              </w:rPr>
              <w:t>D</w:t>
            </w:r>
            <w:r w:rsidR="00ED1E27" w:rsidRPr="0061785B">
              <w:rPr>
                <w:rStyle w:val="Hyperlink"/>
                <w:noProof/>
                <w:spacing w:val="-6"/>
                <w:w w:val="95"/>
              </w:rPr>
              <w:t>i</w:t>
            </w:r>
            <w:r w:rsidR="00ED1E27" w:rsidRPr="0061785B">
              <w:rPr>
                <w:rStyle w:val="Hyperlink"/>
                <w:noProof/>
                <w:spacing w:val="-11"/>
                <w:w w:val="95"/>
              </w:rPr>
              <w:t>s</w:t>
            </w:r>
            <w:r w:rsidR="00ED1E27" w:rsidRPr="0061785B">
              <w:rPr>
                <w:rStyle w:val="Hyperlink"/>
                <w:noProof/>
                <w:spacing w:val="-12"/>
                <w:w w:val="95"/>
              </w:rPr>
              <w:t>c</w:t>
            </w:r>
            <w:r w:rsidR="00ED1E27" w:rsidRPr="0061785B">
              <w:rPr>
                <w:rStyle w:val="Hyperlink"/>
                <w:noProof/>
                <w:spacing w:val="-6"/>
                <w:w w:val="95"/>
              </w:rPr>
              <w:t>l</w:t>
            </w:r>
            <w:r w:rsidR="00ED1E27" w:rsidRPr="0061785B">
              <w:rPr>
                <w:rStyle w:val="Hyperlink"/>
                <w:noProof/>
                <w:spacing w:val="-12"/>
                <w:w w:val="95"/>
              </w:rPr>
              <w:t>o</w:t>
            </w:r>
            <w:r w:rsidR="00ED1E27" w:rsidRPr="0061785B">
              <w:rPr>
                <w:rStyle w:val="Hyperlink"/>
                <w:noProof/>
                <w:spacing w:val="-10"/>
                <w:w w:val="95"/>
              </w:rPr>
              <w:t>s</w:t>
            </w:r>
            <w:r w:rsidR="00ED1E27" w:rsidRPr="0061785B">
              <w:rPr>
                <w:rStyle w:val="Hyperlink"/>
                <w:noProof/>
                <w:spacing w:val="-3"/>
                <w:w w:val="95"/>
              </w:rPr>
              <w:t>u</w:t>
            </w:r>
            <w:r w:rsidR="00ED1E27" w:rsidRPr="0061785B">
              <w:rPr>
                <w:rStyle w:val="Hyperlink"/>
                <w:noProof/>
                <w:spacing w:val="-15"/>
                <w:w w:val="95"/>
              </w:rPr>
              <w:t>r</w:t>
            </w:r>
            <w:r w:rsidR="00ED1E27" w:rsidRPr="0061785B">
              <w:rPr>
                <w:rStyle w:val="Hyperlink"/>
                <w:noProof/>
                <w:w w:val="95"/>
              </w:rPr>
              <w:t>e</w:t>
            </w:r>
            <w:r w:rsidR="00ED1E27" w:rsidRPr="0061785B">
              <w:rPr>
                <w:rStyle w:val="Hyperlink"/>
                <w:noProof/>
                <w:spacing w:val="-4"/>
                <w:w w:val="95"/>
              </w:rPr>
              <w:t xml:space="preserve"> </w:t>
            </w:r>
            <w:r w:rsidR="00ED1E27" w:rsidRPr="0061785B">
              <w:rPr>
                <w:rStyle w:val="Hyperlink"/>
                <w:noProof/>
                <w:spacing w:val="-6"/>
                <w:w w:val="95"/>
              </w:rPr>
              <w:t>o</w:t>
            </w:r>
            <w:r w:rsidR="00ED1E27" w:rsidRPr="0061785B">
              <w:rPr>
                <w:rStyle w:val="Hyperlink"/>
                <w:noProof/>
                <w:w w:val="95"/>
              </w:rPr>
              <w:t>f</w:t>
            </w:r>
            <w:r w:rsidR="00ED1E27" w:rsidRPr="0061785B">
              <w:rPr>
                <w:rStyle w:val="Hyperlink"/>
                <w:noProof/>
                <w:spacing w:val="-4"/>
                <w:w w:val="95"/>
              </w:rPr>
              <w:t xml:space="preserve"> </w:t>
            </w:r>
            <w:r w:rsidR="00ED1E27" w:rsidRPr="0061785B">
              <w:rPr>
                <w:rStyle w:val="Hyperlink"/>
                <w:noProof/>
                <w:spacing w:val="-15"/>
                <w:w w:val="95"/>
              </w:rPr>
              <w:t>c</w:t>
            </w:r>
            <w:r w:rsidR="00ED1E27" w:rsidRPr="0061785B">
              <w:rPr>
                <w:rStyle w:val="Hyperlink"/>
                <w:noProof/>
                <w:spacing w:val="-8"/>
                <w:w w:val="95"/>
              </w:rPr>
              <w:t>ha</w:t>
            </w:r>
            <w:r w:rsidR="00ED1E27" w:rsidRPr="0061785B">
              <w:rPr>
                <w:rStyle w:val="Hyperlink"/>
                <w:noProof/>
                <w:spacing w:val="-9"/>
                <w:w w:val="95"/>
              </w:rPr>
              <w:t>ng</w:t>
            </w:r>
            <w:r w:rsidR="00ED1E27" w:rsidRPr="0061785B">
              <w:rPr>
                <w:rStyle w:val="Hyperlink"/>
                <w:noProof/>
                <w:spacing w:val="-11"/>
                <w:w w:val="95"/>
              </w:rPr>
              <w:t>e</w:t>
            </w:r>
            <w:r w:rsidR="00ED1E27" w:rsidRPr="0061785B">
              <w:rPr>
                <w:rStyle w:val="Hyperlink"/>
                <w:noProof/>
                <w:w w:val="95"/>
              </w:rPr>
              <w:t>s</w:t>
            </w:r>
            <w:r w:rsidR="00ED1E27" w:rsidRPr="0061785B">
              <w:rPr>
                <w:rStyle w:val="Hyperlink"/>
                <w:noProof/>
                <w:spacing w:val="-3"/>
                <w:w w:val="95"/>
              </w:rPr>
              <w:t xml:space="preserve"> </w:t>
            </w:r>
            <w:r w:rsidR="00ED1E27" w:rsidRPr="0061785B">
              <w:rPr>
                <w:rStyle w:val="Hyperlink"/>
                <w:noProof/>
                <w:spacing w:val="-5"/>
                <w:w w:val="95"/>
              </w:rPr>
              <w:t>i</w:t>
            </w:r>
            <w:r w:rsidR="00ED1E27" w:rsidRPr="0061785B">
              <w:rPr>
                <w:rStyle w:val="Hyperlink"/>
                <w:noProof/>
                <w:w w:val="95"/>
              </w:rPr>
              <w:t>n</w:t>
            </w:r>
            <w:r w:rsidR="00ED1E27" w:rsidRPr="0061785B">
              <w:rPr>
                <w:rStyle w:val="Hyperlink"/>
                <w:noProof/>
                <w:spacing w:val="-4"/>
                <w:w w:val="95"/>
              </w:rPr>
              <w:t xml:space="preserve"> </w:t>
            </w:r>
            <w:r w:rsidR="00ED1E27" w:rsidRPr="0061785B">
              <w:rPr>
                <w:rStyle w:val="Hyperlink"/>
                <w:noProof/>
                <w:spacing w:val="-9"/>
                <w:w w:val="95"/>
              </w:rPr>
              <w:t>a</w:t>
            </w:r>
            <w:r w:rsidR="00ED1E27" w:rsidRPr="0061785B">
              <w:rPr>
                <w:rStyle w:val="Hyperlink"/>
                <w:noProof/>
                <w:spacing w:val="-19"/>
                <w:w w:val="95"/>
              </w:rPr>
              <w:t>c</w:t>
            </w:r>
            <w:r w:rsidR="00ED1E27" w:rsidRPr="0061785B">
              <w:rPr>
                <w:rStyle w:val="Hyperlink"/>
                <w:noProof/>
                <w:spacing w:val="-18"/>
                <w:w w:val="95"/>
              </w:rPr>
              <w:t>c</w:t>
            </w:r>
            <w:r w:rsidR="00ED1E27" w:rsidRPr="0061785B">
              <w:rPr>
                <w:rStyle w:val="Hyperlink"/>
                <w:noProof/>
                <w:spacing w:val="-11"/>
                <w:w w:val="95"/>
              </w:rPr>
              <w:t>o</w:t>
            </w:r>
            <w:r w:rsidR="00ED1E27" w:rsidRPr="0061785B">
              <w:rPr>
                <w:rStyle w:val="Hyperlink"/>
                <w:noProof/>
                <w:spacing w:val="-9"/>
                <w:w w:val="95"/>
              </w:rPr>
              <w:t>u</w:t>
            </w:r>
            <w:r w:rsidR="00ED1E27" w:rsidRPr="0061785B">
              <w:rPr>
                <w:rStyle w:val="Hyperlink"/>
                <w:noProof/>
                <w:spacing w:val="-8"/>
                <w:w w:val="95"/>
              </w:rPr>
              <w:t>n</w:t>
            </w:r>
            <w:r w:rsidR="00ED1E27" w:rsidRPr="0061785B">
              <w:rPr>
                <w:rStyle w:val="Hyperlink"/>
                <w:noProof/>
                <w:spacing w:val="-4"/>
                <w:w w:val="95"/>
              </w:rPr>
              <w:t>t</w:t>
            </w:r>
            <w:r w:rsidR="00ED1E27" w:rsidRPr="0061785B">
              <w:rPr>
                <w:rStyle w:val="Hyperlink"/>
                <w:noProof/>
                <w:spacing w:val="-5"/>
                <w:w w:val="95"/>
              </w:rPr>
              <w:t>i</w:t>
            </w:r>
            <w:r w:rsidR="00ED1E27" w:rsidRPr="0061785B">
              <w:rPr>
                <w:rStyle w:val="Hyperlink"/>
                <w:noProof/>
                <w:spacing w:val="-9"/>
                <w:w w:val="95"/>
              </w:rPr>
              <w:t>n</w:t>
            </w:r>
            <w:r w:rsidR="00ED1E27" w:rsidRPr="0061785B">
              <w:rPr>
                <w:rStyle w:val="Hyperlink"/>
                <w:noProof/>
                <w:w w:val="95"/>
              </w:rPr>
              <w:t>g</w:t>
            </w:r>
            <w:r w:rsidR="00ED1E27" w:rsidRPr="0061785B">
              <w:rPr>
                <w:rStyle w:val="Hyperlink"/>
                <w:noProof/>
                <w:spacing w:val="-3"/>
                <w:w w:val="95"/>
              </w:rPr>
              <w:t xml:space="preserve"> </w:t>
            </w:r>
            <w:r w:rsidR="00ED1E27" w:rsidRPr="0061785B">
              <w:rPr>
                <w:rStyle w:val="Hyperlink"/>
                <w:noProof/>
                <w:spacing w:val="-9"/>
                <w:w w:val="95"/>
              </w:rPr>
              <w:t>p</w:t>
            </w:r>
            <w:r w:rsidR="00ED1E27" w:rsidRPr="0061785B">
              <w:rPr>
                <w:rStyle w:val="Hyperlink"/>
                <w:noProof/>
                <w:spacing w:val="-6"/>
                <w:w w:val="95"/>
              </w:rPr>
              <w:t>o</w:t>
            </w:r>
            <w:r w:rsidR="00ED1E27" w:rsidRPr="0061785B">
              <w:rPr>
                <w:rStyle w:val="Hyperlink"/>
                <w:noProof/>
                <w:spacing w:val="-3"/>
                <w:w w:val="95"/>
              </w:rPr>
              <w:t>l</w:t>
            </w:r>
            <w:r w:rsidR="00ED1E27" w:rsidRPr="0061785B">
              <w:rPr>
                <w:rStyle w:val="Hyperlink"/>
                <w:noProof/>
                <w:spacing w:val="-7"/>
                <w:w w:val="95"/>
              </w:rPr>
              <w:t>i</w:t>
            </w:r>
            <w:r w:rsidR="00ED1E27" w:rsidRPr="0061785B">
              <w:rPr>
                <w:rStyle w:val="Hyperlink"/>
                <w:noProof/>
                <w:spacing w:val="-12"/>
                <w:w w:val="95"/>
              </w:rPr>
              <w:t>c</w:t>
            </w:r>
            <w:r w:rsidR="00ED1E27" w:rsidRPr="0061785B">
              <w:rPr>
                <w:rStyle w:val="Hyperlink"/>
                <w:noProof/>
                <w:w w:val="95"/>
              </w:rPr>
              <w:t>y</w:t>
            </w:r>
            <w:r w:rsidR="00ED1E27" w:rsidRPr="0061785B">
              <w:rPr>
                <w:rStyle w:val="Hyperlink"/>
                <w:noProof/>
                <w:spacing w:val="-4"/>
                <w:w w:val="95"/>
              </w:rPr>
              <w:t xml:space="preserve"> </w:t>
            </w:r>
            <w:r w:rsidR="00ED1E27" w:rsidRPr="0061785B">
              <w:rPr>
                <w:rStyle w:val="Hyperlink"/>
                <w:noProof/>
                <w:spacing w:val="-8"/>
                <w:w w:val="95"/>
              </w:rPr>
              <w:t>an</w:t>
            </w:r>
            <w:r w:rsidR="00ED1E27" w:rsidRPr="0061785B">
              <w:rPr>
                <w:rStyle w:val="Hyperlink"/>
                <w:noProof/>
                <w:w w:val="95"/>
              </w:rPr>
              <w:t>d</w:t>
            </w:r>
            <w:r w:rsidR="00ED1E27" w:rsidRPr="0061785B">
              <w:rPr>
                <w:rStyle w:val="Hyperlink"/>
                <w:noProof/>
                <w:spacing w:val="-4"/>
                <w:w w:val="95"/>
              </w:rPr>
              <w:t xml:space="preserve"> </w:t>
            </w:r>
            <w:r w:rsidR="00ED1E27" w:rsidRPr="0061785B">
              <w:rPr>
                <w:rStyle w:val="Hyperlink"/>
                <w:noProof/>
                <w:spacing w:val="-11"/>
                <w:w w:val="95"/>
              </w:rPr>
              <w:t>e</w:t>
            </w:r>
            <w:r w:rsidR="00ED1E27" w:rsidRPr="0061785B">
              <w:rPr>
                <w:rStyle w:val="Hyperlink"/>
                <w:noProof/>
                <w:spacing w:val="-6"/>
                <w:w w:val="95"/>
              </w:rPr>
              <w:t>s</w:t>
            </w:r>
            <w:r w:rsidR="00ED1E27" w:rsidRPr="0061785B">
              <w:rPr>
                <w:rStyle w:val="Hyperlink"/>
                <w:noProof/>
                <w:spacing w:val="-4"/>
                <w:w w:val="95"/>
              </w:rPr>
              <w:t>t</w:t>
            </w:r>
            <w:r w:rsidR="00ED1E27" w:rsidRPr="0061785B">
              <w:rPr>
                <w:rStyle w:val="Hyperlink"/>
                <w:noProof/>
                <w:spacing w:val="-5"/>
                <w:w w:val="95"/>
              </w:rPr>
              <w:t>i</w:t>
            </w:r>
            <w:r w:rsidR="00ED1E27" w:rsidRPr="0061785B">
              <w:rPr>
                <w:rStyle w:val="Hyperlink"/>
                <w:noProof/>
                <w:spacing w:val="-8"/>
                <w:w w:val="95"/>
              </w:rPr>
              <w:t>m</w:t>
            </w:r>
            <w:r w:rsidR="00ED1E27" w:rsidRPr="0061785B">
              <w:rPr>
                <w:rStyle w:val="Hyperlink"/>
                <w:noProof/>
                <w:spacing w:val="-6"/>
                <w:w w:val="95"/>
              </w:rPr>
              <w:t>a</w:t>
            </w:r>
            <w:r w:rsidR="00ED1E27" w:rsidRPr="0061785B">
              <w:rPr>
                <w:rStyle w:val="Hyperlink"/>
                <w:noProof/>
                <w:spacing w:val="-9"/>
                <w:w w:val="95"/>
              </w:rPr>
              <w:t>t</w:t>
            </w:r>
            <w:r w:rsidR="00ED1E27" w:rsidRPr="0061785B">
              <w:rPr>
                <w:rStyle w:val="Hyperlink"/>
                <w:noProof/>
                <w:spacing w:val="-11"/>
                <w:w w:val="95"/>
              </w:rPr>
              <w:t>e</w:t>
            </w:r>
            <w:r w:rsidR="00ED1E27" w:rsidRPr="0061785B">
              <w:rPr>
                <w:rStyle w:val="Hyperlink"/>
                <w:noProof/>
                <w:w w:val="95"/>
              </w:rPr>
              <w:t>s</w:t>
            </w:r>
            <w:r w:rsidR="00ED1E27">
              <w:rPr>
                <w:noProof/>
                <w:webHidden/>
              </w:rPr>
              <w:tab/>
            </w:r>
            <w:r w:rsidR="00ED1E27">
              <w:rPr>
                <w:noProof/>
                <w:webHidden/>
              </w:rPr>
              <w:fldChar w:fldCharType="begin"/>
            </w:r>
            <w:r w:rsidR="00ED1E27">
              <w:rPr>
                <w:noProof/>
                <w:webHidden/>
              </w:rPr>
              <w:instrText xml:space="preserve"> PAGEREF _Toc430091363 \h </w:instrText>
            </w:r>
            <w:r w:rsidR="00ED1E27">
              <w:rPr>
                <w:noProof/>
                <w:webHidden/>
              </w:rPr>
            </w:r>
            <w:r w:rsidR="00ED1E27">
              <w:rPr>
                <w:noProof/>
                <w:webHidden/>
              </w:rPr>
              <w:fldChar w:fldCharType="separate"/>
            </w:r>
            <w:r w:rsidR="004427AD">
              <w:rPr>
                <w:noProof/>
                <w:webHidden/>
              </w:rPr>
              <w:t>189</w:t>
            </w:r>
            <w:r w:rsidR="00ED1E27">
              <w:rPr>
                <w:noProof/>
                <w:webHidden/>
              </w:rPr>
              <w:fldChar w:fldCharType="end"/>
            </w:r>
          </w:hyperlink>
        </w:p>
        <w:p w14:paraId="650C4D0F"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64" w:history="1">
            <w:r w:rsidR="00ED1E27" w:rsidRPr="0061785B">
              <w:rPr>
                <w:rStyle w:val="Hyperlink"/>
                <w:noProof/>
              </w:rPr>
              <w:t>7.</w:t>
            </w:r>
            <w:r w:rsidR="00ED1E27">
              <w:rPr>
                <w:rFonts w:asciiTheme="minorHAnsi" w:eastAsiaTheme="minorEastAsia" w:hAnsiTheme="minorHAnsi" w:cstheme="minorBidi"/>
                <w:noProof/>
                <w:sz w:val="22"/>
                <w:szCs w:val="22"/>
                <w:lang w:eastAsia="en-AU"/>
              </w:rPr>
              <w:tab/>
            </w:r>
            <w:r w:rsidR="00ED1E27" w:rsidRPr="0061785B">
              <w:rPr>
                <w:rStyle w:val="Hyperlink"/>
                <w:noProof/>
              </w:rPr>
              <w:t>Interest revenue</w:t>
            </w:r>
            <w:r w:rsidR="00ED1E27">
              <w:rPr>
                <w:noProof/>
                <w:webHidden/>
              </w:rPr>
              <w:tab/>
            </w:r>
            <w:r w:rsidR="00ED1E27">
              <w:rPr>
                <w:noProof/>
                <w:webHidden/>
              </w:rPr>
              <w:fldChar w:fldCharType="begin"/>
            </w:r>
            <w:r w:rsidR="00ED1E27">
              <w:rPr>
                <w:noProof/>
                <w:webHidden/>
              </w:rPr>
              <w:instrText xml:space="preserve"> PAGEREF _Toc430091364 \h </w:instrText>
            </w:r>
            <w:r w:rsidR="00ED1E27">
              <w:rPr>
                <w:noProof/>
                <w:webHidden/>
              </w:rPr>
            </w:r>
            <w:r w:rsidR="00ED1E27">
              <w:rPr>
                <w:noProof/>
                <w:webHidden/>
              </w:rPr>
              <w:fldChar w:fldCharType="separate"/>
            </w:r>
            <w:r w:rsidR="004427AD">
              <w:rPr>
                <w:noProof/>
                <w:webHidden/>
              </w:rPr>
              <w:t>198</w:t>
            </w:r>
            <w:r w:rsidR="00ED1E27">
              <w:rPr>
                <w:noProof/>
                <w:webHidden/>
              </w:rPr>
              <w:fldChar w:fldCharType="end"/>
            </w:r>
          </w:hyperlink>
        </w:p>
        <w:p w14:paraId="23F52DA4"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65" w:history="1">
            <w:r w:rsidR="00ED1E27" w:rsidRPr="0061785B">
              <w:rPr>
                <w:rStyle w:val="Hyperlink"/>
                <w:noProof/>
              </w:rPr>
              <w:t>8.</w:t>
            </w:r>
            <w:r w:rsidR="00ED1E27">
              <w:rPr>
                <w:rFonts w:asciiTheme="minorHAnsi" w:eastAsiaTheme="minorEastAsia" w:hAnsiTheme="minorHAnsi" w:cstheme="minorBidi"/>
                <w:noProof/>
                <w:sz w:val="22"/>
                <w:szCs w:val="22"/>
                <w:lang w:eastAsia="en-AU"/>
              </w:rPr>
              <w:tab/>
            </w:r>
            <w:r w:rsidR="00ED1E27" w:rsidRPr="0061785B">
              <w:rPr>
                <w:rStyle w:val="Hyperlink"/>
                <w:noProof/>
              </w:rPr>
              <w:t>Other revenue</w:t>
            </w:r>
            <w:r w:rsidR="00ED1E27">
              <w:rPr>
                <w:noProof/>
                <w:webHidden/>
              </w:rPr>
              <w:tab/>
            </w:r>
            <w:r w:rsidR="00ED1E27">
              <w:rPr>
                <w:noProof/>
                <w:webHidden/>
              </w:rPr>
              <w:fldChar w:fldCharType="begin"/>
            </w:r>
            <w:r w:rsidR="00ED1E27">
              <w:rPr>
                <w:noProof/>
                <w:webHidden/>
              </w:rPr>
              <w:instrText xml:space="preserve"> PAGEREF _Toc430091365 \h </w:instrText>
            </w:r>
            <w:r w:rsidR="00ED1E27">
              <w:rPr>
                <w:noProof/>
                <w:webHidden/>
              </w:rPr>
            </w:r>
            <w:r w:rsidR="00ED1E27">
              <w:rPr>
                <w:noProof/>
                <w:webHidden/>
              </w:rPr>
              <w:fldChar w:fldCharType="separate"/>
            </w:r>
            <w:r w:rsidR="004427AD">
              <w:rPr>
                <w:noProof/>
                <w:webHidden/>
              </w:rPr>
              <w:t>198</w:t>
            </w:r>
            <w:r w:rsidR="00ED1E27">
              <w:rPr>
                <w:noProof/>
                <w:webHidden/>
              </w:rPr>
              <w:fldChar w:fldCharType="end"/>
            </w:r>
          </w:hyperlink>
        </w:p>
        <w:p w14:paraId="0FE4A35B"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66" w:history="1">
            <w:r w:rsidR="00ED1E27" w:rsidRPr="0061785B">
              <w:rPr>
                <w:rStyle w:val="Hyperlink"/>
                <w:noProof/>
              </w:rPr>
              <w:t>9.</w:t>
            </w:r>
            <w:r w:rsidR="00ED1E27">
              <w:rPr>
                <w:rFonts w:asciiTheme="minorHAnsi" w:eastAsiaTheme="minorEastAsia" w:hAnsiTheme="minorHAnsi" w:cstheme="minorBidi"/>
                <w:noProof/>
                <w:sz w:val="22"/>
                <w:szCs w:val="22"/>
                <w:lang w:eastAsia="en-AU"/>
              </w:rPr>
              <w:tab/>
            </w:r>
            <w:r w:rsidR="00ED1E27" w:rsidRPr="0061785B">
              <w:rPr>
                <w:rStyle w:val="Hyperlink"/>
                <w:noProof/>
              </w:rPr>
              <w:t>Employers’ Indemnity Supplementation Fund</w:t>
            </w:r>
            <w:r w:rsidR="00ED1E27">
              <w:rPr>
                <w:noProof/>
                <w:webHidden/>
              </w:rPr>
              <w:tab/>
            </w:r>
            <w:r w:rsidR="00ED1E27">
              <w:rPr>
                <w:noProof/>
                <w:webHidden/>
              </w:rPr>
              <w:fldChar w:fldCharType="begin"/>
            </w:r>
            <w:r w:rsidR="00ED1E27">
              <w:rPr>
                <w:noProof/>
                <w:webHidden/>
              </w:rPr>
              <w:instrText xml:space="preserve"> PAGEREF _Toc430091366 \h </w:instrText>
            </w:r>
            <w:r w:rsidR="00ED1E27">
              <w:rPr>
                <w:noProof/>
                <w:webHidden/>
              </w:rPr>
            </w:r>
            <w:r w:rsidR="00ED1E27">
              <w:rPr>
                <w:noProof/>
                <w:webHidden/>
              </w:rPr>
              <w:fldChar w:fldCharType="separate"/>
            </w:r>
            <w:r w:rsidR="004427AD">
              <w:rPr>
                <w:noProof/>
                <w:webHidden/>
              </w:rPr>
              <w:t>198</w:t>
            </w:r>
            <w:r w:rsidR="00ED1E27">
              <w:rPr>
                <w:noProof/>
                <w:webHidden/>
              </w:rPr>
              <w:fldChar w:fldCharType="end"/>
            </w:r>
          </w:hyperlink>
        </w:p>
        <w:p w14:paraId="515B8511"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67" w:history="1">
            <w:r w:rsidR="00ED1E27" w:rsidRPr="0061785B">
              <w:rPr>
                <w:rStyle w:val="Hyperlink"/>
                <w:noProof/>
              </w:rPr>
              <w:t>10.</w:t>
            </w:r>
            <w:r w:rsidR="00ED1E27">
              <w:rPr>
                <w:rFonts w:asciiTheme="minorHAnsi" w:eastAsiaTheme="minorEastAsia" w:hAnsiTheme="minorHAnsi" w:cstheme="minorBidi"/>
                <w:noProof/>
                <w:sz w:val="22"/>
                <w:szCs w:val="22"/>
                <w:lang w:eastAsia="en-AU"/>
              </w:rPr>
              <w:tab/>
            </w:r>
            <w:r w:rsidR="00ED1E27" w:rsidRPr="0061785B">
              <w:rPr>
                <w:rStyle w:val="Hyperlink"/>
                <w:noProof/>
              </w:rPr>
              <w:t>Claims Expenses</w:t>
            </w:r>
            <w:r w:rsidR="00ED1E27">
              <w:rPr>
                <w:noProof/>
                <w:webHidden/>
              </w:rPr>
              <w:tab/>
            </w:r>
            <w:r w:rsidR="00ED1E27">
              <w:rPr>
                <w:noProof/>
                <w:webHidden/>
              </w:rPr>
              <w:fldChar w:fldCharType="begin"/>
            </w:r>
            <w:r w:rsidR="00ED1E27">
              <w:rPr>
                <w:noProof/>
                <w:webHidden/>
              </w:rPr>
              <w:instrText xml:space="preserve"> PAGEREF _Toc430091367 \h </w:instrText>
            </w:r>
            <w:r w:rsidR="00ED1E27">
              <w:rPr>
                <w:noProof/>
                <w:webHidden/>
              </w:rPr>
            </w:r>
            <w:r w:rsidR="00ED1E27">
              <w:rPr>
                <w:noProof/>
                <w:webHidden/>
              </w:rPr>
              <w:fldChar w:fldCharType="separate"/>
            </w:r>
            <w:r w:rsidR="004427AD">
              <w:rPr>
                <w:noProof/>
                <w:webHidden/>
              </w:rPr>
              <w:t>199</w:t>
            </w:r>
            <w:r w:rsidR="00ED1E27">
              <w:rPr>
                <w:noProof/>
                <w:webHidden/>
              </w:rPr>
              <w:fldChar w:fldCharType="end"/>
            </w:r>
          </w:hyperlink>
        </w:p>
        <w:p w14:paraId="3F0CC10E"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68" w:history="1">
            <w:r w:rsidR="00ED1E27" w:rsidRPr="0061785B">
              <w:rPr>
                <w:rStyle w:val="Hyperlink"/>
                <w:noProof/>
              </w:rPr>
              <w:t>11.</w:t>
            </w:r>
            <w:r w:rsidR="00ED1E27">
              <w:rPr>
                <w:rFonts w:asciiTheme="minorHAnsi" w:eastAsiaTheme="minorEastAsia" w:hAnsiTheme="minorHAnsi" w:cstheme="minorBidi"/>
                <w:noProof/>
                <w:sz w:val="22"/>
                <w:szCs w:val="22"/>
                <w:lang w:eastAsia="en-AU"/>
              </w:rPr>
              <w:tab/>
            </w:r>
            <w:r w:rsidR="00ED1E27" w:rsidRPr="0061785B">
              <w:rPr>
                <w:rStyle w:val="Hyperlink"/>
                <w:noProof/>
              </w:rPr>
              <w:t>Net gain/(loss) on disposal of non-current assets</w:t>
            </w:r>
            <w:r w:rsidR="00ED1E27">
              <w:rPr>
                <w:noProof/>
                <w:webHidden/>
              </w:rPr>
              <w:tab/>
            </w:r>
            <w:r w:rsidR="00ED1E27">
              <w:rPr>
                <w:noProof/>
                <w:webHidden/>
              </w:rPr>
              <w:fldChar w:fldCharType="begin"/>
            </w:r>
            <w:r w:rsidR="00ED1E27">
              <w:rPr>
                <w:noProof/>
                <w:webHidden/>
              </w:rPr>
              <w:instrText xml:space="preserve"> PAGEREF _Toc430091368 \h </w:instrText>
            </w:r>
            <w:r w:rsidR="00ED1E27">
              <w:rPr>
                <w:noProof/>
                <w:webHidden/>
              </w:rPr>
            </w:r>
            <w:r w:rsidR="00ED1E27">
              <w:rPr>
                <w:noProof/>
                <w:webHidden/>
              </w:rPr>
              <w:fldChar w:fldCharType="separate"/>
            </w:r>
            <w:r w:rsidR="004427AD">
              <w:rPr>
                <w:noProof/>
                <w:webHidden/>
              </w:rPr>
              <w:t>199</w:t>
            </w:r>
            <w:r w:rsidR="00ED1E27">
              <w:rPr>
                <w:noProof/>
                <w:webHidden/>
              </w:rPr>
              <w:fldChar w:fldCharType="end"/>
            </w:r>
          </w:hyperlink>
        </w:p>
        <w:p w14:paraId="675714CB"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69" w:history="1">
            <w:r w:rsidR="00ED1E27" w:rsidRPr="0061785B">
              <w:rPr>
                <w:rStyle w:val="Hyperlink"/>
                <w:noProof/>
              </w:rPr>
              <w:t>12.</w:t>
            </w:r>
            <w:r w:rsidR="00ED1E27">
              <w:rPr>
                <w:rFonts w:asciiTheme="minorHAnsi" w:eastAsiaTheme="minorEastAsia" w:hAnsiTheme="minorHAnsi" w:cstheme="minorBidi"/>
                <w:noProof/>
                <w:sz w:val="22"/>
                <w:szCs w:val="22"/>
                <w:lang w:eastAsia="en-AU"/>
              </w:rPr>
              <w:tab/>
            </w:r>
            <w:r w:rsidR="00ED1E27" w:rsidRPr="0061785B">
              <w:rPr>
                <w:rStyle w:val="Hyperlink"/>
                <w:noProof/>
              </w:rPr>
              <w:t>Employee benefits experience</w:t>
            </w:r>
            <w:r w:rsidR="00ED1E27">
              <w:rPr>
                <w:noProof/>
                <w:webHidden/>
              </w:rPr>
              <w:tab/>
            </w:r>
            <w:r w:rsidR="00ED1E27">
              <w:rPr>
                <w:noProof/>
                <w:webHidden/>
              </w:rPr>
              <w:fldChar w:fldCharType="begin"/>
            </w:r>
            <w:r w:rsidR="00ED1E27">
              <w:rPr>
                <w:noProof/>
                <w:webHidden/>
              </w:rPr>
              <w:instrText xml:space="preserve"> PAGEREF _Toc430091369 \h </w:instrText>
            </w:r>
            <w:r w:rsidR="00ED1E27">
              <w:rPr>
                <w:noProof/>
                <w:webHidden/>
              </w:rPr>
            </w:r>
            <w:r w:rsidR="00ED1E27">
              <w:rPr>
                <w:noProof/>
                <w:webHidden/>
              </w:rPr>
              <w:fldChar w:fldCharType="separate"/>
            </w:r>
            <w:r w:rsidR="004427AD">
              <w:rPr>
                <w:noProof/>
                <w:webHidden/>
              </w:rPr>
              <w:t>200</w:t>
            </w:r>
            <w:r w:rsidR="00ED1E27">
              <w:rPr>
                <w:noProof/>
                <w:webHidden/>
              </w:rPr>
              <w:fldChar w:fldCharType="end"/>
            </w:r>
          </w:hyperlink>
        </w:p>
        <w:p w14:paraId="12C5A05E"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70" w:history="1">
            <w:r w:rsidR="00ED1E27" w:rsidRPr="0061785B">
              <w:rPr>
                <w:rStyle w:val="Hyperlink"/>
                <w:noProof/>
              </w:rPr>
              <w:t>13.</w:t>
            </w:r>
            <w:r w:rsidR="00ED1E27">
              <w:rPr>
                <w:rFonts w:asciiTheme="minorHAnsi" w:eastAsiaTheme="minorEastAsia" w:hAnsiTheme="minorHAnsi" w:cstheme="minorBidi"/>
                <w:noProof/>
                <w:sz w:val="22"/>
                <w:szCs w:val="22"/>
                <w:lang w:eastAsia="en-AU"/>
              </w:rPr>
              <w:tab/>
            </w:r>
            <w:r w:rsidR="00ED1E27" w:rsidRPr="0061785B">
              <w:rPr>
                <w:rStyle w:val="Hyperlink"/>
                <w:noProof/>
              </w:rPr>
              <w:t>Supplies and services</w:t>
            </w:r>
            <w:r w:rsidR="00ED1E27">
              <w:rPr>
                <w:noProof/>
                <w:webHidden/>
              </w:rPr>
              <w:tab/>
            </w:r>
            <w:r w:rsidR="00ED1E27">
              <w:rPr>
                <w:noProof/>
                <w:webHidden/>
              </w:rPr>
              <w:fldChar w:fldCharType="begin"/>
            </w:r>
            <w:r w:rsidR="00ED1E27">
              <w:rPr>
                <w:noProof/>
                <w:webHidden/>
              </w:rPr>
              <w:instrText xml:space="preserve"> PAGEREF _Toc430091370 \h </w:instrText>
            </w:r>
            <w:r w:rsidR="00ED1E27">
              <w:rPr>
                <w:noProof/>
                <w:webHidden/>
              </w:rPr>
            </w:r>
            <w:r w:rsidR="00ED1E27">
              <w:rPr>
                <w:noProof/>
                <w:webHidden/>
              </w:rPr>
              <w:fldChar w:fldCharType="separate"/>
            </w:r>
            <w:r w:rsidR="004427AD">
              <w:rPr>
                <w:noProof/>
                <w:webHidden/>
              </w:rPr>
              <w:t>201</w:t>
            </w:r>
            <w:r w:rsidR="00ED1E27">
              <w:rPr>
                <w:noProof/>
                <w:webHidden/>
              </w:rPr>
              <w:fldChar w:fldCharType="end"/>
            </w:r>
          </w:hyperlink>
        </w:p>
        <w:p w14:paraId="42A5E9D9"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71" w:history="1">
            <w:r w:rsidR="00ED1E27" w:rsidRPr="0061785B">
              <w:rPr>
                <w:rStyle w:val="Hyperlink"/>
                <w:noProof/>
              </w:rPr>
              <w:t>14.</w:t>
            </w:r>
            <w:r w:rsidR="00ED1E27">
              <w:rPr>
                <w:rFonts w:asciiTheme="minorHAnsi" w:eastAsiaTheme="minorEastAsia" w:hAnsiTheme="minorHAnsi" w:cstheme="minorBidi"/>
                <w:noProof/>
                <w:sz w:val="22"/>
                <w:szCs w:val="22"/>
                <w:lang w:eastAsia="en-AU"/>
              </w:rPr>
              <w:tab/>
            </w:r>
            <w:r w:rsidR="00ED1E27" w:rsidRPr="0061785B">
              <w:rPr>
                <w:rStyle w:val="Hyperlink"/>
                <w:noProof/>
              </w:rPr>
              <w:t>Depreciation and amortisation expense</w:t>
            </w:r>
            <w:r w:rsidR="00ED1E27">
              <w:rPr>
                <w:noProof/>
                <w:webHidden/>
              </w:rPr>
              <w:tab/>
            </w:r>
            <w:r w:rsidR="00ED1E27">
              <w:rPr>
                <w:noProof/>
                <w:webHidden/>
              </w:rPr>
              <w:fldChar w:fldCharType="begin"/>
            </w:r>
            <w:r w:rsidR="00ED1E27">
              <w:rPr>
                <w:noProof/>
                <w:webHidden/>
              </w:rPr>
              <w:instrText xml:space="preserve"> PAGEREF _Toc430091371 \h </w:instrText>
            </w:r>
            <w:r w:rsidR="00ED1E27">
              <w:rPr>
                <w:noProof/>
                <w:webHidden/>
              </w:rPr>
            </w:r>
            <w:r w:rsidR="00ED1E27">
              <w:rPr>
                <w:noProof/>
                <w:webHidden/>
              </w:rPr>
              <w:fldChar w:fldCharType="separate"/>
            </w:r>
            <w:r w:rsidR="004427AD">
              <w:rPr>
                <w:noProof/>
                <w:webHidden/>
              </w:rPr>
              <w:t>201</w:t>
            </w:r>
            <w:r w:rsidR="00ED1E27">
              <w:rPr>
                <w:noProof/>
                <w:webHidden/>
              </w:rPr>
              <w:fldChar w:fldCharType="end"/>
            </w:r>
          </w:hyperlink>
        </w:p>
        <w:p w14:paraId="72091068"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72" w:history="1">
            <w:r w:rsidR="00ED1E27" w:rsidRPr="0061785B">
              <w:rPr>
                <w:rStyle w:val="Hyperlink"/>
                <w:noProof/>
              </w:rPr>
              <w:t>15.</w:t>
            </w:r>
            <w:r w:rsidR="00ED1E27">
              <w:rPr>
                <w:rFonts w:asciiTheme="minorHAnsi" w:eastAsiaTheme="minorEastAsia" w:hAnsiTheme="minorHAnsi" w:cstheme="minorBidi"/>
                <w:noProof/>
                <w:sz w:val="22"/>
                <w:szCs w:val="22"/>
                <w:lang w:eastAsia="en-AU"/>
              </w:rPr>
              <w:tab/>
            </w:r>
            <w:r w:rsidR="00ED1E27" w:rsidRPr="0061785B">
              <w:rPr>
                <w:rStyle w:val="Hyperlink"/>
                <w:noProof/>
              </w:rPr>
              <w:t>Accommodation expenses</w:t>
            </w:r>
            <w:r w:rsidR="00ED1E27">
              <w:rPr>
                <w:noProof/>
                <w:webHidden/>
              </w:rPr>
              <w:tab/>
            </w:r>
            <w:r w:rsidR="00ED1E27">
              <w:rPr>
                <w:noProof/>
                <w:webHidden/>
              </w:rPr>
              <w:fldChar w:fldCharType="begin"/>
            </w:r>
            <w:r w:rsidR="00ED1E27">
              <w:rPr>
                <w:noProof/>
                <w:webHidden/>
              </w:rPr>
              <w:instrText xml:space="preserve"> PAGEREF _Toc430091372 \h </w:instrText>
            </w:r>
            <w:r w:rsidR="00ED1E27">
              <w:rPr>
                <w:noProof/>
                <w:webHidden/>
              </w:rPr>
            </w:r>
            <w:r w:rsidR="00ED1E27">
              <w:rPr>
                <w:noProof/>
                <w:webHidden/>
              </w:rPr>
              <w:fldChar w:fldCharType="separate"/>
            </w:r>
            <w:r w:rsidR="004427AD">
              <w:rPr>
                <w:noProof/>
                <w:webHidden/>
              </w:rPr>
              <w:t>202</w:t>
            </w:r>
            <w:r w:rsidR="00ED1E27">
              <w:rPr>
                <w:noProof/>
                <w:webHidden/>
              </w:rPr>
              <w:fldChar w:fldCharType="end"/>
            </w:r>
          </w:hyperlink>
        </w:p>
        <w:p w14:paraId="60C7592B"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73" w:history="1">
            <w:r w:rsidR="00ED1E27" w:rsidRPr="0061785B">
              <w:rPr>
                <w:rStyle w:val="Hyperlink"/>
                <w:noProof/>
              </w:rPr>
              <w:t>16.</w:t>
            </w:r>
            <w:r w:rsidR="00ED1E27">
              <w:rPr>
                <w:rFonts w:asciiTheme="minorHAnsi" w:eastAsiaTheme="minorEastAsia" w:hAnsiTheme="minorHAnsi" w:cstheme="minorBidi"/>
                <w:noProof/>
                <w:sz w:val="22"/>
                <w:szCs w:val="22"/>
                <w:lang w:eastAsia="en-AU"/>
              </w:rPr>
              <w:tab/>
            </w:r>
            <w:r w:rsidR="00ED1E27" w:rsidRPr="0061785B">
              <w:rPr>
                <w:rStyle w:val="Hyperlink"/>
                <w:noProof/>
              </w:rPr>
              <w:t>Other expenses</w:t>
            </w:r>
            <w:r w:rsidR="00ED1E27">
              <w:rPr>
                <w:noProof/>
                <w:webHidden/>
              </w:rPr>
              <w:tab/>
            </w:r>
            <w:r w:rsidR="00ED1E27">
              <w:rPr>
                <w:noProof/>
                <w:webHidden/>
              </w:rPr>
              <w:fldChar w:fldCharType="begin"/>
            </w:r>
            <w:r w:rsidR="00ED1E27">
              <w:rPr>
                <w:noProof/>
                <w:webHidden/>
              </w:rPr>
              <w:instrText xml:space="preserve"> PAGEREF _Toc430091373 \h </w:instrText>
            </w:r>
            <w:r w:rsidR="00ED1E27">
              <w:rPr>
                <w:noProof/>
                <w:webHidden/>
              </w:rPr>
            </w:r>
            <w:r w:rsidR="00ED1E27">
              <w:rPr>
                <w:noProof/>
                <w:webHidden/>
              </w:rPr>
              <w:fldChar w:fldCharType="separate"/>
            </w:r>
            <w:r w:rsidR="004427AD">
              <w:rPr>
                <w:noProof/>
                <w:webHidden/>
              </w:rPr>
              <w:t>202</w:t>
            </w:r>
            <w:r w:rsidR="00ED1E27">
              <w:rPr>
                <w:noProof/>
                <w:webHidden/>
              </w:rPr>
              <w:fldChar w:fldCharType="end"/>
            </w:r>
          </w:hyperlink>
        </w:p>
        <w:p w14:paraId="5AB4BC55"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74" w:history="1">
            <w:r w:rsidR="00ED1E27" w:rsidRPr="0061785B">
              <w:rPr>
                <w:rStyle w:val="Hyperlink"/>
                <w:noProof/>
              </w:rPr>
              <w:t>17.</w:t>
            </w:r>
            <w:r w:rsidR="00ED1E27">
              <w:rPr>
                <w:rFonts w:asciiTheme="minorHAnsi" w:eastAsiaTheme="minorEastAsia" w:hAnsiTheme="minorHAnsi" w:cstheme="minorBidi"/>
                <w:noProof/>
                <w:sz w:val="22"/>
                <w:szCs w:val="22"/>
                <w:lang w:eastAsia="en-AU"/>
              </w:rPr>
              <w:tab/>
            </w:r>
            <w:r w:rsidR="00ED1E27" w:rsidRPr="0061785B">
              <w:rPr>
                <w:rStyle w:val="Hyperlink"/>
                <w:noProof/>
              </w:rPr>
              <w:t>Services received free of charge</w:t>
            </w:r>
            <w:r w:rsidR="00ED1E27">
              <w:rPr>
                <w:noProof/>
                <w:webHidden/>
              </w:rPr>
              <w:tab/>
            </w:r>
            <w:r w:rsidR="00ED1E27">
              <w:rPr>
                <w:noProof/>
                <w:webHidden/>
              </w:rPr>
              <w:fldChar w:fldCharType="begin"/>
            </w:r>
            <w:r w:rsidR="00ED1E27">
              <w:rPr>
                <w:noProof/>
                <w:webHidden/>
              </w:rPr>
              <w:instrText xml:space="preserve"> PAGEREF _Toc430091374 \h </w:instrText>
            </w:r>
            <w:r w:rsidR="00ED1E27">
              <w:rPr>
                <w:noProof/>
                <w:webHidden/>
              </w:rPr>
            </w:r>
            <w:r w:rsidR="00ED1E27">
              <w:rPr>
                <w:noProof/>
                <w:webHidden/>
              </w:rPr>
              <w:fldChar w:fldCharType="separate"/>
            </w:r>
            <w:r w:rsidR="004427AD">
              <w:rPr>
                <w:noProof/>
                <w:webHidden/>
              </w:rPr>
              <w:t>203</w:t>
            </w:r>
            <w:r w:rsidR="00ED1E27">
              <w:rPr>
                <w:noProof/>
                <w:webHidden/>
              </w:rPr>
              <w:fldChar w:fldCharType="end"/>
            </w:r>
          </w:hyperlink>
        </w:p>
        <w:p w14:paraId="62A9F06E"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75" w:history="1">
            <w:r w:rsidR="00ED1E27" w:rsidRPr="0061785B">
              <w:rPr>
                <w:rStyle w:val="Hyperlink"/>
                <w:noProof/>
              </w:rPr>
              <w:t>18.</w:t>
            </w:r>
            <w:r w:rsidR="00ED1E27">
              <w:rPr>
                <w:rFonts w:asciiTheme="minorHAnsi" w:eastAsiaTheme="minorEastAsia" w:hAnsiTheme="minorHAnsi" w:cstheme="minorBidi"/>
                <w:noProof/>
                <w:sz w:val="22"/>
                <w:szCs w:val="22"/>
                <w:lang w:eastAsia="en-AU"/>
              </w:rPr>
              <w:tab/>
            </w:r>
            <w:r w:rsidR="00ED1E27" w:rsidRPr="0061785B">
              <w:rPr>
                <w:rStyle w:val="Hyperlink"/>
                <w:noProof/>
              </w:rPr>
              <w:t>Cash and cash equivalents</w:t>
            </w:r>
            <w:r w:rsidR="00ED1E27">
              <w:rPr>
                <w:noProof/>
                <w:webHidden/>
              </w:rPr>
              <w:tab/>
            </w:r>
            <w:r w:rsidR="00ED1E27">
              <w:rPr>
                <w:noProof/>
                <w:webHidden/>
              </w:rPr>
              <w:fldChar w:fldCharType="begin"/>
            </w:r>
            <w:r w:rsidR="00ED1E27">
              <w:rPr>
                <w:noProof/>
                <w:webHidden/>
              </w:rPr>
              <w:instrText xml:space="preserve"> PAGEREF _Toc430091375 \h </w:instrText>
            </w:r>
            <w:r w:rsidR="00ED1E27">
              <w:rPr>
                <w:noProof/>
                <w:webHidden/>
              </w:rPr>
            </w:r>
            <w:r w:rsidR="00ED1E27">
              <w:rPr>
                <w:noProof/>
                <w:webHidden/>
              </w:rPr>
              <w:fldChar w:fldCharType="separate"/>
            </w:r>
            <w:r w:rsidR="004427AD">
              <w:rPr>
                <w:noProof/>
                <w:webHidden/>
              </w:rPr>
              <w:t>203</w:t>
            </w:r>
            <w:r w:rsidR="00ED1E27">
              <w:rPr>
                <w:noProof/>
                <w:webHidden/>
              </w:rPr>
              <w:fldChar w:fldCharType="end"/>
            </w:r>
          </w:hyperlink>
        </w:p>
        <w:p w14:paraId="2C7986DA"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76" w:history="1">
            <w:r w:rsidR="00ED1E27" w:rsidRPr="0061785B">
              <w:rPr>
                <w:rStyle w:val="Hyperlink"/>
                <w:noProof/>
              </w:rPr>
              <w:t>19.</w:t>
            </w:r>
            <w:r w:rsidR="00ED1E27">
              <w:rPr>
                <w:rFonts w:asciiTheme="minorHAnsi" w:eastAsiaTheme="minorEastAsia" w:hAnsiTheme="minorHAnsi" w:cstheme="minorBidi"/>
                <w:noProof/>
                <w:sz w:val="22"/>
                <w:szCs w:val="22"/>
                <w:lang w:eastAsia="en-AU"/>
              </w:rPr>
              <w:tab/>
            </w:r>
            <w:r w:rsidR="00ED1E27" w:rsidRPr="0061785B">
              <w:rPr>
                <w:rStyle w:val="Hyperlink"/>
                <w:noProof/>
              </w:rPr>
              <w:t>Restricted cash and cash equivalents</w:t>
            </w:r>
            <w:r w:rsidR="00ED1E27">
              <w:rPr>
                <w:noProof/>
                <w:webHidden/>
              </w:rPr>
              <w:tab/>
            </w:r>
            <w:r w:rsidR="00ED1E27">
              <w:rPr>
                <w:noProof/>
                <w:webHidden/>
              </w:rPr>
              <w:fldChar w:fldCharType="begin"/>
            </w:r>
            <w:r w:rsidR="00ED1E27">
              <w:rPr>
                <w:noProof/>
                <w:webHidden/>
              </w:rPr>
              <w:instrText xml:space="preserve"> PAGEREF _Toc430091376 \h </w:instrText>
            </w:r>
            <w:r w:rsidR="00ED1E27">
              <w:rPr>
                <w:noProof/>
                <w:webHidden/>
              </w:rPr>
            </w:r>
            <w:r w:rsidR="00ED1E27">
              <w:rPr>
                <w:noProof/>
                <w:webHidden/>
              </w:rPr>
              <w:fldChar w:fldCharType="separate"/>
            </w:r>
            <w:r w:rsidR="004427AD">
              <w:rPr>
                <w:noProof/>
                <w:webHidden/>
              </w:rPr>
              <w:t>203</w:t>
            </w:r>
            <w:r w:rsidR="00ED1E27">
              <w:rPr>
                <w:noProof/>
                <w:webHidden/>
              </w:rPr>
              <w:fldChar w:fldCharType="end"/>
            </w:r>
          </w:hyperlink>
        </w:p>
        <w:p w14:paraId="4D371955"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77" w:history="1">
            <w:r w:rsidR="00ED1E27" w:rsidRPr="0061785B">
              <w:rPr>
                <w:rStyle w:val="Hyperlink"/>
                <w:noProof/>
              </w:rPr>
              <w:t>20.</w:t>
            </w:r>
            <w:r w:rsidR="00ED1E27">
              <w:rPr>
                <w:rFonts w:asciiTheme="minorHAnsi" w:eastAsiaTheme="minorEastAsia" w:hAnsiTheme="minorHAnsi" w:cstheme="minorBidi"/>
                <w:noProof/>
                <w:sz w:val="22"/>
                <w:szCs w:val="22"/>
                <w:lang w:eastAsia="en-AU"/>
              </w:rPr>
              <w:tab/>
            </w:r>
            <w:r w:rsidR="00ED1E27" w:rsidRPr="0061785B">
              <w:rPr>
                <w:rStyle w:val="Hyperlink"/>
                <w:noProof/>
              </w:rPr>
              <w:t>Receivables</w:t>
            </w:r>
            <w:r w:rsidR="00ED1E27">
              <w:rPr>
                <w:noProof/>
                <w:webHidden/>
              </w:rPr>
              <w:tab/>
            </w:r>
            <w:r w:rsidR="00ED1E27">
              <w:rPr>
                <w:noProof/>
                <w:webHidden/>
              </w:rPr>
              <w:fldChar w:fldCharType="begin"/>
            </w:r>
            <w:r w:rsidR="00ED1E27">
              <w:rPr>
                <w:noProof/>
                <w:webHidden/>
              </w:rPr>
              <w:instrText xml:space="preserve"> PAGEREF _Toc430091377 \h </w:instrText>
            </w:r>
            <w:r w:rsidR="00ED1E27">
              <w:rPr>
                <w:noProof/>
                <w:webHidden/>
              </w:rPr>
            </w:r>
            <w:r w:rsidR="00ED1E27">
              <w:rPr>
                <w:noProof/>
                <w:webHidden/>
              </w:rPr>
              <w:fldChar w:fldCharType="separate"/>
            </w:r>
            <w:r w:rsidR="004427AD">
              <w:rPr>
                <w:noProof/>
                <w:webHidden/>
              </w:rPr>
              <w:t>205</w:t>
            </w:r>
            <w:r w:rsidR="00ED1E27">
              <w:rPr>
                <w:noProof/>
                <w:webHidden/>
              </w:rPr>
              <w:fldChar w:fldCharType="end"/>
            </w:r>
          </w:hyperlink>
        </w:p>
        <w:p w14:paraId="55D3BE4D"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78" w:history="1">
            <w:r w:rsidR="00ED1E27" w:rsidRPr="0061785B">
              <w:rPr>
                <w:rStyle w:val="Hyperlink"/>
                <w:noProof/>
              </w:rPr>
              <w:t>21.</w:t>
            </w:r>
            <w:r w:rsidR="00ED1E27">
              <w:rPr>
                <w:rFonts w:asciiTheme="minorHAnsi" w:eastAsiaTheme="minorEastAsia" w:hAnsiTheme="minorHAnsi" w:cstheme="minorBidi"/>
                <w:noProof/>
                <w:sz w:val="22"/>
                <w:szCs w:val="22"/>
                <w:lang w:eastAsia="en-AU"/>
              </w:rPr>
              <w:tab/>
            </w:r>
            <w:r w:rsidR="00ED1E27" w:rsidRPr="0061785B">
              <w:rPr>
                <w:rStyle w:val="Hyperlink"/>
                <w:noProof/>
              </w:rPr>
              <w:t>Other financial assets</w:t>
            </w:r>
            <w:r w:rsidR="00ED1E27">
              <w:rPr>
                <w:noProof/>
                <w:webHidden/>
              </w:rPr>
              <w:tab/>
            </w:r>
            <w:r w:rsidR="00ED1E27">
              <w:rPr>
                <w:noProof/>
                <w:webHidden/>
              </w:rPr>
              <w:fldChar w:fldCharType="begin"/>
            </w:r>
            <w:r w:rsidR="00ED1E27">
              <w:rPr>
                <w:noProof/>
                <w:webHidden/>
              </w:rPr>
              <w:instrText xml:space="preserve"> PAGEREF _Toc430091378 \h </w:instrText>
            </w:r>
            <w:r w:rsidR="00ED1E27">
              <w:rPr>
                <w:noProof/>
                <w:webHidden/>
              </w:rPr>
            </w:r>
            <w:r w:rsidR="00ED1E27">
              <w:rPr>
                <w:noProof/>
                <w:webHidden/>
              </w:rPr>
              <w:fldChar w:fldCharType="separate"/>
            </w:r>
            <w:r w:rsidR="004427AD">
              <w:rPr>
                <w:noProof/>
                <w:webHidden/>
              </w:rPr>
              <w:t>206</w:t>
            </w:r>
            <w:r w:rsidR="00ED1E27">
              <w:rPr>
                <w:noProof/>
                <w:webHidden/>
              </w:rPr>
              <w:fldChar w:fldCharType="end"/>
            </w:r>
          </w:hyperlink>
        </w:p>
        <w:p w14:paraId="37386372"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79" w:history="1">
            <w:r w:rsidR="00ED1E27" w:rsidRPr="0061785B">
              <w:rPr>
                <w:rStyle w:val="Hyperlink"/>
                <w:noProof/>
              </w:rPr>
              <w:t>22.</w:t>
            </w:r>
            <w:r w:rsidR="00ED1E27">
              <w:rPr>
                <w:rFonts w:asciiTheme="minorHAnsi" w:eastAsiaTheme="minorEastAsia" w:hAnsiTheme="minorHAnsi" w:cstheme="minorBidi"/>
                <w:noProof/>
                <w:sz w:val="22"/>
                <w:szCs w:val="22"/>
                <w:lang w:eastAsia="en-AU"/>
              </w:rPr>
              <w:tab/>
            </w:r>
            <w:r w:rsidR="00ED1E27" w:rsidRPr="0061785B">
              <w:rPr>
                <w:rStyle w:val="Hyperlink"/>
                <w:noProof/>
              </w:rPr>
              <w:t>Property, plant, equipment and vehicles</w:t>
            </w:r>
            <w:r w:rsidR="00ED1E27">
              <w:rPr>
                <w:noProof/>
                <w:webHidden/>
              </w:rPr>
              <w:tab/>
            </w:r>
            <w:r w:rsidR="00ED1E27">
              <w:rPr>
                <w:noProof/>
                <w:webHidden/>
              </w:rPr>
              <w:fldChar w:fldCharType="begin"/>
            </w:r>
            <w:r w:rsidR="00ED1E27">
              <w:rPr>
                <w:noProof/>
                <w:webHidden/>
              </w:rPr>
              <w:instrText xml:space="preserve"> PAGEREF _Toc430091379 \h </w:instrText>
            </w:r>
            <w:r w:rsidR="00ED1E27">
              <w:rPr>
                <w:noProof/>
                <w:webHidden/>
              </w:rPr>
            </w:r>
            <w:r w:rsidR="00ED1E27">
              <w:rPr>
                <w:noProof/>
                <w:webHidden/>
              </w:rPr>
              <w:fldChar w:fldCharType="separate"/>
            </w:r>
            <w:r w:rsidR="004427AD">
              <w:rPr>
                <w:noProof/>
                <w:webHidden/>
              </w:rPr>
              <w:t>207</w:t>
            </w:r>
            <w:r w:rsidR="00ED1E27">
              <w:rPr>
                <w:noProof/>
                <w:webHidden/>
              </w:rPr>
              <w:fldChar w:fldCharType="end"/>
            </w:r>
          </w:hyperlink>
        </w:p>
        <w:p w14:paraId="094BCD3B"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80" w:history="1">
            <w:r w:rsidR="00ED1E27" w:rsidRPr="0061785B">
              <w:rPr>
                <w:rStyle w:val="Hyperlink"/>
                <w:noProof/>
              </w:rPr>
              <w:t>23.</w:t>
            </w:r>
            <w:r w:rsidR="00ED1E27">
              <w:rPr>
                <w:rFonts w:asciiTheme="minorHAnsi" w:eastAsiaTheme="minorEastAsia" w:hAnsiTheme="minorHAnsi" w:cstheme="minorBidi"/>
                <w:noProof/>
                <w:sz w:val="22"/>
                <w:szCs w:val="22"/>
                <w:lang w:eastAsia="en-AU"/>
              </w:rPr>
              <w:tab/>
            </w:r>
            <w:r w:rsidR="00ED1E27" w:rsidRPr="0061785B">
              <w:rPr>
                <w:rStyle w:val="Hyperlink"/>
                <w:noProof/>
              </w:rPr>
              <w:t>Fair value measurements</w:t>
            </w:r>
            <w:r w:rsidR="00ED1E27">
              <w:rPr>
                <w:noProof/>
                <w:webHidden/>
              </w:rPr>
              <w:tab/>
            </w:r>
            <w:r w:rsidR="00ED1E27">
              <w:rPr>
                <w:noProof/>
                <w:webHidden/>
              </w:rPr>
              <w:fldChar w:fldCharType="begin"/>
            </w:r>
            <w:r w:rsidR="00ED1E27">
              <w:rPr>
                <w:noProof/>
                <w:webHidden/>
              </w:rPr>
              <w:instrText xml:space="preserve"> PAGEREF _Toc430091380 \h </w:instrText>
            </w:r>
            <w:r w:rsidR="00ED1E27">
              <w:rPr>
                <w:noProof/>
                <w:webHidden/>
              </w:rPr>
            </w:r>
            <w:r w:rsidR="00ED1E27">
              <w:rPr>
                <w:noProof/>
                <w:webHidden/>
              </w:rPr>
              <w:fldChar w:fldCharType="separate"/>
            </w:r>
            <w:r w:rsidR="004427AD">
              <w:rPr>
                <w:noProof/>
                <w:webHidden/>
              </w:rPr>
              <w:t>209</w:t>
            </w:r>
            <w:r w:rsidR="00ED1E27">
              <w:rPr>
                <w:noProof/>
                <w:webHidden/>
              </w:rPr>
              <w:fldChar w:fldCharType="end"/>
            </w:r>
          </w:hyperlink>
        </w:p>
        <w:p w14:paraId="3C0D087B"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81" w:history="1">
            <w:r w:rsidR="00ED1E27" w:rsidRPr="0061785B">
              <w:rPr>
                <w:rStyle w:val="Hyperlink"/>
                <w:noProof/>
              </w:rPr>
              <w:t>24.</w:t>
            </w:r>
            <w:r w:rsidR="00ED1E27">
              <w:rPr>
                <w:rFonts w:asciiTheme="minorHAnsi" w:eastAsiaTheme="minorEastAsia" w:hAnsiTheme="minorHAnsi" w:cstheme="minorBidi"/>
                <w:noProof/>
                <w:sz w:val="22"/>
                <w:szCs w:val="22"/>
                <w:lang w:eastAsia="en-AU"/>
              </w:rPr>
              <w:tab/>
            </w:r>
            <w:r w:rsidR="00ED1E27" w:rsidRPr="0061785B">
              <w:rPr>
                <w:rStyle w:val="Hyperlink"/>
                <w:noProof/>
              </w:rPr>
              <w:t>Intangible assets</w:t>
            </w:r>
            <w:r w:rsidR="00ED1E27">
              <w:rPr>
                <w:noProof/>
                <w:webHidden/>
              </w:rPr>
              <w:tab/>
            </w:r>
            <w:r w:rsidR="00ED1E27">
              <w:rPr>
                <w:noProof/>
                <w:webHidden/>
              </w:rPr>
              <w:fldChar w:fldCharType="begin"/>
            </w:r>
            <w:r w:rsidR="00ED1E27">
              <w:rPr>
                <w:noProof/>
                <w:webHidden/>
              </w:rPr>
              <w:instrText xml:space="preserve"> PAGEREF _Toc430091381 \h </w:instrText>
            </w:r>
            <w:r w:rsidR="00ED1E27">
              <w:rPr>
                <w:noProof/>
                <w:webHidden/>
              </w:rPr>
            </w:r>
            <w:r w:rsidR="00ED1E27">
              <w:rPr>
                <w:noProof/>
                <w:webHidden/>
              </w:rPr>
              <w:fldChar w:fldCharType="separate"/>
            </w:r>
            <w:r w:rsidR="004427AD">
              <w:rPr>
                <w:noProof/>
                <w:webHidden/>
              </w:rPr>
              <w:t>210</w:t>
            </w:r>
            <w:r w:rsidR="00ED1E27">
              <w:rPr>
                <w:noProof/>
                <w:webHidden/>
              </w:rPr>
              <w:fldChar w:fldCharType="end"/>
            </w:r>
          </w:hyperlink>
        </w:p>
        <w:p w14:paraId="5B0B2B6D"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82" w:history="1">
            <w:r w:rsidR="00ED1E27" w:rsidRPr="0061785B">
              <w:rPr>
                <w:rStyle w:val="Hyperlink"/>
                <w:noProof/>
              </w:rPr>
              <w:t>25.</w:t>
            </w:r>
            <w:r w:rsidR="00ED1E27">
              <w:rPr>
                <w:rFonts w:asciiTheme="minorHAnsi" w:eastAsiaTheme="minorEastAsia" w:hAnsiTheme="minorHAnsi" w:cstheme="minorBidi"/>
                <w:noProof/>
                <w:sz w:val="22"/>
                <w:szCs w:val="22"/>
                <w:lang w:eastAsia="en-AU"/>
              </w:rPr>
              <w:tab/>
            </w:r>
            <w:r w:rsidR="00ED1E27" w:rsidRPr="0061785B">
              <w:rPr>
                <w:rStyle w:val="Hyperlink"/>
                <w:noProof/>
              </w:rPr>
              <w:t>Impairment of assets</w:t>
            </w:r>
            <w:r w:rsidR="00ED1E27">
              <w:rPr>
                <w:noProof/>
                <w:webHidden/>
              </w:rPr>
              <w:tab/>
            </w:r>
            <w:r w:rsidR="00ED1E27">
              <w:rPr>
                <w:noProof/>
                <w:webHidden/>
              </w:rPr>
              <w:fldChar w:fldCharType="begin"/>
            </w:r>
            <w:r w:rsidR="00ED1E27">
              <w:rPr>
                <w:noProof/>
                <w:webHidden/>
              </w:rPr>
              <w:instrText xml:space="preserve"> PAGEREF _Toc430091382 \h </w:instrText>
            </w:r>
            <w:r w:rsidR="00ED1E27">
              <w:rPr>
                <w:noProof/>
                <w:webHidden/>
              </w:rPr>
            </w:r>
            <w:r w:rsidR="00ED1E27">
              <w:rPr>
                <w:noProof/>
                <w:webHidden/>
              </w:rPr>
              <w:fldChar w:fldCharType="separate"/>
            </w:r>
            <w:r w:rsidR="004427AD">
              <w:rPr>
                <w:noProof/>
                <w:webHidden/>
              </w:rPr>
              <w:t>211</w:t>
            </w:r>
            <w:r w:rsidR="00ED1E27">
              <w:rPr>
                <w:noProof/>
                <w:webHidden/>
              </w:rPr>
              <w:fldChar w:fldCharType="end"/>
            </w:r>
          </w:hyperlink>
        </w:p>
        <w:p w14:paraId="568DDF25"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83" w:history="1">
            <w:r w:rsidR="00ED1E27" w:rsidRPr="0061785B">
              <w:rPr>
                <w:rStyle w:val="Hyperlink"/>
                <w:noProof/>
              </w:rPr>
              <w:t>26.</w:t>
            </w:r>
            <w:r w:rsidR="00ED1E27">
              <w:rPr>
                <w:rFonts w:asciiTheme="minorHAnsi" w:eastAsiaTheme="minorEastAsia" w:hAnsiTheme="minorHAnsi" w:cstheme="minorBidi"/>
                <w:noProof/>
                <w:sz w:val="22"/>
                <w:szCs w:val="22"/>
                <w:lang w:eastAsia="en-AU"/>
              </w:rPr>
              <w:tab/>
            </w:r>
            <w:r w:rsidR="00ED1E27" w:rsidRPr="0061785B">
              <w:rPr>
                <w:rStyle w:val="Hyperlink"/>
                <w:noProof/>
              </w:rPr>
              <w:t>Payables</w:t>
            </w:r>
            <w:r w:rsidR="00ED1E27">
              <w:rPr>
                <w:noProof/>
                <w:webHidden/>
              </w:rPr>
              <w:tab/>
            </w:r>
            <w:r w:rsidR="00ED1E27">
              <w:rPr>
                <w:noProof/>
                <w:webHidden/>
              </w:rPr>
              <w:fldChar w:fldCharType="begin"/>
            </w:r>
            <w:r w:rsidR="00ED1E27">
              <w:rPr>
                <w:noProof/>
                <w:webHidden/>
              </w:rPr>
              <w:instrText xml:space="preserve"> PAGEREF _Toc430091383 \h </w:instrText>
            </w:r>
            <w:r w:rsidR="00ED1E27">
              <w:rPr>
                <w:noProof/>
                <w:webHidden/>
              </w:rPr>
            </w:r>
            <w:r w:rsidR="00ED1E27">
              <w:rPr>
                <w:noProof/>
                <w:webHidden/>
              </w:rPr>
              <w:fldChar w:fldCharType="separate"/>
            </w:r>
            <w:r w:rsidR="004427AD">
              <w:rPr>
                <w:noProof/>
                <w:webHidden/>
              </w:rPr>
              <w:t>211</w:t>
            </w:r>
            <w:r w:rsidR="00ED1E27">
              <w:rPr>
                <w:noProof/>
                <w:webHidden/>
              </w:rPr>
              <w:fldChar w:fldCharType="end"/>
            </w:r>
          </w:hyperlink>
        </w:p>
        <w:p w14:paraId="1BB67386"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84" w:history="1">
            <w:r w:rsidR="00ED1E27" w:rsidRPr="0061785B">
              <w:rPr>
                <w:rStyle w:val="Hyperlink"/>
                <w:noProof/>
              </w:rPr>
              <w:t>27.</w:t>
            </w:r>
            <w:r w:rsidR="00ED1E27">
              <w:rPr>
                <w:rFonts w:asciiTheme="minorHAnsi" w:eastAsiaTheme="minorEastAsia" w:hAnsiTheme="minorHAnsi" w:cstheme="minorBidi"/>
                <w:noProof/>
                <w:sz w:val="22"/>
                <w:szCs w:val="22"/>
                <w:lang w:eastAsia="en-AU"/>
              </w:rPr>
              <w:tab/>
            </w:r>
            <w:r w:rsidR="00ED1E27" w:rsidRPr="0061785B">
              <w:rPr>
                <w:rStyle w:val="Hyperlink"/>
                <w:noProof/>
              </w:rPr>
              <w:t>Provisions</w:t>
            </w:r>
            <w:r w:rsidR="00ED1E27">
              <w:rPr>
                <w:noProof/>
                <w:webHidden/>
              </w:rPr>
              <w:tab/>
            </w:r>
            <w:r w:rsidR="00ED1E27">
              <w:rPr>
                <w:noProof/>
                <w:webHidden/>
              </w:rPr>
              <w:fldChar w:fldCharType="begin"/>
            </w:r>
            <w:r w:rsidR="00ED1E27">
              <w:rPr>
                <w:noProof/>
                <w:webHidden/>
              </w:rPr>
              <w:instrText xml:space="preserve"> PAGEREF _Toc430091384 \h </w:instrText>
            </w:r>
            <w:r w:rsidR="00ED1E27">
              <w:rPr>
                <w:noProof/>
                <w:webHidden/>
              </w:rPr>
            </w:r>
            <w:r w:rsidR="00ED1E27">
              <w:rPr>
                <w:noProof/>
                <w:webHidden/>
              </w:rPr>
              <w:fldChar w:fldCharType="separate"/>
            </w:r>
            <w:r w:rsidR="004427AD">
              <w:rPr>
                <w:noProof/>
                <w:webHidden/>
              </w:rPr>
              <w:t>212</w:t>
            </w:r>
            <w:r w:rsidR="00ED1E27">
              <w:rPr>
                <w:noProof/>
                <w:webHidden/>
              </w:rPr>
              <w:fldChar w:fldCharType="end"/>
            </w:r>
          </w:hyperlink>
        </w:p>
        <w:p w14:paraId="417A906E"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85" w:history="1">
            <w:r w:rsidR="00ED1E27" w:rsidRPr="0061785B">
              <w:rPr>
                <w:rStyle w:val="Hyperlink"/>
                <w:noProof/>
              </w:rPr>
              <w:t>28.</w:t>
            </w:r>
            <w:r w:rsidR="00ED1E27">
              <w:rPr>
                <w:rFonts w:asciiTheme="minorHAnsi" w:eastAsiaTheme="minorEastAsia" w:hAnsiTheme="minorHAnsi" w:cstheme="minorBidi"/>
                <w:noProof/>
                <w:sz w:val="22"/>
                <w:szCs w:val="22"/>
                <w:lang w:eastAsia="en-AU"/>
              </w:rPr>
              <w:tab/>
            </w:r>
            <w:r w:rsidR="00ED1E27" w:rsidRPr="0061785B">
              <w:rPr>
                <w:rStyle w:val="Hyperlink"/>
                <w:noProof/>
              </w:rPr>
              <w:t>Equity</w:t>
            </w:r>
            <w:r w:rsidR="00ED1E27">
              <w:rPr>
                <w:noProof/>
                <w:webHidden/>
              </w:rPr>
              <w:tab/>
            </w:r>
            <w:r w:rsidR="00ED1E27">
              <w:rPr>
                <w:noProof/>
                <w:webHidden/>
              </w:rPr>
              <w:fldChar w:fldCharType="begin"/>
            </w:r>
            <w:r w:rsidR="00ED1E27">
              <w:rPr>
                <w:noProof/>
                <w:webHidden/>
              </w:rPr>
              <w:instrText xml:space="preserve"> PAGEREF _Toc430091385 \h </w:instrText>
            </w:r>
            <w:r w:rsidR="00ED1E27">
              <w:rPr>
                <w:noProof/>
                <w:webHidden/>
              </w:rPr>
            </w:r>
            <w:r w:rsidR="00ED1E27">
              <w:rPr>
                <w:noProof/>
                <w:webHidden/>
              </w:rPr>
              <w:fldChar w:fldCharType="separate"/>
            </w:r>
            <w:r w:rsidR="004427AD">
              <w:rPr>
                <w:noProof/>
                <w:webHidden/>
              </w:rPr>
              <w:t>225</w:t>
            </w:r>
            <w:r w:rsidR="00ED1E27">
              <w:rPr>
                <w:noProof/>
                <w:webHidden/>
              </w:rPr>
              <w:fldChar w:fldCharType="end"/>
            </w:r>
          </w:hyperlink>
        </w:p>
        <w:p w14:paraId="1603A102"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86" w:history="1">
            <w:r w:rsidR="00ED1E27" w:rsidRPr="0061785B">
              <w:rPr>
                <w:rStyle w:val="Hyperlink"/>
                <w:noProof/>
              </w:rPr>
              <w:t>29.</w:t>
            </w:r>
            <w:r w:rsidR="00ED1E27">
              <w:rPr>
                <w:rFonts w:asciiTheme="minorHAnsi" w:eastAsiaTheme="minorEastAsia" w:hAnsiTheme="minorHAnsi" w:cstheme="minorBidi"/>
                <w:noProof/>
                <w:sz w:val="22"/>
                <w:szCs w:val="22"/>
                <w:lang w:eastAsia="en-AU"/>
              </w:rPr>
              <w:tab/>
            </w:r>
            <w:r w:rsidR="00ED1E27" w:rsidRPr="0061785B">
              <w:rPr>
                <w:rStyle w:val="Hyperlink"/>
                <w:noProof/>
              </w:rPr>
              <w:t>Notes to the Statement of Cash Flows</w:t>
            </w:r>
            <w:r w:rsidR="00ED1E27">
              <w:rPr>
                <w:noProof/>
                <w:webHidden/>
              </w:rPr>
              <w:tab/>
            </w:r>
            <w:r w:rsidR="00ED1E27">
              <w:rPr>
                <w:noProof/>
                <w:webHidden/>
              </w:rPr>
              <w:fldChar w:fldCharType="begin"/>
            </w:r>
            <w:r w:rsidR="00ED1E27">
              <w:rPr>
                <w:noProof/>
                <w:webHidden/>
              </w:rPr>
              <w:instrText xml:space="preserve"> PAGEREF _Toc430091386 \h </w:instrText>
            </w:r>
            <w:r w:rsidR="00ED1E27">
              <w:rPr>
                <w:noProof/>
                <w:webHidden/>
              </w:rPr>
            </w:r>
            <w:r w:rsidR="00ED1E27">
              <w:rPr>
                <w:noProof/>
                <w:webHidden/>
              </w:rPr>
              <w:fldChar w:fldCharType="separate"/>
            </w:r>
            <w:r w:rsidR="004427AD">
              <w:rPr>
                <w:noProof/>
                <w:webHidden/>
              </w:rPr>
              <w:t>226</w:t>
            </w:r>
            <w:r w:rsidR="00ED1E27">
              <w:rPr>
                <w:noProof/>
                <w:webHidden/>
              </w:rPr>
              <w:fldChar w:fldCharType="end"/>
            </w:r>
          </w:hyperlink>
        </w:p>
        <w:p w14:paraId="2444836C"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87" w:history="1">
            <w:r w:rsidR="00ED1E27" w:rsidRPr="0061785B">
              <w:rPr>
                <w:rStyle w:val="Hyperlink"/>
                <w:noProof/>
              </w:rPr>
              <w:t>30.</w:t>
            </w:r>
            <w:r w:rsidR="00ED1E27">
              <w:rPr>
                <w:rFonts w:asciiTheme="minorHAnsi" w:eastAsiaTheme="minorEastAsia" w:hAnsiTheme="minorHAnsi" w:cstheme="minorBidi"/>
                <w:noProof/>
                <w:sz w:val="22"/>
                <w:szCs w:val="22"/>
                <w:lang w:eastAsia="en-AU"/>
              </w:rPr>
              <w:tab/>
            </w:r>
            <w:r w:rsidR="00ED1E27" w:rsidRPr="0061785B">
              <w:rPr>
                <w:rStyle w:val="Hyperlink"/>
                <w:noProof/>
              </w:rPr>
              <w:t>Employers’ Indemnity Supplementation Fund (EISF)</w:t>
            </w:r>
            <w:r w:rsidR="00ED1E27">
              <w:rPr>
                <w:noProof/>
                <w:webHidden/>
              </w:rPr>
              <w:tab/>
            </w:r>
            <w:r w:rsidR="00ED1E27">
              <w:rPr>
                <w:noProof/>
                <w:webHidden/>
              </w:rPr>
              <w:fldChar w:fldCharType="begin"/>
            </w:r>
            <w:r w:rsidR="00ED1E27">
              <w:rPr>
                <w:noProof/>
                <w:webHidden/>
              </w:rPr>
              <w:instrText xml:space="preserve"> PAGEREF _Toc430091387 \h </w:instrText>
            </w:r>
            <w:r w:rsidR="00ED1E27">
              <w:rPr>
                <w:noProof/>
                <w:webHidden/>
              </w:rPr>
            </w:r>
            <w:r w:rsidR="00ED1E27">
              <w:rPr>
                <w:noProof/>
                <w:webHidden/>
              </w:rPr>
              <w:fldChar w:fldCharType="separate"/>
            </w:r>
            <w:r w:rsidR="004427AD">
              <w:rPr>
                <w:noProof/>
                <w:webHidden/>
              </w:rPr>
              <w:t>227</w:t>
            </w:r>
            <w:r w:rsidR="00ED1E27">
              <w:rPr>
                <w:noProof/>
                <w:webHidden/>
              </w:rPr>
              <w:fldChar w:fldCharType="end"/>
            </w:r>
          </w:hyperlink>
        </w:p>
        <w:p w14:paraId="73729AD3"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88" w:history="1">
            <w:r w:rsidR="00ED1E27" w:rsidRPr="0061785B">
              <w:rPr>
                <w:rStyle w:val="Hyperlink"/>
                <w:noProof/>
              </w:rPr>
              <w:t>31.</w:t>
            </w:r>
            <w:r w:rsidR="00ED1E27">
              <w:rPr>
                <w:rFonts w:asciiTheme="minorHAnsi" w:eastAsiaTheme="minorEastAsia" w:hAnsiTheme="minorHAnsi" w:cstheme="minorBidi"/>
                <w:noProof/>
                <w:sz w:val="22"/>
                <w:szCs w:val="22"/>
                <w:lang w:eastAsia="en-AU"/>
              </w:rPr>
              <w:tab/>
            </w:r>
            <w:r w:rsidR="00ED1E27" w:rsidRPr="0061785B">
              <w:rPr>
                <w:rStyle w:val="Hyperlink"/>
                <w:noProof/>
              </w:rPr>
              <w:t>Commitments</w:t>
            </w:r>
            <w:r w:rsidR="00ED1E27">
              <w:rPr>
                <w:noProof/>
                <w:webHidden/>
              </w:rPr>
              <w:tab/>
            </w:r>
            <w:r w:rsidR="00ED1E27">
              <w:rPr>
                <w:noProof/>
                <w:webHidden/>
              </w:rPr>
              <w:fldChar w:fldCharType="begin"/>
            </w:r>
            <w:r w:rsidR="00ED1E27">
              <w:rPr>
                <w:noProof/>
                <w:webHidden/>
              </w:rPr>
              <w:instrText xml:space="preserve"> PAGEREF _Toc430091388 \h </w:instrText>
            </w:r>
            <w:r w:rsidR="00ED1E27">
              <w:rPr>
                <w:noProof/>
                <w:webHidden/>
              </w:rPr>
            </w:r>
            <w:r w:rsidR="00ED1E27">
              <w:rPr>
                <w:noProof/>
                <w:webHidden/>
              </w:rPr>
              <w:fldChar w:fldCharType="separate"/>
            </w:r>
            <w:r w:rsidR="004427AD">
              <w:rPr>
                <w:noProof/>
                <w:webHidden/>
              </w:rPr>
              <w:t>232</w:t>
            </w:r>
            <w:r w:rsidR="00ED1E27">
              <w:rPr>
                <w:noProof/>
                <w:webHidden/>
              </w:rPr>
              <w:fldChar w:fldCharType="end"/>
            </w:r>
          </w:hyperlink>
        </w:p>
        <w:p w14:paraId="0EAA93A1"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89" w:history="1">
            <w:r w:rsidR="00ED1E27" w:rsidRPr="0061785B">
              <w:rPr>
                <w:rStyle w:val="Hyperlink"/>
                <w:noProof/>
              </w:rPr>
              <w:t>32.</w:t>
            </w:r>
            <w:r w:rsidR="00ED1E27">
              <w:rPr>
                <w:rFonts w:asciiTheme="minorHAnsi" w:eastAsiaTheme="minorEastAsia" w:hAnsiTheme="minorHAnsi" w:cstheme="minorBidi"/>
                <w:noProof/>
                <w:sz w:val="22"/>
                <w:szCs w:val="22"/>
                <w:lang w:eastAsia="en-AU"/>
              </w:rPr>
              <w:tab/>
            </w:r>
            <w:r w:rsidR="00ED1E27" w:rsidRPr="0061785B">
              <w:rPr>
                <w:rStyle w:val="Hyperlink"/>
                <w:noProof/>
              </w:rPr>
              <w:t>Contingent liabilities and contingent assets</w:t>
            </w:r>
            <w:r w:rsidR="00ED1E27">
              <w:rPr>
                <w:noProof/>
                <w:webHidden/>
              </w:rPr>
              <w:tab/>
            </w:r>
            <w:r w:rsidR="00ED1E27">
              <w:rPr>
                <w:noProof/>
                <w:webHidden/>
              </w:rPr>
              <w:fldChar w:fldCharType="begin"/>
            </w:r>
            <w:r w:rsidR="00ED1E27">
              <w:rPr>
                <w:noProof/>
                <w:webHidden/>
              </w:rPr>
              <w:instrText xml:space="preserve"> PAGEREF _Toc430091389 \h </w:instrText>
            </w:r>
            <w:r w:rsidR="00ED1E27">
              <w:rPr>
                <w:noProof/>
                <w:webHidden/>
              </w:rPr>
            </w:r>
            <w:r w:rsidR="00ED1E27">
              <w:rPr>
                <w:noProof/>
                <w:webHidden/>
              </w:rPr>
              <w:fldChar w:fldCharType="separate"/>
            </w:r>
            <w:r w:rsidR="004427AD">
              <w:rPr>
                <w:noProof/>
                <w:webHidden/>
              </w:rPr>
              <w:t>233</w:t>
            </w:r>
            <w:r w:rsidR="00ED1E27">
              <w:rPr>
                <w:noProof/>
                <w:webHidden/>
              </w:rPr>
              <w:fldChar w:fldCharType="end"/>
            </w:r>
          </w:hyperlink>
        </w:p>
        <w:p w14:paraId="40EE4E72"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90" w:history="1">
            <w:r w:rsidR="00ED1E27" w:rsidRPr="0061785B">
              <w:rPr>
                <w:rStyle w:val="Hyperlink"/>
                <w:noProof/>
              </w:rPr>
              <w:t>33.</w:t>
            </w:r>
            <w:r w:rsidR="00ED1E27">
              <w:rPr>
                <w:rFonts w:asciiTheme="minorHAnsi" w:eastAsiaTheme="minorEastAsia" w:hAnsiTheme="minorHAnsi" w:cstheme="minorBidi"/>
                <w:noProof/>
                <w:sz w:val="22"/>
                <w:szCs w:val="22"/>
                <w:lang w:eastAsia="en-AU"/>
              </w:rPr>
              <w:tab/>
            </w:r>
            <w:r w:rsidR="00ED1E27" w:rsidRPr="0061785B">
              <w:rPr>
                <w:rStyle w:val="Hyperlink"/>
                <w:noProof/>
              </w:rPr>
              <w:t>Events occurring after the end of the reporting period</w:t>
            </w:r>
            <w:r w:rsidR="00ED1E27">
              <w:rPr>
                <w:noProof/>
                <w:webHidden/>
              </w:rPr>
              <w:tab/>
            </w:r>
            <w:r w:rsidR="00ED1E27">
              <w:rPr>
                <w:noProof/>
                <w:webHidden/>
              </w:rPr>
              <w:fldChar w:fldCharType="begin"/>
            </w:r>
            <w:r w:rsidR="00ED1E27">
              <w:rPr>
                <w:noProof/>
                <w:webHidden/>
              </w:rPr>
              <w:instrText xml:space="preserve"> PAGEREF _Toc430091390 \h </w:instrText>
            </w:r>
            <w:r w:rsidR="00ED1E27">
              <w:rPr>
                <w:noProof/>
                <w:webHidden/>
              </w:rPr>
            </w:r>
            <w:r w:rsidR="00ED1E27">
              <w:rPr>
                <w:noProof/>
                <w:webHidden/>
              </w:rPr>
              <w:fldChar w:fldCharType="separate"/>
            </w:r>
            <w:r w:rsidR="004427AD">
              <w:rPr>
                <w:noProof/>
                <w:webHidden/>
              </w:rPr>
              <w:t>233</w:t>
            </w:r>
            <w:r w:rsidR="00ED1E27">
              <w:rPr>
                <w:noProof/>
                <w:webHidden/>
              </w:rPr>
              <w:fldChar w:fldCharType="end"/>
            </w:r>
          </w:hyperlink>
        </w:p>
        <w:p w14:paraId="114445C8"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91" w:history="1">
            <w:r w:rsidR="00ED1E27" w:rsidRPr="0061785B">
              <w:rPr>
                <w:rStyle w:val="Hyperlink"/>
                <w:noProof/>
              </w:rPr>
              <w:t>34.</w:t>
            </w:r>
            <w:r w:rsidR="00ED1E27">
              <w:rPr>
                <w:rFonts w:asciiTheme="minorHAnsi" w:eastAsiaTheme="minorEastAsia" w:hAnsiTheme="minorHAnsi" w:cstheme="minorBidi"/>
                <w:noProof/>
                <w:sz w:val="22"/>
                <w:szCs w:val="22"/>
                <w:lang w:eastAsia="en-AU"/>
              </w:rPr>
              <w:tab/>
            </w:r>
            <w:r w:rsidR="00ED1E27" w:rsidRPr="0061785B">
              <w:rPr>
                <w:rStyle w:val="Hyperlink"/>
                <w:noProof/>
              </w:rPr>
              <w:t>Explanatory statement</w:t>
            </w:r>
            <w:r w:rsidR="00ED1E27">
              <w:rPr>
                <w:noProof/>
                <w:webHidden/>
              </w:rPr>
              <w:tab/>
            </w:r>
            <w:r w:rsidR="00ED1E27">
              <w:rPr>
                <w:noProof/>
                <w:webHidden/>
              </w:rPr>
              <w:fldChar w:fldCharType="begin"/>
            </w:r>
            <w:r w:rsidR="00ED1E27">
              <w:rPr>
                <w:noProof/>
                <w:webHidden/>
              </w:rPr>
              <w:instrText xml:space="preserve"> PAGEREF _Toc430091391 \h </w:instrText>
            </w:r>
            <w:r w:rsidR="00ED1E27">
              <w:rPr>
                <w:noProof/>
                <w:webHidden/>
              </w:rPr>
            </w:r>
            <w:r w:rsidR="00ED1E27">
              <w:rPr>
                <w:noProof/>
                <w:webHidden/>
              </w:rPr>
              <w:fldChar w:fldCharType="separate"/>
            </w:r>
            <w:r w:rsidR="004427AD">
              <w:rPr>
                <w:noProof/>
                <w:webHidden/>
              </w:rPr>
              <w:t>234</w:t>
            </w:r>
            <w:r w:rsidR="00ED1E27">
              <w:rPr>
                <w:noProof/>
                <w:webHidden/>
              </w:rPr>
              <w:fldChar w:fldCharType="end"/>
            </w:r>
          </w:hyperlink>
        </w:p>
        <w:p w14:paraId="0335BF62"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92" w:history="1">
            <w:r w:rsidR="00ED1E27" w:rsidRPr="0061785B">
              <w:rPr>
                <w:rStyle w:val="Hyperlink"/>
                <w:noProof/>
              </w:rPr>
              <w:t>35.</w:t>
            </w:r>
            <w:r w:rsidR="00ED1E27">
              <w:rPr>
                <w:rFonts w:asciiTheme="minorHAnsi" w:eastAsiaTheme="minorEastAsia" w:hAnsiTheme="minorHAnsi" w:cstheme="minorBidi"/>
                <w:noProof/>
                <w:sz w:val="22"/>
                <w:szCs w:val="22"/>
                <w:lang w:eastAsia="en-AU"/>
              </w:rPr>
              <w:tab/>
            </w:r>
            <w:r w:rsidR="00ED1E27" w:rsidRPr="0061785B">
              <w:rPr>
                <w:rStyle w:val="Hyperlink"/>
                <w:noProof/>
              </w:rPr>
              <w:t>Financial instruments</w:t>
            </w:r>
            <w:r w:rsidR="00ED1E27">
              <w:rPr>
                <w:noProof/>
                <w:webHidden/>
              </w:rPr>
              <w:tab/>
            </w:r>
            <w:r w:rsidR="00ED1E27">
              <w:rPr>
                <w:noProof/>
                <w:webHidden/>
              </w:rPr>
              <w:fldChar w:fldCharType="begin"/>
            </w:r>
            <w:r w:rsidR="00ED1E27">
              <w:rPr>
                <w:noProof/>
                <w:webHidden/>
              </w:rPr>
              <w:instrText xml:space="preserve"> PAGEREF _Toc430091392 \h </w:instrText>
            </w:r>
            <w:r w:rsidR="00ED1E27">
              <w:rPr>
                <w:noProof/>
                <w:webHidden/>
              </w:rPr>
            </w:r>
            <w:r w:rsidR="00ED1E27">
              <w:rPr>
                <w:noProof/>
                <w:webHidden/>
              </w:rPr>
              <w:fldChar w:fldCharType="separate"/>
            </w:r>
            <w:r w:rsidR="004427AD">
              <w:rPr>
                <w:noProof/>
                <w:webHidden/>
              </w:rPr>
              <w:t>237</w:t>
            </w:r>
            <w:r w:rsidR="00ED1E27">
              <w:rPr>
                <w:noProof/>
                <w:webHidden/>
              </w:rPr>
              <w:fldChar w:fldCharType="end"/>
            </w:r>
          </w:hyperlink>
        </w:p>
        <w:p w14:paraId="3FFBCF25" w14:textId="77777777" w:rsidR="00ED1E27" w:rsidRDefault="000C10D6">
          <w:pPr>
            <w:pStyle w:val="TOC3"/>
            <w:rPr>
              <w:rFonts w:asciiTheme="minorHAnsi" w:eastAsiaTheme="minorEastAsia" w:hAnsiTheme="minorHAnsi" w:cstheme="minorBidi"/>
              <w:noProof/>
              <w:sz w:val="22"/>
              <w:szCs w:val="22"/>
              <w:lang w:eastAsia="en-AU"/>
            </w:rPr>
          </w:pPr>
          <w:hyperlink w:anchor="_Toc430091393" w:history="1">
            <w:r w:rsidR="00ED1E27" w:rsidRPr="0061785B">
              <w:rPr>
                <w:rStyle w:val="Hyperlink"/>
                <w:noProof/>
              </w:rPr>
              <w:t>(a) Financial risk management objectives and policies</w:t>
            </w:r>
            <w:r w:rsidR="00ED1E27">
              <w:rPr>
                <w:noProof/>
                <w:webHidden/>
              </w:rPr>
              <w:tab/>
            </w:r>
            <w:r w:rsidR="00ED1E27">
              <w:rPr>
                <w:noProof/>
                <w:webHidden/>
              </w:rPr>
              <w:fldChar w:fldCharType="begin"/>
            </w:r>
            <w:r w:rsidR="00ED1E27">
              <w:rPr>
                <w:noProof/>
                <w:webHidden/>
              </w:rPr>
              <w:instrText xml:space="preserve"> PAGEREF _Toc430091393 \h </w:instrText>
            </w:r>
            <w:r w:rsidR="00ED1E27">
              <w:rPr>
                <w:noProof/>
                <w:webHidden/>
              </w:rPr>
            </w:r>
            <w:r w:rsidR="00ED1E27">
              <w:rPr>
                <w:noProof/>
                <w:webHidden/>
              </w:rPr>
              <w:fldChar w:fldCharType="separate"/>
            </w:r>
            <w:r w:rsidR="004427AD">
              <w:rPr>
                <w:noProof/>
                <w:webHidden/>
              </w:rPr>
              <w:t>237</w:t>
            </w:r>
            <w:r w:rsidR="00ED1E27">
              <w:rPr>
                <w:noProof/>
                <w:webHidden/>
              </w:rPr>
              <w:fldChar w:fldCharType="end"/>
            </w:r>
          </w:hyperlink>
        </w:p>
        <w:p w14:paraId="3A468F4B" w14:textId="77777777" w:rsidR="00ED1E27" w:rsidRDefault="000C10D6">
          <w:pPr>
            <w:pStyle w:val="TOC3"/>
            <w:rPr>
              <w:rFonts w:asciiTheme="minorHAnsi" w:eastAsiaTheme="minorEastAsia" w:hAnsiTheme="minorHAnsi" w:cstheme="minorBidi"/>
              <w:noProof/>
              <w:sz w:val="22"/>
              <w:szCs w:val="22"/>
              <w:lang w:eastAsia="en-AU"/>
            </w:rPr>
          </w:pPr>
          <w:hyperlink w:anchor="_Toc430091394" w:history="1">
            <w:r w:rsidR="00ED1E27" w:rsidRPr="0061785B">
              <w:rPr>
                <w:rStyle w:val="Hyperlink"/>
                <w:noProof/>
              </w:rPr>
              <w:t>(b) Categories of financial instruments</w:t>
            </w:r>
            <w:r w:rsidR="00ED1E27">
              <w:rPr>
                <w:noProof/>
                <w:webHidden/>
              </w:rPr>
              <w:tab/>
            </w:r>
            <w:r w:rsidR="00ED1E27">
              <w:rPr>
                <w:noProof/>
                <w:webHidden/>
              </w:rPr>
              <w:fldChar w:fldCharType="begin"/>
            </w:r>
            <w:r w:rsidR="00ED1E27">
              <w:rPr>
                <w:noProof/>
                <w:webHidden/>
              </w:rPr>
              <w:instrText xml:space="preserve"> PAGEREF _Toc430091394 \h </w:instrText>
            </w:r>
            <w:r w:rsidR="00ED1E27">
              <w:rPr>
                <w:noProof/>
                <w:webHidden/>
              </w:rPr>
            </w:r>
            <w:r w:rsidR="00ED1E27">
              <w:rPr>
                <w:noProof/>
                <w:webHidden/>
              </w:rPr>
              <w:fldChar w:fldCharType="separate"/>
            </w:r>
            <w:r w:rsidR="004427AD">
              <w:rPr>
                <w:noProof/>
                <w:webHidden/>
              </w:rPr>
              <w:t>238</w:t>
            </w:r>
            <w:r w:rsidR="00ED1E27">
              <w:rPr>
                <w:noProof/>
                <w:webHidden/>
              </w:rPr>
              <w:fldChar w:fldCharType="end"/>
            </w:r>
          </w:hyperlink>
        </w:p>
        <w:p w14:paraId="3FF3FA5A" w14:textId="77777777" w:rsidR="00ED1E27" w:rsidRDefault="000C10D6">
          <w:pPr>
            <w:pStyle w:val="TOC3"/>
            <w:tabs>
              <w:tab w:val="left" w:pos="1100"/>
            </w:tabs>
            <w:rPr>
              <w:rFonts w:asciiTheme="minorHAnsi" w:eastAsiaTheme="minorEastAsia" w:hAnsiTheme="minorHAnsi" w:cstheme="minorBidi"/>
              <w:noProof/>
              <w:sz w:val="22"/>
              <w:szCs w:val="22"/>
              <w:lang w:eastAsia="en-AU"/>
            </w:rPr>
          </w:pPr>
          <w:hyperlink w:anchor="_Toc430091395" w:history="1">
            <w:r w:rsidR="00ED1E27" w:rsidRPr="0061785B">
              <w:rPr>
                <w:rStyle w:val="Hyperlink"/>
                <w:rFonts w:eastAsiaTheme="majorEastAsia"/>
                <w:noProof/>
              </w:rPr>
              <w:t>(c)</w:t>
            </w:r>
            <w:r w:rsidR="00ED1E27">
              <w:rPr>
                <w:rFonts w:asciiTheme="minorHAnsi" w:eastAsiaTheme="minorEastAsia" w:hAnsiTheme="minorHAnsi" w:cstheme="minorBidi"/>
                <w:noProof/>
                <w:sz w:val="22"/>
                <w:szCs w:val="22"/>
                <w:lang w:eastAsia="en-AU"/>
              </w:rPr>
              <w:tab/>
            </w:r>
            <w:r w:rsidR="00ED1E27" w:rsidRPr="0061785B">
              <w:rPr>
                <w:rStyle w:val="Hyperlink"/>
                <w:rFonts w:eastAsiaTheme="majorEastAsia"/>
                <w:noProof/>
              </w:rPr>
              <w:t>Financial instrument disclosures</w:t>
            </w:r>
            <w:r w:rsidR="00ED1E27">
              <w:rPr>
                <w:noProof/>
                <w:webHidden/>
              </w:rPr>
              <w:tab/>
            </w:r>
            <w:r w:rsidR="00ED1E27">
              <w:rPr>
                <w:noProof/>
                <w:webHidden/>
              </w:rPr>
              <w:fldChar w:fldCharType="begin"/>
            </w:r>
            <w:r w:rsidR="00ED1E27">
              <w:rPr>
                <w:noProof/>
                <w:webHidden/>
              </w:rPr>
              <w:instrText xml:space="preserve"> PAGEREF _Toc430091395 \h </w:instrText>
            </w:r>
            <w:r w:rsidR="00ED1E27">
              <w:rPr>
                <w:noProof/>
                <w:webHidden/>
              </w:rPr>
            </w:r>
            <w:r w:rsidR="00ED1E27">
              <w:rPr>
                <w:noProof/>
                <w:webHidden/>
              </w:rPr>
              <w:fldChar w:fldCharType="separate"/>
            </w:r>
            <w:r w:rsidR="004427AD">
              <w:rPr>
                <w:noProof/>
                <w:webHidden/>
              </w:rPr>
              <w:t>239</w:t>
            </w:r>
            <w:r w:rsidR="00ED1E27">
              <w:rPr>
                <w:noProof/>
                <w:webHidden/>
              </w:rPr>
              <w:fldChar w:fldCharType="end"/>
            </w:r>
          </w:hyperlink>
        </w:p>
        <w:p w14:paraId="0DD81AD3"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96" w:history="1">
            <w:r w:rsidR="00ED1E27" w:rsidRPr="0061785B">
              <w:rPr>
                <w:rStyle w:val="Hyperlink"/>
                <w:noProof/>
              </w:rPr>
              <w:t>36.</w:t>
            </w:r>
            <w:r w:rsidR="00ED1E27">
              <w:rPr>
                <w:rFonts w:asciiTheme="minorHAnsi" w:eastAsiaTheme="minorEastAsia" w:hAnsiTheme="minorHAnsi" w:cstheme="minorBidi"/>
                <w:noProof/>
                <w:sz w:val="22"/>
                <w:szCs w:val="22"/>
                <w:lang w:eastAsia="en-AU"/>
              </w:rPr>
              <w:tab/>
            </w:r>
            <w:r w:rsidR="00ED1E27" w:rsidRPr="0061785B">
              <w:rPr>
                <w:rStyle w:val="Hyperlink"/>
                <w:noProof/>
              </w:rPr>
              <w:t>Remuneration of members of the accountable authority and senior officers</w:t>
            </w:r>
            <w:r w:rsidR="00ED1E27">
              <w:rPr>
                <w:noProof/>
                <w:webHidden/>
              </w:rPr>
              <w:tab/>
            </w:r>
            <w:r w:rsidR="00ED1E27">
              <w:rPr>
                <w:noProof/>
                <w:webHidden/>
              </w:rPr>
              <w:fldChar w:fldCharType="begin"/>
            </w:r>
            <w:r w:rsidR="00ED1E27">
              <w:rPr>
                <w:noProof/>
                <w:webHidden/>
              </w:rPr>
              <w:instrText xml:space="preserve"> PAGEREF _Toc430091396 \h </w:instrText>
            </w:r>
            <w:r w:rsidR="00ED1E27">
              <w:rPr>
                <w:noProof/>
                <w:webHidden/>
              </w:rPr>
            </w:r>
            <w:r w:rsidR="00ED1E27">
              <w:rPr>
                <w:noProof/>
                <w:webHidden/>
              </w:rPr>
              <w:fldChar w:fldCharType="separate"/>
            </w:r>
            <w:r w:rsidR="004427AD">
              <w:rPr>
                <w:noProof/>
                <w:webHidden/>
              </w:rPr>
              <w:t>246</w:t>
            </w:r>
            <w:r w:rsidR="00ED1E27">
              <w:rPr>
                <w:noProof/>
                <w:webHidden/>
              </w:rPr>
              <w:fldChar w:fldCharType="end"/>
            </w:r>
          </w:hyperlink>
        </w:p>
        <w:p w14:paraId="3689D91C"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97" w:history="1">
            <w:r w:rsidR="00ED1E27" w:rsidRPr="0061785B">
              <w:rPr>
                <w:rStyle w:val="Hyperlink"/>
                <w:noProof/>
              </w:rPr>
              <w:t>37.</w:t>
            </w:r>
            <w:r w:rsidR="00ED1E27">
              <w:rPr>
                <w:rFonts w:asciiTheme="minorHAnsi" w:eastAsiaTheme="minorEastAsia" w:hAnsiTheme="minorHAnsi" w:cstheme="minorBidi"/>
                <w:noProof/>
                <w:sz w:val="22"/>
                <w:szCs w:val="22"/>
                <w:lang w:eastAsia="en-AU"/>
              </w:rPr>
              <w:tab/>
            </w:r>
            <w:r w:rsidR="00ED1E27" w:rsidRPr="0061785B">
              <w:rPr>
                <w:rStyle w:val="Hyperlink"/>
                <w:noProof/>
              </w:rPr>
              <w:t>Remuneration of auditor</w:t>
            </w:r>
            <w:r w:rsidR="00ED1E27">
              <w:rPr>
                <w:noProof/>
                <w:webHidden/>
              </w:rPr>
              <w:tab/>
            </w:r>
            <w:r w:rsidR="00ED1E27">
              <w:rPr>
                <w:noProof/>
                <w:webHidden/>
              </w:rPr>
              <w:fldChar w:fldCharType="begin"/>
            </w:r>
            <w:r w:rsidR="00ED1E27">
              <w:rPr>
                <w:noProof/>
                <w:webHidden/>
              </w:rPr>
              <w:instrText xml:space="preserve"> PAGEREF _Toc430091397 \h </w:instrText>
            </w:r>
            <w:r w:rsidR="00ED1E27">
              <w:rPr>
                <w:noProof/>
                <w:webHidden/>
              </w:rPr>
            </w:r>
            <w:r w:rsidR="00ED1E27">
              <w:rPr>
                <w:noProof/>
                <w:webHidden/>
              </w:rPr>
              <w:fldChar w:fldCharType="separate"/>
            </w:r>
            <w:r w:rsidR="004427AD">
              <w:rPr>
                <w:noProof/>
                <w:webHidden/>
              </w:rPr>
              <w:t>248</w:t>
            </w:r>
            <w:r w:rsidR="00ED1E27">
              <w:rPr>
                <w:noProof/>
                <w:webHidden/>
              </w:rPr>
              <w:fldChar w:fldCharType="end"/>
            </w:r>
          </w:hyperlink>
        </w:p>
        <w:p w14:paraId="615AD372"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98" w:history="1">
            <w:r w:rsidR="00ED1E27" w:rsidRPr="0061785B">
              <w:rPr>
                <w:rStyle w:val="Hyperlink"/>
                <w:noProof/>
              </w:rPr>
              <w:t>38.</w:t>
            </w:r>
            <w:r w:rsidR="00ED1E27">
              <w:rPr>
                <w:rFonts w:asciiTheme="minorHAnsi" w:eastAsiaTheme="minorEastAsia" w:hAnsiTheme="minorHAnsi" w:cstheme="minorBidi"/>
                <w:noProof/>
                <w:sz w:val="22"/>
                <w:szCs w:val="22"/>
                <w:lang w:eastAsia="en-AU"/>
              </w:rPr>
              <w:tab/>
            </w:r>
            <w:r w:rsidR="00ED1E27" w:rsidRPr="0061785B">
              <w:rPr>
                <w:rStyle w:val="Hyperlink"/>
                <w:noProof/>
              </w:rPr>
              <w:t>Workers’ Compensation &amp; Injury Management Trust Account</w:t>
            </w:r>
            <w:r w:rsidR="00ED1E27">
              <w:rPr>
                <w:noProof/>
                <w:webHidden/>
              </w:rPr>
              <w:tab/>
            </w:r>
            <w:r w:rsidR="00ED1E27">
              <w:rPr>
                <w:noProof/>
                <w:webHidden/>
              </w:rPr>
              <w:fldChar w:fldCharType="begin"/>
            </w:r>
            <w:r w:rsidR="00ED1E27">
              <w:rPr>
                <w:noProof/>
                <w:webHidden/>
              </w:rPr>
              <w:instrText xml:space="preserve"> PAGEREF _Toc430091398 \h </w:instrText>
            </w:r>
            <w:r w:rsidR="00ED1E27">
              <w:rPr>
                <w:noProof/>
                <w:webHidden/>
              </w:rPr>
            </w:r>
            <w:r w:rsidR="00ED1E27">
              <w:rPr>
                <w:noProof/>
                <w:webHidden/>
              </w:rPr>
              <w:fldChar w:fldCharType="separate"/>
            </w:r>
            <w:r w:rsidR="004427AD">
              <w:rPr>
                <w:noProof/>
                <w:webHidden/>
              </w:rPr>
              <w:t>248</w:t>
            </w:r>
            <w:r w:rsidR="00ED1E27">
              <w:rPr>
                <w:noProof/>
                <w:webHidden/>
              </w:rPr>
              <w:fldChar w:fldCharType="end"/>
            </w:r>
          </w:hyperlink>
        </w:p>
        <w:p w14:paraId="746EB92B"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399" w:history="1">
            <w:r w:rsidR="00ED1E27" w:rsidRPr="0061785B">
              <w:rPr>
                <w:rStyle w:val="Hyperlink"/>
                <w:noProof/>
              </w:rPr>
              <w:t>39.</w:t>
            </w:r>
            <w:r w:rsidR="00ED1E27">
              <w:rPr>
                <w:rFonts w:asciiTheme="minorHAnsi" w:eastAsiaTheme="minorEastAsia" w:hAnsiTheme="minorHAnsi" w:cstheme="minorBidi"/>
                <w:noProof/>
                <w:sz w:val="22"/>
                <w:szCs w:val="22"/>
                <w:lang w:eastAsia="en-AU"/>
              </w:rPr>
              <w:tab/>
            </w:r>
            <w:r w:rsidR="00ED1E27" w:rsidRPr="0061785B">
              <w:rPr>
                <w:rStyle w:val="Hyperlink"/>
                <w:noProof/>
              </w:rPr>
              <w:t>Supplementary financial information</w:t>
            </w:r>
            <w:r w:rsidR="00ED1E27">
              <w:rPr>
                <w:noProof/>
                <w:webHidden/>
              </w:rPr>
              <w:tab/>
            </w:r>
            <w:r w:rsidR="00ED1E27">
              <w:rPr>
                <w:noProof/>
                <w:webHidden/>
              </w:rPr>
              <w:fldChar w:fldCharType="begin"/>
            </w:r>
            <w:r w:rsidR="00ED1E27">
              <w:rPr>
                <w:noProof/>
                <w:webHidden/>
              </w:rPr>
              <w:instrText xml:space="preserve"> PAGEREF _Toc430091399 \h </w:instrText>
            </w:r>
            <w:r w:rsidR="00ED1E27">
              <w:rPr>
                <w:noProof/>
                <w:webHidden/>
              </w:rPr>
            </w:r>
            <w:r w:rsidR="00ED1E27">
              <w:rPr>
                <w:noProof/>
                <w:webHidden/>
              </w:rPr>
              <w:fldChar w:fldCharType="separate"/>
            </w:r>
            <w:r w:rsidR="004427AD">
              <w:rPr>
                <w:noProof/>
                <w:webHidden/>
              </w:rPr>
              <w:t>249</w:t>
            </w:r>
            <w:r w:rsidR="00ED1E27">
              <w:rPr>
                <w:noProof/>
                <w:webHidden/>
              </w:rPr>
              <w:fldChar w:fldCharType="end"/>
            </w:r>
          </w:hyperlink>
        </w:p>
        <w:p w14:paraId="56C29105"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400" w:history="1">
            <w:r w:rsidR="00ED1E27" w:rsidRPr="0061785B">
              <w:rPr>
                <w:rStyle w:val="Hyperlink"/>
                <w:noProof/>
              </w:rPr>
              <w:t>40.</w:t>
            </w:r>
            <w:r w:rsidR="00ED1E27">
              <w:rPr>
                <w:rFonts w:asciiTheme="minorHAnsi" w:eastAsiaTheme="minorEastAsia" w:hAnsiTheme="minorHAnsi" w:cstheme="minorBidi"/>
                <w:noProof/>
                <w:sz w:val="22"/>
                <w:szCs w:val="22"/>
                <w:lang w:eastAsia="en-AU"/>
              </w:rPr>
              <w:tab/>
            </w:r>
            <w:r w:rsidR="00ED1E27" w:rsidRPr="0061785B">
              <w:rPr>
                <w:rStyle w:val="Hyperlink"/>
                <w:noProof/>
              </w:rPr>
              <w:t>Related bodies</w:t>
            </w:r>
            <w:r w:rsidR="00ED1E27">
              <w:rPr>
                <w:noProof/>
                <w:webHidden/>
              </w:rPr>
              <w:tab/>
            </w:r>
            <w:r w:rsidR="00ED1E27">
              <w:rPr>
                <w:noProof/>
                <w:webHidden/>
              </w:rPr>
              <w:fldChar w:fldCharType="begin"/>
            </w:r>
            <w:r w:rsidR="00ED1E27">
              <w:rPr>
                <w:noProof/>
                <w:webHidden/>
              </w:rPr>
              <w:instrText xml:space="preserve"> PAGEREF _Toc430091400 \h </w:instrText>
            </w:r>
            <w:r w:rsidR="00ED1E27">
              <w:rPr>
                <w:noProof/>
                <w:webHidden/>
              </w:rPr>
            </w:r>
            <w:r w:rsidR="00ED1E27">
              <w:rPr>
                <w:noProof/>
                <w:webHidden/>
              </w:rPr>
              <w:fldChar w:fldCharType="separate"/>
            </w:r>
            <w:r w:rsidR="004427AD">
              <w:rPr>
                <w:noProof/>
                <w:webHidden/>
              </w:rPr>
              <w:t>251</w:t>
            </w:r>
            <w:r w:rsidR="00ED1E27">
              <w:rPr>
                <w:noProof/>
                <w:webHidden/>
              </w:rPr>
              <w:fldChar w:fldCharType="end"/>
            </w:r>
          </w:hyperlink>
        </w:p>
        <w:p w14:paraId="014243F6"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401" w:history="1">
            <w:r w:rsidR="00ED1E27" w:rsidRPr="0061785B">
              <w:rPr>
                <w:rStyle w:val="Hyperlink"/>
                <w:noProof/>
              </w:rPr>
              <w:t>41.</w:t>
            </w:r>
            <w:r w:rsidR="00ED1E27">
              <w:rPr>
                <w:rFonts w:asciiTheme="minorHAnsi" w:eastAsiaTheme="minorEastAsia" w:hAnsiTheme="minorHAnsi" w:cstheme="minorBidi"/>
                <w:noProof/>
                <w:sz w:val="22"/>
                <w:szCs w:val="22"/>
                <w:lang w:eastAsia="en-AU"/>
              </w:rPr>
              <w:tab/>
            </w:r>
            <w:r w:rsidR="00ED1E27" w:rsidRPr="0061785B">
              <w:rPr>
                <w:rStyle w:val="Hyperlink"/>
                <w:noProof/>
              </w:rPr>
              <w:t>Affiliated bodies</w:t>
            </w:r>
            <w:r w:rsidR="00ED1E27">
              <w:rPr>
                <w:noProof/>
                <w:webHidden/>
              </w:rPr>
              <w:tab/>
            </w:r>
            <w:r w:rsidR="00ED1E27">
              <w:rPr>
                <w:noProof/>
                <w:webHidden/>
              </w:rPr>
              <w:fldChar w:fldCharType="begin"/>
            </w:r>
            <w:r w:rsidR="00ED1E27">
              <w:rPr>
                <w:noProof/>
                <w:webHidden/>
              </w:rPr>
              <w:instrText xml:space="preserve"> PAGEREF _Toc430091401 \h </w:instrText>
            </w:r>
            <w:r w:rsidR="00ED1E27">
              <w:rPr>
                <w:noProof/>
                <w:webHidden/>
              </w:rPr>
            </w:r>
            <w:r w:rsidR="00ED1E27">
              <w:rPr>
                <w:noProof/>
                <w:webHidden/>
              </w:rPr>
              <w:fldChar w:fldCharType="separate"/>
            </w:r>
            <w:r w:rsidR="004427AD">
              <w:rPr>
                <w:noProof/>
                <w:webHidden/>
              </w:rPr>
              <w:t>251</w:t>
            </w:r>
            <w:r w:rsidR="00ED1E27">
              <w:rPr>
                <w:noProof/>
                <w:webHidden/>
              </w:rPr>
              <w:fldChar w:fldCharType="end"/>
            </w:r>
          </w:hyperlink>
        </w:p>
        <w:p w14:paraId="6635F15B"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402" w:history="1">
            <w:r w:rsidR="00ED1E27" w:rsidRPr="0061785B">
              <w:rPr>
                <w:rStyle w:val="Hyperlink"/>
                <w:noProof/>
              </w:rPr>
              <w:t>42.</w:t>
            </w:r>
            <w:r w:rsidR="00ED1E27">
              <w:rPr>
                <w:rFonts w:asciiTheme="minorHAnsi" w:eastAsiaTheme="minorEastAsia" w:hAnsiTheme="minorHAnsi" w:cstheme="minorBidi"/>
                <w:noProof/>
                <w:sz w:val="22"/>
                <w:szCs w:val="22"/>
                <w:lang w:eastAsia="en-AU"/>
              </w:rPr>
              <w:tab/>
            </w:r>
            <w:r w:rsidR="00ED1E27" w:rsidRPr="0061785B">
              <w:rPr>
                <w:rStyle w:val="Hyperlink"/>
                <w:noProof/>
              </w:rPr>
              <w:t>Indian Ocean Territories</w:t>
            </w:r>
            <w:r w:rsidR="00ED1E27">
              <w:rPr>
                <w:noProof/>
                <w:webHidden/>
              </w:rPr>
              <w:tab/>
            </w:r>
            <w:r w:rsidR="00ED1E27">
              <w:rPr>
                <w:noProof/>
                <w:webHidden/>
              </w:rPr>
              <w:fldChar w:fldCharType="begin"/>
            </w:r>
            <w:r w:rsidR="00ED1E27">
              <w:rPr>
                <w:noProof/>
                <w:webHidden/>
              </w:rPr>
              <w:instrText xml:space="preserve"> PAGEREF _Toc430091402 \h </w:instrText>
            </w:r>
            <w:r w:rsidR="00ED1E27">
              <w:rPr>
                <w:noProof/>
                <w:webHidden/>
              </w:rPr>
            </w:r>
            <w:r w:rsidR="00ED1E27">
              <w:rPr>
                <w:noProof/>
                <w:webHidden/>
              </w:rPr>
              <w:fldChar w:fldCharType="separate"/>
            </w:r>
            <w:r w:rsidR="004427AD">
              <w:rPr>
                <w:noProof/>
                <w:webHidden/>
              </w:rPr>
              <w:t>251</w:t>
            </w:r>
            <w:r w:rsidR="00ED1E27">
              <w:rPr>
                <w:noProof/>
                <w:webHidden/>
              </w:rPr>
              <w:fldChar w:fldCharType="end"/>
            </w:r>
          </w:hyperlink>
        </w:p>
        <w:p w14:paraId="3E792AB8" w14:textId="77777777" w:rsidR="00ED1E27" w:rsidRDefault="000C10D6">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30091403" w:history="1">
            <w:r w:rsidR="00ED1E27" w:rsidRPr="0061785B">
              <w:rPr>
                <w:rStyle w:val="Hyperlink"/>
                <w:noProof/>
              </w:rPr>
              <w:t>43.</w:t>
            </w:r>
            <w:r w:rsidR="00ED1E27">
              <w:rPr>
                <w:rFonts w:asciiTheme="minorHAnsi" w:eastAsiaTheme="minorEastAsia" w:hAnsiTheme="minorHAnsi" w:cstheme="minorBidi"/>
                <w:noProof/>
                <w:sz w:val="22"/>
                <w:szCs w:val="22"/>
                <w:lang w:eastAsia="en-AU"/>
              </w:rPr>
              <w:tab/>
            </w:r>
            <w:r w:rsidR="00ED1E27" w:rsidRPr="0061785B">
              <w:rPr>
                <w:rStyle w:val="Hyperlink"/>
                <w:noProof/>
              </w:rPr>
              <w:t>Schedule of income and expenses by service</w:t>
            </w:r>
            <w:r w:rsidR="00ED1E27">
              <w:rPr>
                <w:noProof/>
                <w:webHidden/>
              </w:rPr>
              <w:tab/>
            </w:r>
            <w:r w:rsidR="00ED1E27">
              <w:rPr>
                <w:noProof/>
                <w:webHidden/>
              </w:rPr>
              <w:fldChar w:fldCharType="begin"/>
            </w:r>
            <w:r w:rsidR="00ED1E27">
              <w:rPr>
                <w:noProof/>
                <w:webHidden/>
              </w:rPr>
              <w:instrText xml:space="preserve"> PAGEREF _Toc430091403 \h </w:instrText>
            </w:r>
            <w:r w:rsidR="00ED1E27">
              <w:rPr>
                <w:noProof/>
                <w:webHidden/>
              </w:rPr>
            </w:r>
            <w:r w:rsidR="00ED1E27">
              <w:rPr>
                <w:noProof/>
                <w:webHidden/>
              </w:rPr>
              <w:fldChar w:fldCharType="separate"/>
            </w:r>
            <w:r w:rsidR="004427AD">
              <w:rPr>
                <w:noProof/>
                <w:webHidden/>
              </w:rPr>
              <w:t>252</w:t>
            </w:r>
            <w:r w:rsidR="00ED1E27">
              <w:rPr>
                <w:noProof/>
                <w:webHidden/>
              </w:rPr>
              <w:fldChar w:fldCharType="end"/>
            </w:r>
          </w:hyperlink>
        </w:p>
        <w:p w14:paraId="5220DA9F" w14:textId="3C9B9B6F" w:rsidR="00667578" w:rsidRDefault="00667578" w:rsidP="009C78DE">
          <w:pPr>
            <w:tabs>
              <w:tab w:val="left" w:pos="1545"/>
              <w:tab w:val="left" w:pos="1605"/>
              <w:tab w:val="left" w:pos="2985"/>
            </w:tabs>
          </w:pPr>
          <w:r>
            <w:rPr>
              <w:b/>
              <w:bCs/>
              <w:noProof/>
            </w:rPr>
            <w:fldChar w:fldCharType="end"/>
          </w:r>
        </w:p>
      </w:sdtContent>
    </w:sdt>
    <w:p w14:paraId="22E3CD85" w14:textId="77777777" w:rsidR="00667578" w:rsidRDefault="00667578">
      <w:pPr>
        <w:keepLines w:val="0"/>
        <w:spacing w:after="0" w:line="240" w:lineRule="auto"/>
        <w:rPr>
          <w:color w:val="808080" w:themeColor="background2" w:themeShade="80"/>
        </w:rPr>
      </w:pPr>
    </w:p>
    <w:p w14:paraId="543C25C1" w14:textId="77777777" w:rsidR="00667578" w:rsidRDefault="00667578">
      <w:pPr>
        <w:keepLines w:val="0"/>
        <w:spacing w:after="0" w:line="240" w:lineRule="auto"/>
        <w:rPr>
          <w:color w:val="808080" w:themeColor="background2" w:themeShade="80"/>
        </w:rPr>
      </w:pPr>
    </w:p>
    <w:p w14:paraId="4097C5DE" w14:textId="77777777" w:rsidR="00667578" w:rsidRDefault="00667578">
      <w:pPr>
        <w:keepLines w:val="0"/>
        <w:spacing w:after="0" w:line="240" w:lineRule="auto"/>
        <w:rPr>
          <w:color w:val="808080" w:themeColor="background2" w:themeShade="80"/>
        </w:rPr>
        <w:sectPr w:rsidR="00667578" w:rsidSect="00152F8F">
          <w:headerReference w:type="default" r:id="rId9"/>
          <w:footerReference w:type="even" r:id="rId10"/>
          <w:footerReference w:type="default" r:id="rId11"/>
          <w:headerReference w:type="first" r:id="rId12"/>
          <w:pgSz w:w="11906" w:h="16838" w:code="9"/>
          <w:pgMar w:top="1440" w:right="1440" w:bottom="851" w:left="1440" w:header="680" w:footer="0" w:gutter="0"/>
          <w:pgNumType w:start="0"/>
          <w:cols w:space="708"/>
          <w:titlePg/>
          <w:docGrid w:linePitch="360"/>
        </w:sectPr>
      </w:pPr>
    </w:p>
    <w:p w14:paraId="2E016867" w14:textId="5902782F" w:rsidR="00EC44DA" w:rsidRPr="00746341" w:rsidRDefault="00EC44DA" w:rsidP="00544664">
      <w:pPr>
        <w:pStyle w:val="Heading1nonumber"/>
        <w:rPr>
          <w:color w:val="808080" w:themeColor="background2" w:themeShade="80"/>
        </w:rPr>
      </w:pPr>
      <w:bookmarkStart w:id="2" w:name="_Toc430091107"/>
      <w:r w:rsidRPr="00746341">
        <w:rPr>
          <w:color w:val="808080" w:themeColor="background2" w:themeShade="80"/>
        </w:rPr>
        <w:lastRenderedPageBreak/>
        <w:t>Introduction</w:t>
      </w:r>
      <w:bookmarkEnd w:id="2"/>
      <w:bookmarkEnd w:id="1"/>
      <w:bookmarkEnd w:id="0"/>
      <w:r w:rsidRPr="00746341">
        <w:rPr>
          <w:color w:val="808080" w:themeColor="background2" w:themeShade="80"/>
        </w:rPr>
        <w:t xml:space="preserve"> </w:t>
      </w:r>
    </w:p>
    <w:p w14:paraId="070F0DF7" w14:textId="77777777" w:rsidR="00EC44DA" w:rsidRDefault="00EC44DA" w:rsidP="008807AF">
      <w:pPr>
        <w:pStyle w:val="Heading1nonumber"/>
      </w:pPr>
      <w:bookmarkStart w:id="3" w:name="_Toc399316899"/>
      <w:bookmarkStart w:id="4" w:name="_Toc426617387"/>
      <w:bookmarkStart w:id="5" w:name="_Toc430091108"/>
      <w:r>
        <w:t>About this report</w:t>
      </w:r>
      <w:bookmarkEnd w:id="3"/>
      <w:bookmarkEnd w:id="4"/>
      <w:bookmarkEnd w:id="5"/>
    </w:p>
    <w:p w14:paraId="67976856" w14:textId="1844268C" w:rsidR="00EC44DA" w:rsidRDefault="00EC44DA" w:rsidP="008807AF">
      <w:pPr>
        <w:pStyle w:val="Heading2nonumber"/>
      </w:pPr>
      <w:bookmarkStart w:id="6" w:name="_Toc399316900"/>
      <w:bookmarkStart w:id="7" w:name="_Toc426617388"/>
      <w:bookmarkStart w:id="8" w:name="_Toc430091109"/>
      <w:r>
        <w:t>Welcome to our 201</w:t>
      </w:r>
      <w:r w:rsidR="00484288">
        <w:t>4</w:t>
      </w:r>
      <w:r>
        <w:t>/1</w:t>
      </w:r>
      <w:r w:rsidR="00484288">
        <w:t>5</w:t>
      </w:r>
      <w:r>
        <w:t xml:space="preserve"> Annual Report</w:t>
      </w:r>
      <w:bookmarkEnd w:id="6"/>
      <w:bookmarkEnd w:id="7"/>
      <w:bookmarkEnd w:id="8"/>
      <w:r>
        <w:t xml:space="preserve"> </w:t>
      </w:r>
    </w:p>
    <w:p w14:paraId="368AA082" w14:textId="598C7524" w:rsidR="00EC44DA" w:rsidRDefault="00EC44DA" w:rsidP="002C2058">
      <w:r>
        <w:t xml:space="preserve">This report delivers a comprehensive analysis of our oversight and regulation of Western Australia’s workers’ compensation and injury management scheme over the past year. </w:t>
      </w:r>
      <w:r w:rsidR="00B35056">
        <w:t xml:space="preserve">An introduction to </w:t>
      </w:r>
      <w:r w:rsidR="00C726B0">
        <w:t>WorkCover WA</w:t>
      </w:r>
      <w:r w:rsidR="00B35056">
        <w:t xml:space="preserve"> </w:t>
      </w:r>
      <w:r w:rsidR="00B35056" w:rsidRPr="00164D92">
        <w:t>(the Agency)</w:t>
      </w:r>
      <w:r w:rsidR="00B35056">
        <w:t xml:space="preserve"> and our year in review begins on </w:t>
      </w:r>
      <w:r w:rsidR="00B35056" w:rsidRPr="008E4F0D">
        <w:t xml:space="preserve">page </w:t>
      </w:r>
      <w:r w:rsidR="0080187E" w:rsidRPr="008E4F0D">
        <w:t>1</w:t>
      </w:r>
      <w:r w:rsidR="008E4F0D" w:rsidRPr="008E4F0D">
        <w:t>1</w:t>
      </w:r>
      <w:r w:rsidR="00522D62" w:rsidRPr="008E4F0D">
        <w:t>.</w:t>
      </w:r>
      <w:r w:rsidRPr="008E4F0D">
        <w:t xml:space="preserve"> </w:t>
      </w:r>
      <w:r>
        <w:t>For a more comprehensive analysis of aspects of the year refer to section(s):</w:t>
      </w:r>
    </w:p>
    <w:p w14:paraId="7F3C58F7" w14:textId="3193A4CE" w:rsidR="00EC44DA" w:rsidRDefault="00EC44DA" w:rsidP="00EC44DA">
      <w:pPr>
        <w:pStyle w:val="NumberedlistLevel1"/>
      </w:pPr>
      <w:r>
        <w:t xml:space="preserve">Agency in focus </w:t>
      </w:r>
      <w:r w:rsidR="001331F1" w:rsidRPr="008E4F0D">
        <w:t xml:space="preserve">» p. </w:t>
      </w:r>
      <w:r w:rsidR="008E4F0D" w:rsidRPr="008E4F0D">
        <w:t>24</w:t>
      </w:r>
    </w:p>
    <w:p w14:paraId="492DEF58" w14:textId="3EC5ECA0" w:rsidR="00EC44DA" w:rsidRPr="008A231F" w:rsidRDefault="00EC44DA" w:rsidP="00EC44DA">
      <w:pPr>
        <w:pStyle w:val="NumberedlistLevel1"/>
      </w:pPr>
      <w:r>
        <w:t xml:space="preserve">Scheme performance </w:t>
      </w:r>
      <w:r w:rsidRPr="008E4F0D">
        <w:t xml:space="preserve">» p. </w:t>
      </w:r>
      <w:r w:rsidR="0080187E" w:rsidRPr="008E4F0D">
        <w:t>5</w:t>
      </w:r>
      <w:r w:rsidR="008E4F0D" w:rsidRPr="008E4F0D">
        <w:t>9</w:t>
      </w:r>
    </w:p>
    <w:p w14:paraId="0243E74D" w14:textId="43F1B341" w:rsidR="00EC44DA" w:rsidRPr="008807AF" w:rsidRDefault="00EC44DA" w:rsidP="00EC44DA">
      <w:pPr>
        <w:pStyle w:val="NumberedlistLevel1"/>
        <w:rPr>
          <w:color w:val="FF0000"/>
        </w:rPr>
      </w:pPr>
      <w:r>
        <w:t xml:space="preserve">Report on operations </w:t>
      </w:r>
      <w:r w:rsidRPr="009C7BC8">
        <w:t xml:space="preserve">» </w:t>
      </w:r>
      <w:r w:rsidR="001331F1" w:rsidRPr="009C7BC8">
        <w:t xml:space="preserve">p. </w:t>
      </w:r>
      <w:r w:rsidR="0080187E" w:rsidRPr="009C7BC8">
        <w:t>6</w:t>
      </w:r>
      <w:r w:rsidR="009C7BC8" w:rsidRPr="009C7BC8">
        <w:t>8</w:t>
      </w:r>
    </w:p>
    <w:p w14:paraId="020D30C5" w14:textId="0770F4BC" w:rsidR="00EC44DA" w:rsidRDefault="00EC44DA" w:rsidP="00EC44DA">
      <w:pPr>
        <w:pStyle w:val="NumberedlistLevel1"/>
      </w:pPr>
      <w:r>
        <w:t xml:space="preserve">Opportunities and challenges </w:t>
      </w:r>
      <w:r w:rsidRPr="008A231F">
        <w:t xml:space="preserve">» </w:t>
      </w:r>
      <w:r w:rsidRPr="009C7BC8">
        <w:t>p.</w:t>
      </w:r>
      <w:r w:rsidR="001331F1" w:rsidRPr="009C7BC8">
        <w:t xml:space="preserve"> </w:t>
      </w:r>
      <w:r w:rsidR="009C7BC8" w:rsidRPr="009C7BC8">
        <w:t>103</w:t>
      </w:r>
    </w:p>
    <w:p w14:paraId="4F14A719" w14:textId="52782E86" w:rsidR="00EC44DA" w:rsidRDefault="00EC44DA" w:rsidP="00EC44DA">
      <w:pPr>
        <w:pStyle w:val="NumberedlistLevel1"/>
      </w:pPr>
      <w:r>
        <w:t xml:space="preserve">Disclosures and legal compliance </w:t>
      </w:r>
      <w:r w:rsidRPr="009C7BC8">
        <w:t>» p.</w:t>
      </w:r>
      <w:r w:rsidR="0080187E" w:rsidRPr="009C7BC8">
        <w:t>1</w:t>
      </w:r>
      <w:r w:rsidR="00BC2D3E" w:rsidRPr="009C7BC8">
        <w:t>1</w:t>
      </w:r>
      <w:r w:rsidR="009C7BC8" w:rsidRPr="009C7BC8">
        <w:t>4</w:t>
      </w:r>
    </w:p>
    <w:p w14:paraId="665B3707" w14:textId="25643800" w:rsidR="00EC44DA" w:rsidRDefault="00E00D93" w:rsidP="00EC44DA">
      <w:pPr>
        <w:pStyle w:val="NumberedlistLevel1"/>
      </w:pPr>
      <w:r>
        <w:t>Key Performance I</w:t>
      </w:r>
      <w:r w:rsidR="00EC44DA">
        <w:t xml:space="preserve">ndicators </w:t>
      </w:r>
      <w:r w:rsidR="00EC44DA" w:rsidRPr="008A231F">
        <w:t xml:space="preserve">» </w:t>
      </w:r>
      <w:r w:rsidR="00EC44DA" w:rsidRPr="009C7BC8">
        <w:t xml:space="preserve">p. </w:t>
      </w:r>
      <w:r w:rsidR="0080187E" w:rsidRPr="009C7BC8">
        <w:t>13</w:t>
      </w:r>
      <w:r w:rsidR="009C7BC8" w:rsidRPr="009C7BC8">
        <w:t>7</w:t>
      </w:r>
    </w:p>
    <w:p w14:paraId="545AEEA5" w14:textId="22DF0DD8" w:rsidR="00EC44DA" w:rsidRPr="008A231F" w:rsidRDefault="00EC44DA" w:rsidP="00EC44DA">
      <w:pPr>
        <w:pStyle w:val="NumberedlistLevel1"/>
      </w:pPr>
      <w:r>
        <w:t xml:space="preserve">Financial statements and notes </w:t>
      </w:r>
      <w:r w:rsidRPr="009C7BC8">
        <w:t xml:space="preserve">» p. </w:t>
      </w:r>
      <w:r w:rsidR="0080187E" w:rsidRPr="009C7BC8">
        <w:t>1</w:t>
      </w:r>
      <w:r w:rsidR="009C7BC8" w:rsidRPr="009C7BC8">
        <w:t>66</w:t>
      </w:r>
    </w:p>
    <w:p w14:paraId="3F820762" w14:textId="29A14DBD" w:rsidR="00EC44DA" w:rsidRDefault="00EC44DA" w:rsidP="001331F1">
      <w:pPr>
        <w:jc w:val="both"/>
      </w:pPr>
      <w:r>
        <w:t xml:space="preserve">This report was developed in line with the Public Sector Commission’s Western Australian Public Sector Annual </w:t>
      </w:r>
      <w:r w:rsidR="008807AF">
        <w:t>Reporting Framework for the 2014</w:t>
      </w:r>
      <w:r w:rsidR="00CF2DA3">
        <w:t>/</w:t>
      </w:r>
      <w:r w:rsidR="008807AF">
        <w:t>15</w:t>
      </w:r>
      <w:r>
        <w:t xml:space="preserve"> Reporting Year and the Department of Treasury’s Model Annual Report for Net Cost of Service Statutory Authorities. In compliance with these guidelines costs were minimised for production and printing. As printed copies of each annual report are limited, this report is published on the Agency’s website </w:t>
      </w:r>
      <w:r w:rsidRPr="00B35056">
        <w:rPr>
          <w:rStyle w:val="Strong"/>
        </w:rPr>
        <w:t>www.workcover.wa.gov.au</w:t>
      </w:r>
      <w:r>
        <w:t xml:space="preserve"> in the ‘</w:t>
      </w:r>
      <w:r w:rsidR="009B6FCE">
        <w:t>Resources’</w:t>
      </w:r>
      <w:r>
        <w:t xml:space="preserve"> section. It adheres to State Government requirements for accessibility and readability, and can be viewed in PDF format as a whole or in sections. Alternative formats are available on request.</w:t>
      </w:r>
    </w:p>
    <w:p w14:paraId="7A621377" w14:textId="3C4BF8EF" w:rsidR="009E796D" w:rsidRDefault="00B35056" w:rsidP="00EC44DA">
      <w:pPr>
        <w:rPr>
          <w:rStyle w:val="Emphasis"/>
        </w:rPr>
      </w:pPr>
      <w:r w:rsidRPr="00B35056">
        <w:rPr>
          <w:rStyle w:val="Emphasis"/>
        </w:rPr>
        <w:t xml:space="preserve">This publication may be copied in whole or part, with acknowledgement of </w:t>
      </w:r>
      <w:r w:rsidR="00C726B0">
        <w:rPr>
          <w:rStyle w:val="Emphasis"/>
        </w:rPr>
        <w:t>WorkCover WA</w:t>
      </w:r>
      <w:r w:rsidR="00EC44DA" w:rsidRPr="00B35056">
        <w:rPr>
          <w:rStyle w:val="Emphasis"/>
        </w:rPr>
        <w:t>.</w:t>
      </w:r>
    </w:p>
    <w:p w14:paraId="1F91A668" w14:textId="77777777" w:rsidR="009E796D" w:rsidRDefault="009E796D">
      <w:pPr>
        <w:keepLines w:val="0"/>
        <w:spacing w:after="0" w:line="240" w:lineRule="auto"/>
        <w:rPr>
          <w:rStyle w:val="Emphasis"/>
        </w:rPr>
      </w:pPr>
      <w:r>
        <w:rPr>
          <w:rStyle w:val="Emphasis"/>
        </w:rPr>
        <w:br w:type="page"/>
      </w:r>
    </w:p>
    <w:p w14:paraId="31A9A618" w14:textId="77777777" w:rsidR="00EC44DA" w:rsidRDefault="00EC44DA" w:rsidP="008807AF">
      <w:pPr>
        <w:pStyle w:val="Heading1nonumber"/>
      </w:pPr>
      <w:bookmarkStart w:id="9" w:name="_Toc399316901"/>
      <w:bookmarkStart w:id="10" w:name="_Toc426617389"/>
      <w:bookmarkStart w:id="11" w:name="_Toc430091110"/>
      <w:r>
        <w:lastRenderedPageBreak/>
        <w:t>Statement of compliance</w:t>
      </w:r>
      <w:bookmarkEnd w:id="9"/>
      <w:bookmarkEnd w:id="10"/>
      <w:bookmarkEnd w:id="11"/>
    </w:p>
    <w:p w14:paraId="5455B70A" w14:textId="77777777" w:rsidR="00EC44DA" w:rsidRDefault="00EC44DA" w:rsidP="00EC44DA">
      <w:r>
        <w:t>To The Hon Michael Mischin MLC, Minister for Commerce</w:t>
      </w:r>
    </w:p>
    <w:p w14:paraId="775BF00B" w14:textId="77777777" w:rsidR="00EC44DA" w:rsidRDefault="00EC44DA" w:rsidP="00EC44DA">
      <w:r>
        <w:t xml:space="preserve">In accordance with section 63 of the </w:t>
      </w:r>
      <w:r w:rsidRPr="00D775DC">
        <w:rPr>
          <w:rStyle w:val="Emphasis"/>
        </w:rPr>
        <w:t>Financial Management Act 2006</w:t>
      </w:r>
      <w:r>
        <w:t>, we hereby submit for your information and presentation to Parliament the report of the WorkCover Western Australia Authority for the f</w:t>
      </w:r>
      <w:r w:rsidR="008807AF">
        <w:t>inancial year ended 30 June 2015</w:t>
      </w:r>
      <w:r>
        <w:t>.</w:t>
      </w:r>
    </w:p>
    <w:p w14:paraId="1D14C80A" w14:textId="7049742A" w:rsidR="00EC44DA" w:rsidRDefault="00EC44DA" w:rsidP="00EC44DA">
      <w:r>
        <w:t xml:space="preserve">The Annual Report has been prepared in accordance with the provisions of the </w:t>
      </w:r>
      <w:r w:rsidRPr="00B35056">
        <w:rPr>
          <w:rStyle w:val="Emphasis"/>
        </w:rPr>
        <w:t>Financial Management Act 2006</w:t>
      </w:r>
      <w:r>
        <w:t xml:space="preserve"> and</w:t>
      </w:r>
      <w:r w:rsidR="00BB69D9">
        <w:t>,</w:t>
      </w:r>
      <w:r>
        <w:t xml:space="preserve"> where applicable, a statement acknowledging the incorporation within the Report of any special reporting requirements imposed upon WorkCover Western Australia Authority by any other written law.</w:t>
      </w:r>
    </w:p>
    <w:p w14:paraId="414AECCB" w14:textId="77777777" w:rsidR="00B13501" w:rsidRDefault="00B13501" w:rsidP="00EC44DA">
      <w:r>
        <w:rPr>
          <w:noProof/>
          <w:lang w:eastAsia="en-AU"/>
        </w:rPr>
        <w:drawing>
          <wp:inline distT="0" distB="0" distL="0" distR="0" wp14:anchorId="5C998D95" wp14:editId="270661E2">
            <wp:extent cx="1573317" cy="412493"/>
            <wp:effectExtent l="0" t="0" r="0" b="0"/>
            <wp:docPr id="2" name="Picture 1" descr="Chairman WorkCover WA Board, Greg Joyc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 Joyce sig.jpg"/>
                    <pic:cNvPicPr/>
                  </pic:nvPicPr>
                  <pic:blipFill>
                    <a:blip r:embed="rId13" cstate="print"/>
                    <a:srcRect l="3573"/>
                    <a:stretch>
                      <a:fillRect/>
                    </a:stretch>
                  </pic:blipFill>
                  <pic:spPr>
                    <a:xfrm>
                      <a:off x="0" y="0"/>
                      <a:ext cx="1580267" cy="414315"/>
                    </a:xfrm>
                    <a:prstGeom prst="rect">
                      <a:avLst/>
                    </a:prstGeom>
                  </pic:spPr>
                </pic:pic>
              </a:graphicData>
            </a:graphic>
          </wp:inline>
        </w:drawing>
      </w:r>
    </w:p>
    <w:p w14:paraId="240F0D69" w14:textId="22C30D40" w:rsidR="002A39EF" w:rsidRDefault="00E005D9" w:rsidP="00E005D9">
      <w:r>
        <w:t>Greg Joyce</w:t>
      </w:r>
      <w:r>
        <w:br/>
        <w:t>Chairman</w:t>
      </w:r>
      <w:r>
        <w:br/>
      </w:r>
      <w:r w:rsidR="00C726B0">
        <w:t>WorkCover WA</w:t>
      </w:r>
      <w:r w:rsidR="00EC3A7C">
        <w:br/>
      </w:r>
      <w:r w:rsidR="00383DFE" w:rsidRPr="00383DFE">
        <w:t>28 August 2015</w:t>
      </w:r>
      <w:r w:rsidR="00095931" w:rsidRPr="00383DFE">
        <w:t xml:space="preserve"> </w:t>
      </w:r>
    </w:p>
    <w:p w14:paraId="0A276B5A" w14:textId="43749707" w:rsidR="00F04B90" w:rsidRDefault="0013641D" w:rsidP="00B13501">
      <w:r>
        <w:rPr>
          <w:noProof/>
          <w:lang w:eastAsia="en-AU"/>
        </w:rPr>
        <w:drawing>
          <wp:anchor distT="0" distB="0" distL="114300" distR="114300" simplePos="0" relativeHeight="251650560" behindDoc="0" locked="0" layoutInCell="1" allowOverlap="1" wp14:anchorId="642027BA" wp14:editId="6AD2B7AD">
            <wp:simplePos x="0" y="0"/>
            <wp:positionH relativeFrom="column">
              <wp:posOffset>-372745</wp:posOffset>
            </wp:positionH>
            <wp:positionV relativeFrom="paragraph">
              <wp:posOffset>233680</wp:posOffset>
            </wp:positionV>
            <wp:extent cx="1743075" cy="647700"/>
            <wp:effectExtent l="0" t="0" r="9525" b="0"/>
            <wp:wrapSquare wrapText="bothSides"/>
            <wp:docPr id="1" name="Picture 1" descr="Michelle Reynolds, CEO WorkCover WA Signature &#10;" title="WorkCover WA CEO Sing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le Reynolds Signature.jpg"/>
                    <pic:cNvPicPr/>
                  </pic:nvPicPr>
                  <pic:blipFill>
                    <a:blip r:embed="rId14">
                      <a:extLst>
                        <a:ext uri="{28A0092B-C50C-407E-A947-70E740481C1C}">
                          <a14:useLocalDpi xmlns:a14="http://schemas.microsoft.com/office/drawing/2010/main" val="0"/>
                        </a:ext>
                      </a:extLst>
                    </a:blip>
                    <a:stretch>
                      <a:fillRect/>
                    </a:stretch>
                  </pic:blipFill>
                  <pic:spPr>
                    <a:xfrm>
                      <a:off x="0" y="0"/>
                      <a:ext cx="1743075" cy="647700"/>
                    </a:xfrm>
                    <a:prstGeom prst="rect">
                      <a:avLst/>
                    </a:prstGeom>
                  </pic:spPr>
                </pic:pic>
              </a:graphicData>
            </a:graphic>
            <wp14:sizeRelH relativeFrom="page">
              <wp14:pctWidth>0</wp14:pctWidth>
            </wp14:sizeRelH>
            <wp14:sizeRelV relativeFrom="page">
              <wp14:pctHeight>0</wp14:pctHeight>
            </wp14:sizeRelV>
          </wp:anchor>
        </w:drawing>
      </w:r>
    </w:p>
    <w:p w14:paraId="254E079B" w14:textId="2A48BC82" w:rsidR="00F04B90" w:rsidRDefault="00F04B90" w:rsidP="00B13501"/>
    <w:p w14:paraId="0C2BE00F" w14:textId="003B2CD6" w:rsidR="00B13501" w:rsidRDefault="005F08FC" w:rsidP="00B13501">
      <w:r>
        <w:t>Michelle Reynolds</w:t>
      </w:r>
      <w:r w:rsidR="00B13501">
        <w:br/>
        <w:t>Chief Executive Officer</w:t>
      </w:r>
      <w:r w:rsidR="00B13501">
        <w:br/>
      </w:r>
      <w:r w:rsidR="00C726B0">
        <w:t>WorkCover WA</w:t>
      </w:r>
      <w:r w:rsidR="00EC3A7C">
        <w:br/>
      </w:r>
      <w:r w:rsidR="00383DFE" w:rsidRPr="00383DFE">
        <w:t>28 August 2015</w:t>
      </w:r>
    </w:p>
    <w:p w14:paraId="0A3F5314" w14:textId="291E9C5A" w:rsidR="007C698C" w:rsidRDefault="00A37086">
      <w:pPr>
        <w:keepLines w:val="0"/>
        <w:spacing w:after="0" w:line="240" w:lineRule="auto"/>
        <w:rPr>
          <w:rFonts w:eastAsiaTheme="majorEastAsia" w:cs="Arial"/>
          <w:b/>
          <w:bCs/>
          <w:iCs/>
          <w:color w:val="205352"/>
          <w:sz w:val="30"/>
          <w:szCs w:val="30"/>
        </w:rPr>
      </w:pPr>
      <w:r>
        <w:rPr>
          <w:rFonts w:asciiTheme="minorHAnsi" w:eastAsiaTheme="minorEastAsia" w:hAnsiTheme="minorHAnsi" w:cstheme="minorBidi"/>
          <w:noProof/>
          <w:sz w:val="22"/>
          <w:szCs w:val="22"/>
          <w:lang w:eastAsia="en-AU"/>
        </w:rPr>
        <w:drawing>
          <wp:anchor distT="0" distB="0" distL="114300" distR="114300" simplePos="0" relativeHeight="251699200" behindDoc="0" locked="0" layoutInCell="1" allowOverlap="1" wp14:anchorId="1A031DA6" wp14:editId="1CFD5873">
            <wp:simplePos x="0" y="0"/>
            <wp:positionH relativeFrom="column">
              <wp:posOffset>2968334</wp:posOffset>
            </wp:positionH>
            <wp:positionV relativeFrom="page">
              <wp:posOffset>7260579</wp:posOffset>
            </wp:positionV>
            <wp:extent cx="4690745" cy="2622550"/>
            <wp:effectExtent l="0" t="0" r="0" b="6350"/>
            <wp:wrapSquare wrapText="bothSides"/>
            <wp:docPr id="5" name="Picture 5"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filler.jpg"/>
                    <pic:cNvPicPr/>
                  </pic:nvPicPr>
                  <pic:blipFill rotWithShape="1">
                    <a:blip r:embed="rId15" cstate="print">
                      <a:extLst>
                        <a:ext uri="{28A0092B-C50C-407E-A947-70E740481C1C}">
                          <a14:useLocalDpi xmlns:a14="http://schemas.microsoft.com/office/drawing/2010/main" val="0"/>
                        </a:ext>
                      </a:extLst>
                    </a:blip>
                    <a:srcRect l="4970" t="31064" r="13159" b="36577"/>
                    <a:stretch/>
                  </pic:blipFill>
                  <pic:spPr bwMode="auto">
                    <a:xfrm>
                      <a:off x="0" y="0"/>
                      <a:ext cx="4690745" cy="262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98C">
        <w:br w:type="page"/>
      </w:r>
    </w:p>
    <w:p w14:paraId="3A62DF83" w14:textId="77777777" w:rsidR="00EC44DA" w:rsidRPr="00302712" w:rsidRDefault="00EC44DA" w:rsidP="008807AF">
      <w:pPr>
        <w:pStyle w:val="Heading1nonumber"/>
      </w:pPr>
      <w:bookmarkStart w:id="12" w:name="_Toc399316902"/>
      <w:bookmarkStart w:id="13" w:name="_Toc426617390"/>
      <w:bookmarkStart w:id="14" w:name="_Toc430091111"/>
      <w:r w:rsidRPr="00302712">
        <w:lastRenderedPageBreak/>
        <w:t>About us</w:t>
      </w:r>
      <w:bookmarkEnd w:id="12"/>
      <w:bookmarkEnd w:id="13"/>
      <w:bookmarkEnd w:id="14"/>
    </w:p>
    <w:p w14:paraId="7E2575BC" w14:textId="77777777" w:rsidR="00EC44DA" w:rsidRDefault="00EC44DA" w:rsidP="008807AF">
      <w:pPr>
        <w:pStyle w:val="Heading2nonumber"/>
      </w:pPr>
      <w:bookmarkStart w:id="15" w:name="_Toc399316903"/>
      <w:bookmarkStart w:id="16" w:name="_Toc426617391"/>
      <w:bookmarkStart w:id="17" w:name="_Toc430091112"/>
      <w:r>
        <w:t>Our profile</w:t>
      </w:r>
      <w:bookmarkEnd w:id="15"/>
      <w:bookmarkEnd w:id="16"/>
      <w:bookmarkEnd w:id="17"/>
    </w:p>
    <w:p w14:paraId="60FDE555" w14:textId="77777777" w:rsidR="001D6911" w:rsidRDefault="001D6911" w:rsidP="001D6911">
      <w:r>
        <w:t>WorkCover WA is the government agency responsible for overseeing the workers' compensation and injury management scheme in Western Australia.</w:t>
      </w:r>
    </w:p>
    <w:p w14:paraId="26ADF2EE" w14:textId="77777777" w:rsidR="001D6911" w:rsidRDefault="001D6911" w:rsidP="001D6911">
      <w:r>
        <w:t>Our role includes:</w:t>
      </w:r>
    </w:p>
    <w:p w14:paraId="7A4D4E14" w14:textId="77777777" w:rsidR="001D6911" w:rsidRPr="001D6911" w:rsidRDefault="001D6911" w:rsidP="001D6911">
      <w:pPr>
        <w:pStyle w:val="BulletListLevel1"/>
      </w:pPr>
      <w:r w:rsidRPr="001D6911">
        <w:t xml:space="preserve">regulating scheme participants and monitoring compliance with the </w:t>
      </w:r>
      <w:r w:rsidRPr="001D6911">
        <w:rPr>
          <w:rStyle w:val="Emphasis"/>
          <w:iCs w:val="0"/>
        </w:rPr>
        <w:t xml:space="preserve">Workers' Compensation and Injury Management Act 1981 </w:t>
      </w:r>
      <w:r w:rsidRPr="001D6911">
        <w:t>(the Act);</w:t>
      </w:r>
    </w:p>
    <w:p w14:paraId="02B94942" w14:textId="77777777" w:rsidR="001D6911" w:rsidRPr="001D6911" w:rsidRDefault="001D6911" w:rsidP="001D6911">
      <w:pPr>
        <w:pStyle w:val="BulletListLevel1"/>
      </w:pPr>
      <w:r w:rsidRPr="001D6911">
        <w:t>educating workers, employers and other scheme participants about workers' compensation and injury management; and</w:t>
      </w:r>
    </w:p>
    <w:p w14:paraId="193C2359" w14:textId="77777777" w:rsidR="001D6911" w:rsidRPr="001D6911" w:rsidRDefault="001D6911" w:rsidP="001D6911">
      <w:pPr>
        <w:pStyle w:val="BulletListLevel1"/>
      </w:pPr>
      <w:r w:rsidRPr="001D6911">
        <w:t xml:space="preserve"> providing an independent dispute resolution service.</w:t>
      </w:r>
    </w:p>
    <w:p w14:paraId="75CA0C0A" w14:textId="77777777" w:rsidR="008807AF" w:rsidRDefault="008807AF" w:rsidP="008807AF">
      <w:pPr>
        <w:pStyle w:val="Heading2nonumber"/>
      </w:pPr>
      <w:bookmarkStart w:id="18" w:name="_Toc426617392"/>
      <w:bookmarkStart w:id="19" w:name="_Toc430091113"/>
      <w:r>
        <w:t>Our vision</w:t>
      </w:r>
      <w:bookmarkEnd w:id="18"/>
      <w:bookmarkEnd w:id="19"/>
    </w:p>
    <w:p w14:paraId="633CE559" w14:textId="26D5DBE4" w:rsidR="008807AF" w:rsidRPr="008807AF" w:rsidRDefault="008807AF" w:rsidP="00095931">
      <w:pPr>
        <w:rPr>
          <w:rStyle w:val="Strong"/>
          <w:b w:val="0"/>
        </w:rPr>
      </w:pPr>
      <w:r w:rsidRPr="008807AF">
        <w:rPr>
          <w:rStyle w:val="Strong"/>
          <w:b w:val="0"/>
        </w:rPr>
        <w:t>“</w:t>
      </w:r>
      <w:r w:rsidR="00FE64A3">
        <w:rPr>
          <w:rStyle w:val="Strong"/>
          <w:b w:val="0"/>
        </w:rPr>
        <w:t>A</w:t>
      </w:r>
      <w:r w:rsidRPr="008807AF">
        <w:rPr>
          <w:rStyle w:val="Strong"/>
          <w:b w:val="0"/>
        </w:rPr>
        <w:t xml:space="preserve"> workers’ compensation and injury management scheme that works for all.”</w:t>
      </w:r>
    </w:p>
    <w:p w14:paraId="32378224" w14:textId="77777777" w:rsidR="00EC44DA" w:rsidRDefault="00EC44DA" w:rsidP="008807AF">
      <w:pPr>
        <w:pStyle w:val="Heading2nonumber"/>
      </w:pPr>
      <w:bookmarkStart w:id="20" w:name="_Toc399316904"/>
      <w:bookmarkStart w:id="21" w:name="_Toc426617393"/>
      <w:bookmarkStart w:id="22" w:name="_Toc430091114"/>
      <w:r>
        <w:t>Our purpose</w:t>
      </w:r>
      <w:bookmarkEnd w:id="20"/>
      <w:bookmarkEnd w:id="21"/>
      <w:bookmarkEnd w:id="22"/>
    </w:p>
    <w:p w14:paraId="16886DC1" w14:textId="674F50C8" w:rsidR="00EC44DA" w:rsidRDefault="00581B5E" w:rsidP="00095931">
      <w:r>
        <w:t>WorkCover WA’s purpose is to</w:t>
      </w:r>
      <w:r w:rsidR="00EC44DA">
        <w:t xml:space="preserve"> lead a contemporary, healthy and integrated workers’ compensation scheme that is fair, accessible and cost-effective for all participants through:</w:t>
      </w:r>
    </w:p>
    <w:p w14:paraId="0AE75451" w14:textId="77777777" w:rsidR="00EC44DA" w:rsidRDefault="00EC44DA" w:rsidP="00FE7BCB">
      <w:pPr>
        <w:pStyle w:val="BulletListLevel1"/>
      </w:pPr>
      <w:r>
        <w:t>providing advice and guidance on workers’ compensation and injury management</w:t>
      </w:r>
    </w:p>
    <w:p w14:paraId="679A5AAD" w14:textId="77777777" w:rsidR="00EC44DA" w:rsidRDefault="00EC44DA" w:rsidP="00FE7BCB">
      <w:pPr>
        <w:pStyle w:val="BulletListLevel1"/>
      </w:pPr>
      <w:r>
        <w:t xml:space="preserve">active, responsive and transparent management of the scheme </w:t>
      </w:r>
    </w:p>
    <w:p w14:paraId="279581FB" w14:textId="77777777" w:rsidR="00EC44DA" w:rsidRDefault="00EC44DA" w:rsidP="00FE7BCB">
      <w:pPr>
        <w:pStyle w:val="BulletListLevel1"/>
      </w:pPr>
      <w:r>
        <w:t xml:space="preserve">focused information, education and compliance activities </w:t>
      </w:r>
    </w:p>
    <w:p w14:paraId="2DA83993" w14:textId="77777777" w:rsidR="00EC44DA" w:rsidRDefault="00EC44DA" w:rsidP="00FE7BCB">
      <w:pPr>
        <w:pStyle w:val="BulletListLevel1"/>
      </w:pPr>
      <w:r>
        <w:t>fair and timely dispute resolution</w:t>
      </w:r>
    </w:p>
    <w:p w14:paraId="29B58981" w14:textId="6924403F" w:rsidR="004930C8" w:rsidRDefault="00EC44DA" w:rsidP="00FE7BCB">
      <w:pPr>
        <w:pStyle w:val="BulletListLevel1"/>
      </w:pPr>
      <w:r>
        <w:t>a strong customer service focus.</w:t>
      </w:r>
    </w:p>
    <w:p w14:paraId="3AEB1F80" w14:textId="5726B75D" w:rsidR="00EC44DA" w:rsidRPr="004930C8" w:rsidRDefault="004930C8" w:rsidP="004930C8">
      <w:pPr>
        <w:keepLines w:val="0"/>
        <w:spacing w:after="0" w:line="240" w:lineRule="auto"/>
        <w:rPr>
          <w:rFonts w:eastAsiaTheme="minorHAnsi" w:cs="Arial"/>
          <w:bCs/>
        </w:rPr>
      </w:pPr>
      <w:r>
        <w:br w:type="page"/>
      </w:r>
    </w:p>
    <w:p w14:paraId="38D2F824" w14:textId="7B835F03" w:rsidR="00EC44DA" w:rsidRPr="001331F1" w:rsidRDefault="00EC44DA" w:rsidP="008807AF">
      <w:pPr>
        <w:pStyle w:val="Heading2nonumber"/>
        <w:rPr>
          <w:color w:val="auto"/>
        </w:rPr>
      </w:pPr>
      <w:bookmarkStart w:id="23" w:name="_Toc399316905"/>
      <w:bookmarkStart w:id="24" w:name="_Toc426617394"/>
      <w:bookmarkStart w:id="25" w:name="_Toc430091115"/>
      <w:r>
        <w:lastRenderedPageBreak/>
        <w:t>Our strategic direction</w:t>
      </w:r>
      <w:bookmarkEnd w:id="23"/>
      <w:bookmarkEnd w:id="24"/>
      <w:bookmarkEnd w:id="25"/>
    </w:p>
    <w:p w14:paraId="10865858" w14:textId="03672660" w:rsidR="00EC44DA" w:rsidRDefault="00EC44DA" w:rsidP="00EC44DA">
      <w:r w:rsidRPr="001331F1">
        <w:t>T</w:t>
      </w:r>
      <w:r w:rsidR="001D6911">
        <w:t xml:space="preserve">he Agency’s </w:t>
      </w:r>
      <w:r w:rsidR="001D6911" w:rsidRPr="001D6911">
        <w:rPr>
          <w:i/>
        </w:rPr>
        <w:t xml:space="preserve">Strategic Plan 2012 – </w:t>
      </w:r>
      <w:r w:rsidRPr="001D6911">
        <w:rPr>
          <w:i/>
        </w:rPr>
        <w:t>2015</w:t>
      </w:r>
      <w:r w:rsidRPr="001331F1">
        <w:t xml:space="preserve"> </w:t>
      </w:r>
      <w:r w:rsidRPr="008A231F">
        <w:t>(</w:t>
      </w:r>
      <w:r w:rsidRPr="00B21AA8">
        <w:t>see page</w:t>
      </w:r>
      <w:r w:rsidR="00095931" w:rsidRPr="00B21AA8">
        <w:t xml:space="preserve"> </w:t>
      </w:r>
      <w:r w:rsidR="00B21AA8" w:rsidRPr="00B21AA8">
        <w:t>56</w:t>
      </w:r>
      <w:r w:rsidRPr="00B21AA8">
        <w:t xml:space="preserve">) </w:t>
      </w:r>
      <w:r w:rsidR="00FE64A3">
        <w:t>identifies</w:t>
      </w:r>
      <w:r>
        <w:t xml:space="preserve"> four strategic goals that direct </w:t>
      </w:r>
      <w:r w:rsidR="00FE64A3">
        <w:t>and focus</w:t>
      </w:r>
      <w:r w:rsidR="00B35056">
        <w:t xml:space="preserve"> </w:t>
      </w:r>
      <w:r w:rsidR="00C726B0">
        <w:t>WorkCover WA</w:t>
      </w:r>
      <w:r w:rsidR="00B35056">
        <w:t xml:space="preserve">’s </w:t>
      </w:r>
      <w:r w:rsidR="00FE64A3">
        <w:t>activities</w:t>
      </w:r>
      <w:r w:rsidR="00B35056">
        <w:t>:</w:t>
      </w:r>
    </w:p>
    <w:p w14:paraId="0CF7E497" w14:textId="797B29C8" w:rsidR="00EC44DA" w:rsidRPr="00910752" w:rsidRDefault="00EC44DA" w:rsidP="007600E4">
      <w:pPr>
        <w:pStyle w:val="BulletListLevel1"/>
        <w:rPr>
          <w:b/>
        </w:rPr>
      </w:pPr>
      <w:r w:rsidRPr="00FE7BCB">
        <w:rPr>
          <w:rStyle w:val="Strong"/>
        </w:rPr>
        <w:t>Goal 1: Strategic scheme management</w:t>
      </w:r>
      <w:r w:rsidR="00910752">
        <w:rPr>
          <w:rStyle w:val="Strong"/>
        </w:rPr>
        <w:br/>
      </w:r>
      <w:r>
        <w:t>Maintain the integrity and stability of the scheme</w:t>
      </w:r>
    </w:p>
    <w:p w14:paraId="1D092650" w14:textId="00B134B7" w:rsidR="00EC44DA" w:rsidRPr="00910752" w:rsidRDefault="00EC44DA" w:rsidP="007600E4">
      <w:pPr>
        <w:pStyle w:val="BulletListLevel1"/>
        <w:rPr>
          <w:b/>
        </w:rPr>
      </w:pPr>
      <w:r w:rsidRPr="00FE7BCB">
        <w:rPr>
          <w:rStyle w:val="Strong"/>
        </w:rPr>
        <w:t>Goal 2: Stakeholder confidence and engagement</w:t>
      </w:r>
      <w:r w:rsidR="00910752">
        <w:rPr>
          <w:rStyle w:val="Strong"/>
        </w:rPr>
        <w:br/>
      </w:r>
      <w:r>
        <w:t>Promote stakeholder engagement</w:t>
      </w:r>
      <w:r w:rsidR="00FE64A3">
        <w:t xml:space="preserve"> and confidence</w:t>
      </w:r>
      <w:r>
        <w:t xml:space="preserve"> in the sustainability of the scheme</w:t>
      </w:r>
    </w:p>
    <w:p w14:paraId="030F7A0C" w14:textId="26F49B1D" w:rsidR="00EC44DA" w:rsidRPr="00910752" w:rsidRDefault="00EC44DA" w:rsidP="007600E4">
      <w:pPr>
        <w:pStyle w:val="BulletListLevel1"/>
        <w:rPr>
          <w:b/>
        </w:rPr>
      </w:pPr>
      <w:r w:rsidRPr="00FE7BCB">
        <w:rPr>
          <w:rStyle w:val="Strong"/>
        </w:rPr>
        <w:t>Goal 3: Regulatory compliance</w:t>
      </w:r>
      <w:r w:rsidR="00910752">
        <w:rPr>
          <w:rStyle w:val="Strong"/>
        </w:rPr>
        <w:br/>
      </w:r>
      <w:r>
        <w:t>Ensure compliance with the regulatory requirements of the scheme</w:t>
      </w:r>
    </w:p>
    <w:p w14:paraId="03C9CD91" w14:textId="73BBE8C2" w:rsidR="00522D62" w:rsidRDefault="00EC44DA" w:rsidP="007600E4">
      <w:pPr>
        <w:pStyle w:val="BulletListLevel1"/>
      </w:pPr>
      <w:r w:rsidRPr="00F24F5C">
        <w:rPr>
          <w:rStyle w:val="Strong"/>
        </w:rPr>
        <w:t>Goal 4: Organisational excellence</w:t>
      </w:r>
      <w:r w:rsidR="00910752">
        <w:rPr>
          <w:rStyle w:val="Strong"/>
        </w:rPr>
        <w:br/>
      </w:r>
      <w:r w:rsidR="00F52108">
        <w:t xml:space="preserve">Ensure </w:t>
      </w:r>
      <w:r w:rsidR="00C726B0">
        <w:t>WorkCover WA</w:t>
      </w:r>
      <w:r w:rsidR="00F52108">
        <w:t xml:space="preserve"> has the right people, culture, systems and processes to deliver high quality outcomes</w:t>
      </w:r>
    </w:p>
    <w:p w14:paraId="318FC66C" w14:textId="10EF7431" w:rsidR="00EC44DA" w:rsidRPr="00522D62" w:rsidRDefault="00A37086" w:rsidP="00522D62">
      <w:pPr>
        <w:keepLines w:val="0"/>
        <w:spacing w:after="0" w:line="240" w:lineRule="auto"/>
        <w:rPr>
          <w:rFonts w:eastAsiaTheme="minorHAnsi" w:cs="Arial"/>
          <w:bCs/>
        </w:rPr>
      </w:pPr>
      <w:r>
        <w:rPr>
          <w:rFonts w:asciiTheme="minorHAnsi" w:eastAsiaTheme="minorEastAsia" w:hAnsiTheme="minorHAnsi" w:cstheme="minorBidi"/>
          <w:noProof/>
          <w:sz w:val="22"/>
          <w:szCs w:val="22"/>
          <w:lang w:eastAsia="en-AU"/>
        </w:rPr>
        <w:drawing>
          <wp:anchor distT="0" distB="0" distL="114300" distR="114300" simplePos="0" relativeHeight="251700224" behindDoc="0" locked="0" layoutInCell="1" allowOverlap="1" wp14:anchorId="7220523E" wp14:editId="32A76D2E">
            <wp:simplePos x="0" y="0"/>
            <wp:positionH relativeFrom="column">
              <wp:posOffset>-354891</wp:posOffset>
            </wp:positionH>
            <wp:positionV relativeFrom="paragraph">
              <wp:posOffset>779145</wp:posOffset>
            </wp:positionV>
            <wp:extent cx="6879200" cy="3845885"/>
            <wp:effectExtent l="0" t="0" r="0" b="2540"/>
            <wp:wrapSquare wrapText="bothSides"/>
            <wp:docPr id="12" name="Picture 12"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filler.jpg"/>
                    <pic:cNvPicPr/>
                  </pic:nvPicPr>
                  <pic:blipFill rotWithShape="1">
                    <a:blip r:embed="rId16" cstate="print">
                      <a:extLst>
                        <a:ext uri="{28A0092B-C50C-407E-A947-70E740481C1C}">
                          <a14:useLocalDpi xmlns:a14="http://schemas.microsoft.com/office/drawing/2010/main" val="0"/>
                        </a:ext>
                      </a:extLst>
                    </a:blip>
                    <a:srcRect l="4970" t="31064" r="13159" b="36577"/>
                    <a:stretch/>
                  </pic:blipFill>
                  <pic:spPr bwMode="auto">
                    <a:xfrm>
                      <a:off x="0" y="0"/>
                      <a:ext cx="6879200" cy="3845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D62">
        <w:br w:type="page"/>
      </w:r>
    </w:p>
    <w:p w14:paraId="6FDFF7C9" w14:textId="77777777" w:rsidR="00EC44DA" w:rsidRDefault="00EC44DA" w:rsidP="008807AF">
      <w:pPr>
        <w:pStyle w:val="Heading2nonumber"/>
      </w:pPr>
      <w:bookmarkStart w:id="26" w:name="_Toc399316906"/>
      <w:bookmarkStart w:id="27" w:name="_Toc426617395"/>
      <w:bookmarkStart w:id="28" w:name="_Toc430091116"/>
      <w:r>
        <w:lastRenderedPageBreak/>
        <w:t>Our values</w:t>
      </w:r>
      <w:bookmarkEnd w:id="26"/>
      <w:bookmarkEnd w:id="27"/>
      <w:bookmarkEnd w:id="28"/>
    </w:p>
    <w:p w14:paraId="7E31CF1F" w14:textId="77777777" w:rsidR="00EC44DA" w:rsidRDefault="00EC44DA" w:rsidP="00664937">
      <w:pPr>
        <w:pStyle w:val="Heading4"/>
      </w:pPr>
      <w:r>
        <w:t>Customer Service</w:t>
      </w:r>
    </w:p>
    <w:p w14:paraId="57E3C595" w14:textId="77777777" w:rsidR="00EC44DA" w:rsidRDefault="00EC44DA" w:rsidP="00910752">
      <w:pPr>
        <w:pStyle w:val="BulletListLevel1"/>
      </w:pPr>
      <w:r>
        <w:t>We are clear about what we will deliver</w:t>
      </w:r>
    </w:p>
    <w:p w14:paraId="581FBF91" w14:textId="77777777" w:rsidR="00EC44DA" w:rsidRDefault="00EC44DA" w:rsidP="00910752">
      <w:pPr>
        <w:pStyle w:val="BulletListLevel1"/>
      </w:pPr>
      <w:r>
        <w:t>We consider our customers and their needs</w:t>
      </w:r>
    </w:p>
    <w:p w14:paraId="550500BB" w14:textId="7482A8FE" w:rsidR="00EC44DA" w:rsidRDefault="001D6911" w:rsidP="00910752">
      <w:pPr>
        <w:pStyle w:val="BulletListLevel1"/>
      </w:pPr>
      <w:r>
        <w:t>We commit, act and deliver</w:t>
      </w:r>
    </w:p>
    <w:p w14:paraId="3BF9E4B8" w14:textId="77777777" w:rsidR="00EC44DA" w:rsidRDefault="00EC44DA" w:rsidP="00664937">
      <w:pPr>
        <w:pStyle w:val="Heading4"/>
      </w:pPr>
      <w:r>
        <w:t>Innovation</w:t>
      </w:r>
    </w:p>
    <w:p w14:paraId="7CC83810" w14:textId="77777777" w:rsidR="00EC44DA" w:rsidRDefault="00EC44DA" w:rsidP="00910752">
      <w:pPr>
        <w:pStyle w:val="BulletListLevel1"/>
      </w:pPr>
      <w:r>
        <w:t>We are proactive, positive, flexible and act strategically</w:t>
      </w:r>
    </w:p>
    <w:p w14:paraId="281BBA1F" w14:textId="77777777" w:rsidR="00EC44DA" w:rsidRDefault="00EC44DA" w:rsidP="00910752">
      <w:pPr>
        <w:pStyle w:val="BulletListLevel1"/>
      </w:pPr>
      <w:r>
        <w:t>We recognise that change is constant and that it can bring opportunity</w:t>
      </w:r>
    </w:p>
    <w:p w14:paraId="4ABFF7ED" w14:textId="77777777" w:rsidR="00EC44DA" w:rsidRDefault="00EC44DA" w:rsidP="00910752">
      <w:pPr>
        <w:pStyle w:val="BulletListLevel1"/>
      </w:pPr>
      <w:r>
        <w:t>We build on opportunities</w:t>
      </w:r>
    </w:p>
    <w:p w14:paraId="41970F92" w14:textId="77777777" w:rsidR="00EC44DA" w:rsidRDefault="00EC44DA" w:rsidP="00664937">
      <w:pPr>
        <w:pStyle w:val="Heading4"/>
      </w:pPr>
      <w:r>
        <w:t>Respect</w:t>
      </w:r>
    </w:p>
    <w:p w14:paraId="5B3D3106" w14:textId="77777777" w:rsidR="00EC44DA" w:rsidRDefault="00EC44DA" w:rsidP="00910752">
      <w:pPr>
        <w:pStyle w:val="BulletListLevel1"/>
      </w:pPr>
      <w:r>
        <w:t>We embrace diversity and individual differences</w:t>
      </w:r>
    </w:p>
    <w:p w14:paraId="558E9CFA" w14:textId="77777777" w:rsidR="00EC44DA" w:rsidRDefault="00EC44DA" w:rsidP="00910752">
      <w:pPr>
        <w:pStyle w:val="BulletListLevel1"/>
      </w:pPr>
      <w:r>
        <w:t xml:space="preserve">We seek to </w:t>
      </w:r>
      <w:r w:rsidR="00E81B6E">
        <w:t>understand and recognise people</w:t>
      </w:r>
      <w:r>
        <w:t>s</w:t>
      </w:r>
      <w:r w:rsidR="006D3E0B">
        <w:t>’</w:t>
      </w:r>
      <w:r>
        <w:t xml:space="preserve"> interests and rights</w:t>
      </w:r>
    </w:p>
    <w:p w14:paraId="5B290EF1" w14:textId="77777777" w:rsidR="00EC44DA" w:rsidRDefault="00EC44DA" w:rsidP="00910752">
      <w:pPr>
        <w:pStyle w:val="BulletListLevel1"/>
      </w:pPr>
      <w:r>
        <w:t>We are fair and prompt in our actions and dealings with others</w:t>
      </w:r>
    </w:p>
    <w:p w14:paraId="512F1183" w14:textId="77777777" w:rsidR="00EC44DA" w:rsidRDefault="00EC44DA" w:rsidP="00664937">
      <w:pPr>
        <w:pStyle w:val="Heading4"/>
      </w:pPr>
      <w:r>
        <w:t>Integrity</w:t>
      </w:r>
    </w:p>
    <w:p w14:paraId="15BF9FE4" w14:textId="77777777" w:rsidR="00EC44DA" w:rsidRDefault="00EC44DA" w:rsidP="00910752">
      <w:pPr>
        <w:pStyle w:val="BulletListLevel1"/>
      </w:pPr>
      <w:r>
        <w:t>We are trustworthy and accountable</w:t>
      </w:r>
    </w:p>
    <w:p w14:paraId="7365A460" w14:textId="77777777" w:rsidR="00EC44DA" w:rsidRDefault="00EC44DA" w:rsidP="00910752">
      <w:pPr>
        <w:pStyle w:val="BulletListLevel1"/>
      </w:pPr>
      <w:r>
        <w:t>We act in a consistent and impartial manner</w:t>
      </w:r>
    </w:p>
    <w:p w14:paraId="1D5FD9B5" w14:textId="77777777" w:rsidR="00EC44DA" w:rsidRDefault="00EC44DA" w:rsidP="00910752">
      <w:pPr>
        <w:pStyle w:val="BulletListLevel1"/>
      </w:pPr>
      <w:r>
        <w:t>We are transparent in our decision making</w:t>
      </w:r>
    </w:p>
    <w:p w14:paraId="012FBEB6" w14:textId="77777777" w:rsidR="007C698C" w:rsidRDefault="007C698C">
      <w:pPr>
        <w:keepLines w:val="0"/>
        <w:spacing w:after="0" w:line="240" w:lineRule="auto"/>
        <w:rPr>
          <w:rFonts w:ascii="Verdana" w:eastAsiaTheme="majorEastAsia" w:hAnsi="Verdana" w:cstheme="majorBidi"/>
          <w:b/>
          <w:bCs/>
          <w:szCs w:val="28"/>
          <w:lang w:val="en-US" w:eastAsia="en-AU"/>
        </w:rPr>
      </w:pPr>
    </w:p>
    <w:p w14:paraId="1FB40A4F" w14:textId="77777777" w:rsidR="00EC44DA" w:rsidRDefault="00EC44DA" w:rsidP="00664937">
      <w:pPr>
        <w:pStyle w:val="Heading4"/>
      </w:pPr>
      <w:r>
        <w:t>Collaboration</w:t>
      </w:r>
    </w:p>
    <w:p w14:paraId="58FC4966" w14:textId="77777777" w:rsidR="00EC44DA" w:rsidRDefault="00EC44DA" w:rsidP="00910752">
      <w:pPr>
        <w:pStyle w:val="BulletListLevel1"/>
      </w:pPr>
      <w:r>
        <w:t>We work as a team</w:t>
      </w:r>
    </w:p>
    <w:p w14:paraId="6198A515" w14:textId="77777777" w:rsidR="00EC44DA" w:rsidRDefault="00EC44DA" w:rsidP="00910752">
      <w:pPr>
        <w:pStyle w:val="BulletListLevel1"/>
      </w:pPr>
      <w:r>
        <w:t>We value the contribution of others</w:t>
      </w:r>
    </w:p>
    <w:p w14:paraId="380202AD" w14:textId="77777777" w:rsidR="00EC44DA" w:rsidRDefault="00EC44DA" w:rsidP="00910752">
      <w:pPr>
        <w:pStyle w:val="BulletListLevel1"/>
      </w:pPr>
      <w:r>
        <w:t>We embrace a culture of open communication</w:t>
      </w:r>
    </w:p>
    <w:p w14:paraId="402D7DD7" w14:textId="77777777" w:rsidR="00EC44DA" w:rsidRDefault="00EC44DA" w:rsidP="008807AF">
      <w:pPr>
        <w:pStyle w:val="Heading2nonumber"/>
      </w:pPr>
      <w:bookmarkStart w:id="29" w:name="_Toc399316907"/>
      <w:bookmarkStart w:id="30" w:name="_Toc426617396"/>
      <w:bookmarkStart w:id="31" w:name="_Toc430091117"/>
      <w:r>
        <w:lastRenderedPageBreak/>
        <w:t>Our stakeholders</w:t>
      </w:r>
      <w:bookmarkEnd w:id="29"/>
      <w:bookmarkEnd w:id="30"/>
      <w:bookmarkEnd w:id="31"/>
      <w:r>
        <w:t xml:space="preserve"> </w:t>
      </w:r>
    </w:p>
    <w:p w14:paraId="699F5341" w14:textId="30D6273B" w:rsidR="005768AD" w:rsidRPr="005768AD" w:rsidRDefault="005768AD" w:rsidP="005768AD">
      <w:r w:rsidRPr="005768AD">
        <w:t xml:space="preserve">Every worker and employer is a stakeholder in the workers' compensation and injury management scheme. By operating in workers’ compensation and injury management contexts, health providers (general practitioners, allied health, </w:t>
      </w:r>
      <w:r>
        <w:t>Approved Medical Specialists</w:t>
      </w:r>
      <w:r w:rsidR="00FB3696">
        <w:t>, workplace rehabilitation p</w:t>
      </w:r>
      <w:r w:rsidRPr="005768AD">
        <w:t xml:space="preserve">roviders, audiometric officers) and service providers (insurers, legal practitioners) are important scheme participants who contribute to the effective management of the scheme. </w:t>
      </w:r>
    </w:p>
    <w:p w14:paraId="666CCF37" w14:textId="1A88C1F9" w:rsidR="00F52108" w:rsidRPr="00917F25" w:rsidRDefault="00F52108" w:rsidP="005768AD">
      <w:pPr>
        <w:rPr>
          <w:rStyle w:val="Emphasis"/>
        </w:rPr>
      </w:pPr>
      <w:r w:rsidRPr="00917F25">
        <w:rPr>
          <w:rStyle w:val="Emphasis"/>
        </w:rPr>
        <w:t>“</w:t>
      </w:r>
      <w:r w:rsidR="00917F25" w:rsidRPr="00917F25">
        <w:rPr>
          <w:rStyle w:val="Emphasis"/>
        </w:rPr>
        <w:t>The workers’ compensation scheme in Western Australia delivers for workers and employers because of strong relationships between all, exemplified this year at our highly successful Injury Management Conference. Wor</w:t>
      </w:r>
      <w:r w:rsidR="00581B5E">
        <w:rPr>
          <w:rStyle w:val="Emphasis"/>
        </w:rPr>
        <w:t>kCover WA proudly brought the workers’ compensation community</w:t>
      </w:r>
      <w:r w:rsidR="00917F25" w:rsidRPr="00917F25">
        <w:rPr>
          <w:rStyle w:val="Emphasis"/>
        </w:rPr>
        <w:t xml:space="preserve"> together, providing an opportunity to share best practice and collectively consider improvements to the scheme. Collaboration and consultation underpins the way we do our business and ensures scheme sustainability</w:t>
      </w:r>
      <w:r w:rsidR="00F870CD" w:rsidRPr="00917F25">
        <w:rPr>
          <w:rStyle w:val="Emphasis"/>
        </w:rPr>
        <w:t>.”</w:t>
      </w:r>
    </w:p>
    <w:p w14:paraId="77565754" w14:textId="4AA5629B" w:rsidR="00F52108" w:rsidRPr="001B7879" w:rsidRDefault="0024067B" w:rsidP="00F73F52">
      <w:pPr>
        <w:rPr>
          <w:rStyle w:val="Emphasis"/>
          <w:i w:val="0"/>
        </w:rPr>
      </w:pPr>
      <w:r w:rsidRPr="001B7879">
        <w:rPr>
          <w:rStyle w:val="Emphasis"/>
          <w:i w:val="0"/>
        </w:rPr>
        <w:t xml:space="preserve">Michelle Reynolds, </w:t>
      </w:r>
      <w:r w:rsidR="00F52108" w:rsidRPr="001B7879">
        <w:rPr>
          <w:rStyle w:val="Emphasis"/>
          <w:i w:val="0"/>
        </w:rPr>
        <w:t xml:space="preserve">Chief Executive Officer </w:t>
      </w:r>
      <w:r w:rsidR="00C726B0" w:rsidRPr="001B7879">
        <w:rPr>
          <w:rStyle w:val="Emphasis"/>
          <w:i w:val="0"/>
        </w:rPr>
        <w:t>WorkCover WA</w:t>
      </w:r>
    </w:p>
    <w:p w14:paraId="4661365D" w14:textId="45C4B019" w:rsidR="008A77FF" w:rsidRPr="00DD60D5" w:rsidRDefault="00546571">
      <w:pPr>
        <w:keepLines w:val="0"/>
        <w:spacing w:after="0" w:line="240" w:lineRule="auto"/>
        <w:rPr>
          <w:rFonts w:eastAsiaTheme="majorEastAsia" w:cs="Arial"/>
          <w:b/>
          <w:bCs/>
          <w:iCs/>
          <w:sz w:val="30"/>
          <w:szCs w:val="30"/>
        </w:rPr>
      </w:pPr>
      <w:r>
        <w:rPr>
          <w:noProof/>
          <w:lang w:eastAsia="en-AU"/>
        </w:rPr>
        <w:drawing>
          <wp:anchor distT="0" distB="0" distL="114300" distR="114300" simplePos="0" relativeHeight="251711488" behindDoc="0" locked="0" layoutInCell="1" allowOverlap="1" wp14:anchorId="3F5CAA0A" wp14:editId="3FDE41C8">
            <wp:simplePos x="0" y="0"/>
            <wp:positionH relativeFrom="column">
              <wp:posOffset>-1811195</wp:posOffset>
            </wp:positionH>
            <wp:positionV relativeFrom="page">
              <wp:posOffset>5913471</wp:posOffset>
            </wp:positionV>
            <wp:extent cx="6337935" cy="2807970"/>
            <wp:effectExtent l="0" t="0" r="5715" b="0"/>
            <wp:wrapSquare wrapText="bothSides"/>
            <wp:docPr id="21" name="Picture 21"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17" cstate="print">
                      <a:extLst>
                        <a:ext uri="{28A0092B-C50C-407E-A947-70E740481C1C}">
                          <a14:useLocalDpi xmlns:a14="http://schemas.microsoft.com/office/drawing/2010/main" val="0"/>
                        </a:ext>
                      </a:extLst>
                    </a:blip>
                    <a:srcRect t="39269" b="29401"/>
                    <a:stretch/>
                  </pic:blipFill>
                  <pic:spPr bwMode="auto">
                    <a:xfrm>
                      <a:off x="0" y="0"/>
                      <a:ext cx="6337935" cy="280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7FF" w:rsidRPr="008A6619">
        <w:rPr>
          <w:color w:val="FF0000"/>
        </w:rPr>
        <w:br w:type="page"/>
      </w:r>
    </w:p>
    <w:p w14:paraId="1A6F6993" w14:textId="4BCDE99F" w:rsidR="00EC44DA" w:rsidRDefault="00EC44DA" w:rsidP="008807AF">
      <w:pPr>
        <w:pStyle w:val="Heading1nonumber"/>
      </w:pPr>
      <w:bookmarkStart w:id="32" w:name="_Toc399316908"/>
      <w:bookmarkStart w:id="33" w:name="_Toc426617397"/>
      <w:bookmarkStart w:id="34" w:name="_Toc430091118"/>
      <w:r>
        <w:lastRenderedPageBreak/>
        <w:t>Year in review</w:t>
      </w:r>
      <w:bookmarkEnd w:id="32"/>
      <w:bookmarkEnd w:id="33"/>
      <w:bookmarkEnd w:id="34"/>
    </w:p>
    <w:p w14:paraId="3F31F36F" w14:textId="77777777" w:rsidR="00EC44DA" w:rsidRDefault="00EC44DA" w:rsidP="008807AF">
      <w:pPr>
        <w:pStyle w:val="Heading2nonumber"/>
      </w:pPr>
      <w:bookmarkStart w:id="35" w:name="_Toc399316909"/>
      <w:bookmarkStart w:id="36" w:name="_Toc426617398"/>
      <w:bookmarkStart w:id="37" w:name="_Toc430091119"/>
      <w:r w:rsidRPr="00A73F0A">
        <w:t>Year in numbers</w:t>
      </w:r>
      <w:bookmarkEnd w:id="35"/>
      <w:bookmarkEnd w:id="36"/>
      <w:bookmarkEnd w:id="37"/>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Year in number"/>
      </w:tblPr>
      <w:tblGrid>
        <w:gridCol w:w="2136"/>
        <w:gridCol w:w="3862"/>
        <w:gridCol w:w="3023"/>
      </w:tblGrid>
      <w:tr w:rsidR="004D1935" w14:paraId="0FC0EF71" w14:textId="77777777" w:rsidTr="008A77FF">
        <w:tc>
          <w:tcPr>
            <w:tcW w:w="2136" w:type="dxa"/>
            <w:shd w:val="clear" w:color="auto" w:fill="D4E2E0" w:themeFill="accent5"/>
          </w:tcPr>
          <w:p w14:paraId="7A54CAA7" w14:textId="77777777" w:rsidR="004D1935" w:rsidRPr="00F73F52" w:rsidRDefault="004D1935" w:rsidP="007C30AF">
            <w:pPr>
              <w:rPr>
                <w:rStyle w:val="Strong"/>
              </w:rPr>
            </w:pPr>
            <w:r w:rsidRPr="00F73F52">
              <w:rPr>
                <w:rStyle w:val="Strong"/>
              </w:rPr>
              <w:t>Enquiries</w:t>
            </w:r>
          </w:p>
        </w:tc>
        <w:tc>
          <w:tcPr>
            <w:tcW w:w="3862" w:type="dxa"/>
          </w:tcPr>
          <w:p w14:paraId="21EF6700" w14:textId="77777777" w:rsidR="004D1935" w:rsidRPr="001B4122" w:rsidRDefault="00676255" w:rsidP="00C364F0">
            <w:pPr>
              <w:rPr>
                <w:lang w:val="en-GB" w:eastAsia="en-AU"/>
              </w:rPr>
            </w:pPr>
            <w:r>
              <w:rPr>
                <w:lang w:val="en-GB" w:eastAsia="en-AU"/>
              </w:rPr>
              <w:t>i</w:t>
            </w:r>
            <w:r w:rsidR="00C364F0">
              <w:rPr>
                <w:lang w:val="en-GB" w:eastAsia="en-AU"/>
              </w:rPr>
              <w:t>nto expired</w:t>
            </w:r>
            <w:r w:rsidR="004D1935">
              <w:rPr>
                <w:lang w:val="en-GB" w:eastAsia="en-AU"/>
              </w:rPr>
              <w:t xml:space="preserve"> policies, cancellations, new businesses and new owner checks</w:t>
            </w:r>
          </w:p>
        </w:tc>
        <w:tc>
          <w:tcPr>
            <w:tcW w:w="3023" w:type="dxa"/>
          </w:tcPr>
          <w:p w14:paraId="784F2810" w14:textId="3DBE5DFB" w:rsidR="004D1935" w:rsidRPr="00917F25" w:rsidRDefault="00EB6B47" w:rsidP="002D28F7">
            <w:pPr>
              <w:rPr>
                <w:highlight w:val="yellow"/>
                <w:lang w:val="en-GB" w:eastAsia="en-AU"/>
              </w:rPr>
            </w:pPr>
            <w:r>
              <w:rPr>
                <w:lang w:val="en-GB" w:eastAsia="en-AU"/>
              </w:rPr>
              <w:t>10,6</w:t>
            </w:r>
            <w:r w:rsidR="002D28F7">
              <w:rPr>
                <w:lang w:val="en-GB" w:eastAsia="en-AU"/>
              </w:rPr>
              <w:t>21</w:t>
            </w:r>
          </w:p>
        </w:tc>
      </w:tr>
      <w:tr w:rsidR="004D1935" w14:paraId="43A89832" w14:textId="77777777" w:rsidTr="008A77FF">
        <w:tc>
          <w:tcPr>
            <w:tcW w:w="2136" w:type="dxa"/>
            <w:shd w:val="clear" w:color="auto" w:fill="D4E2E0" w:themeFill="accent5"/>
          </w:tcPr>
          <w:p w14:paraId="77AE7ED1" w14:textId="77777777" w:rsidR="004D1935" w:rsidRPr="00F73F52" w:rsidRDefault="004D1935" w:rsidP="007C30AF">
            <w:pPr>
              <w:rPr>
                <w:rStyle w:val="Strong"/>
              </w:rPr>
            </w:pPr>
            <w:r w:rsidRPr="00F73F52">
              <w:rPr>
                <w:rStyle w:val="Strong"/>
              </w:rPr>
              <w:t>Investigations</w:t>
            </w:r>
          </w:p>
        </w:tc>
        <w:tc>
          <w:tcPr>
            <w:tcW w:w="3862" w:type="dxa"/>
          </w:tcPr>
          <w:p w14:paraId="7C43FDAD" w14:textId="5E005A4D" w:rsidR="004D1935" w:rsidRPr="001B4122" w:rsidRDefault="00603C51" w:rsidP="00F73F52">
            <w:pPr>
              <w:rPr>
                <w:lang w:val="en-GB" w:eastAsia="en-AU"/>
              </w:rPr>
            </w:pPr>
            <w:r>
              <w:rPr>
                <w:lang w:val="en-GB" w:eastAsia="en-AU"/>
              </w:rPr>
              <w:t>into potential breaches of the Act</w:t>
            </w:r>
          </w:p>
        </w:tc>
        <w:tc>
          <w:tcPr>
            <w:tcW w:w="3023" w:type="dxa"/>
          </w:tcPr>
          <w:p w14:paraId="5767C976" w14:textId="686B9C01" w:rsidR="004D1935" w:rsidRPr="003E6F4A" w:rsidRDefault="003E6F4A" w:rsidP="00EC66F1">
            <w:pPr>
              <w:rPr>
                <w:highlight w:val="yellow"/>
                <w:lang w:val="en-GB" w:eastAsia="en-AU"/>
              </w:rPr>
            </w:pPr>
            <w:r w:rsidRPr="003E6F4A">
              <w:rPr>
                <w:lang w:val="en-GB" w:eastAsia="en-AU"/>
              </w:rPr>
              <w:t>684</w:t>
            </w:r>
          </w:p>
        </w:tc>
      </w:tr>
      <w:tr w:rsidR="007434F3" w14:paraId="57099A20" w14:textId="77777777" w:rsidTr="008A77FF">
        <w:tc>
          <w:tcPr>
            <w:tcW w:w="2136" w:type="dxa"/>
            <w:shd w:val="clear" w:color="auto" w:fill="D4E2E0" w:themeFill="accent5"/>
          </w:tcPr>
          <w:p w14:paraId="35E39852" w14:textId="77777777" w:rsidR="007434F3" w:rsidRPr="00F73F52" w:rsidRDefault="007434F3" w:rsidP="007434F3">
            <w:pPr>
              <w:rPr>
                <w:rStyle w:val="Strong"/>
              </w:rPr>
            </w:pPr>
            <w:r w:rsidRPr="00F73F52">
              <w:rPr>
                <w:rStyle w:val="Strong"/>
              </w:rPr>
              <w:t>Prosecutions</w:t>
            </w:r>
          </w:p>
        </w:tc>
        <w:tc>
          <w:tcPr>
            <w:tcW w:w="3862" w:type="dxa"/>
          </w:tcPr>
          <w:p w14:paraId="775759AD" w14:textId="77777777" w:rsidR="007434F3" w:rsidRPr="001B4122" w:rsidRDefault="007434F3" w:rsidP="007434F3">
            <w:pPr>
              <w:rPr>
                <w:lang w:val="en-GB" w:eastAsia="en-AU"/>
              </w:rPr>
            </w:pPr>
            <w:r>
              <w:rPr>
                <w:lang w:val="en-GB" w:eastAsia="en-AU"/>
              </w:rPr>
              <w:t>completed against non-compliant employers</w:t>
            </w:r>
          </w:p>
        </w:tc>
        <w:tc>
          <w:tcPr>
            <w:tcW w:w="3023" w:type="dxa"/>
          </w:tcPr>
          <w:p w14:paraId="6D184485" w14:textId="42E4CBA5" w:rsidR="007434F3" w:rsidRPr="0024067B" w:rsidRDefault="007434F3" w:rsidP="007434F3">
            <w:pPr>
              <w:rPr>
                <w:highlight w:val="yellow"/>
                <w:lang w:val="en-GB" w:eastAsia="en-AU"/>
              </w:rPr>
            </w:pPr>
            <w:r w:rsidRPr="00245E80">
              <w:t>79</w:t>
            </w:r>
          </w:p>
        </w:tc>
      </w:tr>
      <w:tr w:rsidR="007434F3" w14:paraId="37A39728" w14:textId="77777777" w:rsidTr="008A77FF">
        <w:tc>
          <w:tcPr>
            <w:tcW w:w="2136" w:type="dxa"/>
            <w:shd w:val="clear" w:color="auto" w:fill="D4E2E0" w:themeFill="accent5"/>
          </w:tcPr>
          <w:p w14:paraId="266AA88D" w14:textId="77777777" w:rsidR="007434F3" w:rsidRPr="00F73F52" w:rsidRDefault="007434F3" w:rsidP="007434F3">
            <w:pPr>
              <w:rPr>
                <w:rStyle w:val="Strong"/>
              </w:rPr>
            </w:pPr>
            <w:r w:rsidRPr="00F73F52">
              <w:rPr>
                <w:rStyle w:val="Strong"/>
              </w:rPr>
              <w:t>Registrations</w:t>
            </w:r>
          </w:p>
        </w:tc>
        <w:tc>
          <w:tcPr>
            <w:tcW w:w="3862" w:type="dxa"/>
          </w:tcPr>
          <w:p w14:paraId="64D0E46A" w14:textId="46B3FA72" w:rsidR="007434F3" w:rsidRPr="001B4122" w:rsidRDefault="007434F3" w:rsidP="007434F3">
            <w:pPr>
              <w:rPr>
                <w:lang w:val="en-GB" w:eastAsia="en-AU"/>
              </w:rPr>
            </w:pPr>
            <w:r>
              <w:rPr>
                <w:lang w:val="en-GB" w:eastAsia="en-AU"/>
              </w:rPr>
              <w:t xml:space="preserve">of </w:t>
            </w:r>
            <w:r w:rsidR="00FB3696">
              <w:rPr>
                <w:lang w:val="en-GB" w:eastAsia="en-AU"/>
              </w:rPr>
              <w:t>Memorandum of A</w:t>
            </w:r>
            <w:r>
              <w:rPr>
                <w:lang w:val="en-GB" w:eastAsia="en-AU"/>
              </w:rPr>
              <w:t>greement for the finalisation of workers’ compensation claims via settlement</w:t>
            </w:r>
          </w:p>
        </w:tc>
        <w:tc>
          <w:tcPr>
            <w:tcW w:w="3023" w:type="dxa"/>
          </w:tcPr>
          <w:p w14:paraId="3CD7A361" w14:textId="6FE6572C" w:rsidR="007434F3" w:rsidRPr="0024067B" w:rsidRDefault="007434F3" w:rsidP="007434F3">
            <w:pPr>
              <w:rPr>
                <w:highlight w:val="yellow"/>
                <w:lang w:val="en-GB" w:eastAsia="en-AU"/>
              </w:rPr>
            </w:pPr>
            <w:r w:rsidRPr="00245E80">
              <w:t>4,113</w:t>
            </w:r>
          </w:p>
        </w:tc>
      </w:tr>
      <w:tr w:rsidR="007434F3" w14:paraId="09E255A4" w14:textId="77777777" w:rsidTr="008A77FF">
        <w:tc>
          <w:tcPr>
            <w:tcW w:w="2136" w:type="dxa"/>
            <w:shd w:val="clear" w:color="auto" w:fill="D4E2E0" w:themeFill="accent5"/>
          </w:tcPr>
          <w:p w14:paraId="19EAA7FC" w14:textId="77777777" w:rsidR="007434F3" w:rsidRPr="00F73F52" w:rsidRDefault="007434F3" w:rsidP="007434F3">
            <w:pPr>
              <w:rPr>
                <w:rStyle w:val="Strong"/>
              </w:rPr>
            </w:pPr>
            <w:r w:rsidRPr="00F73F52">
              <w:rPr>
                <w:rStyle w:val="Strong"/>
              </w:rPr>
              <w:t>Conciliations</w:t>
            </w:r>
          </w:p>
        </w:tc>
        <w:tc>
          <w:tcPr>
            <w:tcW w:w="3862" w:type="dxa"/>
          </w:tcPr>
          <w:p w14:paraId="5A3B28D7" w14:textId="77777777" w:rsidR="007434F3" w:rsidRPr="001B4122" w:rsidRDefault="007434F3" w:rsidP="007434F3">
            <w:pPr>
              <w:rPr>
                <w:lang w:val="en-GB" w:eastAsia="en-AU"/>
              </w:rPr>
            </w:pPr>
            <w:r>
              <w:rPr>
                <w:lang w:val="en-GB" w:eastAsia="en-AU"/>
              </w:rPr>
              <w:t>completed</w:t>
            </w:r>
          </w:p>
        </w:tc>
        <w:tc>
          <w:tcPr>
            <w:tcW w:w="3023" w:type="dxa"/>
          </w:tcPr>
          <w:p w14:paraId="2A9AA616" w14:textId="438035BA" w:rsidR="007434F3" w:rsidRPr="0024067B" w:rsidRDefault="002E55C3" w:rsidP="007434F3">
            <w:pPr>
              <w:rPr>
                <w:highlight w:val="yellow"/>
                <w:lang w:val="en-GB" w:eastAsia="en-AU"/>
              </w:rPr>
            </w:pPr>
            <w:r>
              <w:t>2,242</w:t>
            </w:r>
          </w:p>
        </w:tc>
      </w:tr>
      <w:tr w:rsidR="007434F3" w14:paraId="3CBC88E3" w14:textId="77777777" w:rsidTr="008A77FF">
        <w:tc>
          <w:tcPr>
            <w:tcW w:w="2136" w:type="dxa"/>
            <w:shd w:val="clear" w:color="auto" w:fill="D4E2E0" w:themeFill="accent5"/>
          </w:tcPr>
          <w:p w14:paraId="4AFC182B" w14:textId="77777777" w:rsidR="007434F3" w:rsidRPr="00F73F52" w:rsidRDefault="007434F3" w:rsidP="007434F3">
            <w:pPr>
              <w:rPr>
                <w:rStyle w:val="Strong"/>
              </w:rPr>
            </w:pPr>
            <w:r w:rsidRPr="00F73F52">
              <w:rPr>
                <w:rStyle w:val="Strong"/>
              </w:rPr>
              <w:t>Arbitrations</w:t>
            </w:r>
          </w:p>
        </w:tc>
        <w:tc>
          <w:tcPr>
            <w:tcW w:w="3862" w:type="dxa"/>
          </w:tcPr>
          <w:p w14:paraId="44380E2D" w14:textId="77777777" w:rsidR="007434F3" w:rsidRPr="001B4122" w:rsidRDefault="007434F3" w:rsidP="007434F3">
            <w:pPr>
              <w:rPr>
                <w:lang w:val="en-GB" w:eastAsia="en-AU"/>
              </w:rPr>
            </w:pPr>
            <w:r>
              <w:rPr>
                <w:lang w:val="en-GB" w:eastAsia="en-AU"/>
              </w:rPr>
              <w:t>completed</w:t>
            </w:r>
          </w:p>
        </w:tc>
        <w:tc>
          <w:tcPr>
            <w:tcW w:w="3023" w:type="dxa"/>
          </w:tcPr>
          <w:p w14:paraId="3584A50C" w14:textId="6B6401FA" w:rsidR="007434F3" w:rsidRPr="0024067B" w:rsidRDefault="007434F3" w:rsidP="007434F3">
            <w:pPr>
              <w:rPr>
                <w:highlight w:val="yellow"/>
                <w:lang w:val="en-GB" w:eastAsia="en-AU"/>
              </w:rPr>
            </w:pPr>
            <w:r w:rsidRPr="00245E80">
              <w:t>482</w:t>
            </w:r>
          </w:p>
        </w:tc>
      </w:tr>
      <w:tr w:rsidR="004D1935" w14:paraId="6D0094DB" w14:textId="77777777" w:rsidTr="008A77FF">
        <w:tc>
          <w:tcPr>
            <w:tcW w:w="2136" w:type="dxa"/>
            <w:shd w:val="clear" w:color="auto" w:fill="D4E2E0" w:themeFill="accent5"/>
          </w:tcPr>
          <w:p w14:paraId="27DC49E7" w14:textId="77777777" w:rsidR="004D1935" w:rsidRPr="00F73F52" w:rsidRDefault="004D1935" w:rsidP="007C30AF">
            <w:pPr>
              <w:rPr>
                <w:rStyle w:val="Strong"/>
              </w:rPr>
            </w:pPr>
            <w:r w:rsidRPr="00F73F52">
              <w:rPr>
                <w:rStyle w:val="Strong"/>
              </w:rPr>
              <w:t>Publications</w:t>
            </w:r>
          </w:p>
        </w:tc>
        <w:tc>
          <w:tcPr>
            <w:tcW w:w="3862" w:type="dxa"/>
          </w:tcPr>
          <w:p w14:paraId="490BE9CD" w14:textId="77777777" w:rsidR="004D1935" w:rsidRPr="001B4122" w:rsidRDefault="00676255" w:rsidP="00F73F52">
            <w:pPr>
              <w:rPr>
                <w:lang w:val="en-GB" w:eastAsia="en-AU"/>
              </w:rPr>
            </w:pPr>
            <w:r>
              <w:rPr>
                <w:lang w:val="en-GB" w:eastAsia="en-AU"/>
              </w:rPr>
              <w:t>m</w:t>
            </w:r>
            <w:r w:rsidR="004D1935">
              <w:rPr>
                <w:lang w:val="en-GB" w:eastAsia="en-AU"/>
              </w:rPr>
              <w:t>ailed to workers, employers, health providers and service providers</w:t>
            </w:r>
          </w:p>
        </w:tc>
        <w:tc>
          <w:tcPr>
            <w:tcW w:w="3023" w:type="dxa"/>
          </w:tcPr>
          <w:p w14:paraId="691530DE" w14:textId="5B15590B" w:rsidR="004D1935" w:rsidRPr="00323836" w:rsidRDefault="00323836" w:rsidP="00EC66F1">
            <w:pPr>
              <w:rPr>
                <w:rStyle w:val="Strong"/>
                <w:b w:val="0"/>
                <w:highlight w:val="yellow"/>
              </w:rPr>
            </w:pPr>
            <w:r w:rsidRPr="00323836">
              <w:rPr>
                <w:lang w:val="en-GB" w:eastAsia="en-AU"/>
              </w:rPr>
              <w:t>13,310</w:t>
            </w:r>
          </w:p>
        </w:tc>
      </w:tr>
      <w:tr w:rsidR="004D1935" w14:paraId="3EEADA01" w14:textId="77777777" w:rsidTr="008A77FF">
        <w:tc>
          <w:tcPr>
            <w:tcW w:w="2136" w:type="dxa"/>
            <w:shd w:val="clear" w:color="auto" w:fill="D4E2E0" w:themeFill="accent5"/>
          </w:tcPr>
          <w:p w14:paraId="4A5B7817" w14:textId="77777777" w:rsidR="004D1935" w:rsidRPr="00F73F52" w:rsidRDefault="004D1935" w:rsidP="007C30AF">
            <w:pPr>
              <w:rPr>
                <w:rStyle w:val="Strong"/>
              </w:rPr>
            </w:pPr>
            <w:r w:rsidRPr="00F73F52">
              <w:rPr>
                <w:rStyle w:val="Strong"/>
              </w:rPr>
              <w:t>Visits</w:t>
            </w:r>
          </w:p>
        </w:tc>
        <w:tc>
          <w:tcPr>
            <w:tcW w:w="3862" w:type="dxa"/>
          </w:tcPr>
          <w:p w14:paraId="321ADECD" w14:textId="6B63716E" w:rsidR="004D1935" w:rsidRPr="001B4122" w:rsidRDefault="00676255" w:rsidP="00F73F52">
            <w:pPr>
              <w:rPr>
                <w:lang w:val="en-GB" w:eastAsia="en-AU"/>
              </w:rPr>
            </w:pPr>
            <w:r>
              <w:rPr>
                <w:lang w:val="en-GB" w:eastAsia="en-AU"/>
              </w:rPr>
              <w:t>t</w:t>
            </w:r>
            <w:r w:rsidR="004D1935">
              <w:rPr>
                <w:lang w:val="en-GB" w:eastAsia="en-AU"/>
              </w:rPr>
              <w:t xml:space="preserve">o the </w:t>
            </w:r>
            <w:r w:rsidR="00C726B0">
              <w:rPr>
                <w:lang w:val="en-GB" w:eastAsia="en-AU"/>
              </w:rPr>
              <w:t>WorkCover WA</w:t>
            </w:r>
            <w:r w:rsidR="004D1935">
              <w:rPr>
                <w:lang w:val="en-GB" w:eastAsia="en-AU"/>
              </w:rPr>
              <w:t xml:space="preserve"> website</w:t>
            </w:r>
          </w:p>
        </w:tc>
        <w:tc>
          <w:tcPr>
            <w:tcW w:w="3023" w:type="dxa"/>
          </w:tcPr>
          <w:p w14:paraId="4BE22D26" w14:textId="0D521902" w:rsidR="004D1935" w:rsidRPr="00963F21" w:rsidRDefault="00EF73E8" w:rsidP="00EC66F1">
            <w:pPr>
              <w:rPr>
                <w:rStyle w:val="Strong"/>
                <w:b w:val="0"/>
                <w:highlight w:val="yellow"/>
              </w:rPr>
            </w:pPr>
            <w:r w:rsidRPr="00963F21">
              <w:rPr>
                <w:lang w:val="en-GB" w:eastAsia="en-AU"/>
              </w:rPr>
              <w:t>262,045</w:t>
            </w:r>
          </w:p>
        </w:tc>
      </w:tr>
      <w:tr w:rsidR="004D1935" w14:paraId="31FFE602" w14:textId="77777777" w:rsidTr="008A77FF">
        <w:tc>
          <w:tcPr>
            <w:tcW w:w="2136" w:type="dxa"/>
            <w:shd w:val="clear" w:color="auto" w:fill="D4E2E0" w:themeFill="accent5"/>
          </w:tcPr>
          <w:p w14:paraId="52BA31FA" w14:textId="77777777" w:rsidR="004D1935" w:rsidRPr="00F73F52" w:rsidRDefault="004D1935" w:rsidP="007C30AF">
            <w:pPr>
              <w:rPr>
                <w:rStyle w:val="Strong"/>
              </w:rPr>
            </w:pPr>
            <w:r w:rsidRPr="00F73F52">
              <w:rPr>
                <w:rStyle w:val="Strong"/>
              </w:rPr>
              <w:t>Calls</w:t>
            </w:r>
          </w:p>
        </w:tc>
        <w:tc>
          <w:tcPr>
            <w:tcW w:w="3862" w:type="dxa"/>
          </w:tcPr>
          <w:p w14:paraId="4C1C26F3" w14:textId="77777777" w:rsidR="004D1935" w:rsidRPr="001B4122" w:rsidRDefault="00676255" w:rsidP="00F73F52">
            <w:pPr>
              <w:rPr>
                <w:lang w:val="en-GB" w:eastAsia="en-AU"/>
              </w:rPr>
            </w:pPr>
            <w:r>
              <w:rPr>
                <w:lang w:val="en-GB" w:eastAsia="en-AU"/>
              </w:rPr>
              <w:t>f</w:t>
            </w:r>
            <w:r w:rsidR="004D1935">
              <w:rPr>
                <w:lang w:val="en-GB" w:eastAsia="en-AU"/>
              </w:rPr>
              <w:t>or advice and assistance handled by the Advice and Assistance Unit</w:t>
            </w:r>
          </w:p>
        </w:tc>
        <w:tc>
          <w:tcPr>
            <w:tcW w:w="3023" w:type="dxa"/>
          </w:tcPr>
          <w:p w14:paraId="6F0F1E07" w14:textId="631E6CFD" w:rsidR="004D1935" w:rsidRPr="00DF3CEA" w:rsidRDefault="002D28F7" w:rsidP="003E6F4A">
            <w:pPr>
              <w:rPr>
                <w:rStyle w:val="Strong"/>
                <w:b w:val="0"/>
                <w:highlight w:val="yellow"/>
              </w:rPr>
            </w:pPr>
            <w:r>
              <w:rPr>
                <w:lang w:val="en-GB" w:eastAsia="en-AU"/>
              </w:rPr>
              <w:t>22,836</w:t>
            </w:r>
          </w:p>
        </w:tc>
      </w:tr>
      <w:tr w:rsidR="004D1935" w14:paraId="28D1A11B" w14:textId="77777777" w:rsidTr="008A77FF">
        <w:tc>
          <w:tcPr>
            <w:tcW w:w="2136" w:type="dxa"/>
            <w:shd w:val="clear" w:color="auto" w:fill="D4E2E0" w:themeFill="accent5"/>
          </w:tcPr>
          <w:p w14:paraId="4127B11E" w14:textId="77777777" w:rsidR="004D1935" w:rsidRPr="00F73F52" w:rsidRDefault="004D1935" w:rsidP="007C30AF">
            <w:pPr>
              <w:rPr>
                <w:rStyle w:val="Strong"/>
              </w:rPr>
            </w:pPr>
            <w:r w:rsidRPr="00F73F52">
              <w:rPr>
                <w:rStyle w:val="Strong"/>
              </w:rPr>
              <w:t>Hours</w:t>
            </w:r>
          </w:p>
        </w:tc>
        <w:tc>
          <w:tcPr>
            <w:tcW w:w="3862" w:type="dxa"/>
          </w:tcPr>
          <w:p w14:paraId="2AC2B64C" w14:textId="77777777" w:rsidR="004D1935" w:rsidRPr="001B4122" w:rsidRDefault="00676255" w:rsidP="00F73F52">
            <w:pPr>
              <w:rPr>
                <w:lang w:val="en-GB" w:eastAsia="en-AU"/>
              </w:rPr>
            </w:pPr>
            <w:r>
              <w:rPr>
                <w:lang w:val="en-GB" w:eastAsia="en-AU"/>
              </w:rPr>
              <w:t>o</w:t>
            </w:r>
            <w:r w:rsidR="004D1935">
              <w:rPr>
                <w:lang w:val="en-GB" w:eastAsia="en-AU"/>
              </w:rPr>
              <w:t>f staff training completed</w:t>
            </w:r>
          </w:p>
        </w:tc>
        <w:tc>
          <w:tcPr>
            <w:tcW w:w="3023" w:type="dxa"/>
          </w:tcPr>
          <w:p w14:paraId="0AD858C1" w14:textId="1FF8E972" w:rsidR="004D1935" w:rsidRPr="00D24EC8" w:rsidRDefault="00D24EC8" w:rsidP="00EC66F1">
            <w:pPr>
              <w:rPr>
                <w:rStyle w:val="Strong"/>
                <w:b w:val="0"/>
                <w:highlight w:val="yellow"/>
              </w:rPr>
            </w:pPr>
            <w:r w:rsidRPr="00D24EC8">
              <w:rPr>
                <w:lang w:val="en-GB" w:eastAsia="en-AU"/>
              </w:rPr>
              <w:t>2,401</w:t>
            </w:r>
          </w:p>
        </w:tc>
      </w:tr>
    </w:tbl>
    <w:p w14:paraId="2EB7C994" w14:textId="77777777" w:rsidR="00A14436" w:rsidRDefault="00A14436">
      <w:pPr>
        <w:keepLines w:val="0"/>
        <w:spacing w:after="0" w:line="240" w:lineRule="auto"/>
        <w:rPr>
          <w:rFonts w:eastAsiaTheme="majorEastAsia" w:cs="Arial"/>
          <w:b/>
          <w:bCs/>
          <w:iCs/>
          <w:color w:val="205352"/>
          <w:sz w:val="30"/>
          <w:szCs w:val="30"/>
        </w:rPr>
      </w:pPr>
      <w:bookmarkStart w:id="38" w:name="_Toc399316910"/>
      <w:bookmarkStart w:id="39" w:name="_Toc426617399"/>
      <w:r>
        <w:br w:type="page"/>
      </w:r>
    </w:p>
    <w:p w14:paraId="0D1E5D1B" w14:textId="1A9A5B93" w:rsidR="00EC44DA" w:rsidRDefault="00EC44DA" w:rsidP="008807AF">
      <w:pPr>
        <w:pStyle w:val="Heading2nonumber"/>
      </w:pPr>
      <w:bookmarkStart w:id="40" w:name="_Toc430091120"/>
      <w:r w:rsidRPr="009233BD">
        <w:lastRenderedPageBreak/>
        <w:t>Year in brief</w:t>
      </w:r>
      <w:bookmarkEnd w:id="38"/>
      <w:bookmarkEnd w:id="39"/>
      <w:bookmarkEnd w:id="40"/>
      <w:r>
        <w:t xml:space="preserve"> </w:t>
      </w:r>
    </w:p>
    <w:p w14:paraId="6A94862B" w14:textId="61982841" w:rsidR="007333F1" w:rsidRPr="007333F1" w:rsidRDefault="0059646E" w:rsidP="0059646E">
      <w:pPr>
        <w:rPr>
          <w:lang w:val="en-GB" w:eastAsia="en-AU"/>
        </w:rPr>
      </w:pPr>
      <w:r>
        <w:rPr>
          <w:lang w:val="en-GB" w:eastAsia="en-AU"/>
        </w:rPr>
        <w:t xml:space="preserve">WorkCover WA has a </w:t>
      </w:r>
      <w:r w:rsidRPr="007333F1">
        <w:rPr>
          <w:lang w:val="en-GB" w:eastAsia="en-AU"/>
        </w:rPr>
        <w:t>significant</w:t>
      </w:r>
      <w:r w:rsidR="007333F1" w:rsidRPr="007333F1">
        <w:rPr>
          <w:lang w:val="en-GB" w:eastAsia="en-AU"/>
        </w:rPr>
        <w:t xml:space="preserve"> role in ensuring the Western Australian workers’ compensation and injury management scheme operates fairly and efficiently for all stakeholders</w:t>
      </w:r>
      <w:r w:rsidR="00E2557C">
        <w:rPr>
          <w:lang w:val="en-GB" w:eastAsia="en-AU"/>
        </w:rPr>
        <w:t xml:space="preserve"> (workers and</w:t>
      </w:r>
      <w:r w:rsidR="007333F1" w:rsidRPr="007333F1">
        <w:rPr>
          <w:lang w:val="en-GB" w:eastAsia="en-AU"/>
        </w:rPr>
        <w:t xml:space="preserve"> employers</w:t>
      </w:r>
      <w:r w:rsidR="00E2557C">
        <w:rPr>
          <w:lang w:val="en-GB" w:eastAsia="en-AU"/>
        </w:rPr>
        <w:t>) and scheme participants</w:t>
      </w:r>
      <w:r w:rsidR="007333F1" w:rsidRPr="007333F1">
        <w:rPr>
          <w:lang w:val="en-GB" w:eastAsia="en-AU"/>
        </w:rPr>
        <w:t xml:space="preserve"> </w:t>
      </w:r>
      <w:r w:rsidR="00E2557C">
        <w:rPr>
          <w:lang w:val="en-GB" w:eastAsia="en-AU"/>
        </w:rPr>
        <w:t>(</w:t>
      </w:r>
      <w:r w:rsidR="007333F1" w:rsidRPr="007333F1">
        <w:rPr>
          <w:lang w:val="en-GB" w:eastAsia="en-AU"/>
        </w:rPr>
        <w:t>insurers, health professionals and legal representatives</w:t>
      </w:r>
      <w:r w:rsidR="00E2557C">
        <w:rPr>
          <w:lang w:val="en-GB" w:eastAsia="en-AU"/>
        </w:rPr>
        <w:t>)</w:t>
      </w:r>
      <w:r w:rsidR="007333F1" w:rsidRPr="007333F1">
        <w:rPr>
          <w:lang w:val="en-GB" w:eastAsia="en-AU"/>
        </w:rPr>
        <w:t>.</w:t>
      </w:r>
    </w:p>
    <w:p w14:paraId="0DF54F6D" w14:textId="11E73EA9" w:rsidR="0059646E" w:rsidRPr="0059646E" w:rsidRDefault="007333F1" w:rsidP="0059646E">
      <w:pPr>
        <w:rPr>
          <w:i/>
          <w:lang w:val="en-GB" w:eastAsia="en-AU"/>
        </w:rPr>
      </w:pPr>
      <w:r w:rsidRPr="007333F1">
        <w:rPr>
          <w:lang w:val="en-GB" w:eastAsia="en-AU"/>
        </w:rPr>
        <w:t xml:space="preserve">As detailed in </w:t>
      </w:r>
      <w:r w:rsidR="00ED68D2">
        <w:rPr>
          <w:i/>
          <w:lang w:val="en-GB" w:eastAsia="en-AU"/>
        </w:rPr>
        <w:t>Section 1: Agency in f</w:t>
      </w:r>
      <w:r w:rsidRPr="0059646E">
        <w:rPr>
          <w:i/>
          <w:lang w:val="en-GB" w:eastAsia="en-AU"/>
        </w:rPr>
        <w:t>ocus</w:t>
      </w:r>
      <w:r w:rsidRPr="007333F1">
        <w:rPr>
          <w:lang w:val="en-GB" w:eastAsia="en-AU"/>
        </w:rPr>
        <w:t xml:space="preserve">, WorkCover WA’s contribution to Government </w:t>
      </w:r>
      <w:r w:rsidRPr="0059646E">
        <w:rPr>
          <w:b/>
          <w:lang w:val="en-GB" w:eastAsia="en-AU"/>
        </w:rPr>
        <w:t>Goal 3, ‘Results-Based Service Delivery’</w:t>
      </w:r>
      <w:r w:rsidRPr="007333F1">
        <w:rPr>
          <w:lang w:val="en-GB" w:eastAsia="en-AU"/>
        </w:rPr>
        <w:t xml:space="preserve"> is achieved through the delivery of two services: regulation of scheme participants for compliance with legislative requirements; and the provision of effective and equitable dispute resolution and other services to scheme participants. The Agency’s delivery of these services </w:t>
      </w:r>
      <w:r w:rsidR="00581B5E">
        <w:rPr>
          <w:lang w:val="en-GB" w:eastAsia="en-AU"/>
        </w:rPr>
        <w:t xml:space="preserve">is </w:t>
      </w:r>
      <w:r w:rsidRPr="007333F1">
        <w:rPr>
          <w:lang w:val="en-GB" w:eastAsia="en-AU"/>
        </w:rPr>
        <w:t xml:space="preserve">analysed in </w:t>
      </w:r>
      <w:r w:rsidR="00ED68D2">
        <w:rPr>
          <w:i/>
          <w:lang w:val="en-GB" w:eastAsia="en-AU"/>
        </w:rPr>
        <w:t>Section 3: Report on o</w:t>
      </w:r>
      <w:r w:rsidRPr="00F766AC">
        <w:rPr>
          <w:i/>
          <w:lang w:val="en-GB" w:eastAsia="en-AU"/>
        </w:rPr>
        <w:t>perations</w:t>
      </w:r>
      <w:r w:rsidR="00B26741">
        <w:rPr>
          <w:lang w:val="en-GB" w:eastAsia="en-AU"/>
        </w:rPr>
        <w:t>. WorkCover </w:t>
      </w:r>
      <w:r w:rsidRPr="007333F1">
        <w:rPr>
          <w:lang w:val="en-GB" w:eastAsia="en-AU"/>
        </w:rPr>
        <w:t>WA’s success in delivering thes</w:t>
      </w:r>
      <w:r w:rsidR="00A92B31">
        <w:rPr>
          <w:lang w:val="en-GB" w:eastAsia="en-AU"/>
        </w:rPr>
        <w:t>e services is measured against Key Performance I</w:t>
      </w:r>
      <w:r w:rsidRPr="007333F1">
        <w:rPr>
          <w:lang w:val="en-GB" w:eastAsia="en-AU"/>
        </w:rPr>
        <w:t xml:space="preserve">ndicators (KPIs) outlined in </w:t>
      </w:r>
      <w:r w:rsidRPr="0059646E">
        <w:rPr>
          <w:i/>
          <w:lang w:val="en-GB" w:eastAsia="en-AU"/>
        </w:rPr>
        <w:t>Section 6: Key Performance Indicators.</w:t>
      </w:r>
    </w:p>
    <w:p w14:paraId="16F4BBC7" w14:textId="13692CAA" w:rsidR="0059646E" w:rsidRPr="007333F1" w:rsidRDefault="007333F1" w:rsidP="0059646E">
      <w:pPr>
        <w:rPr>
          <w:lang w:val="en-GB" w:eastAsia="en-AU"/>
        </w:rPr>
      </w:pPr>
      <w:r w:rsidRPr="007333F1">
        <w:rPr>
          <w:lang w:val="en-GB" w:eastAsia="en-AU"/>
        </w:rPr>
        <w:t xml:space="preserve">The overall workers’ compensation environment in the State remained healthy in 2014/15. </w:t>
      </w:r>
      <w:r w:rsidR="00271728">
        <w:rPr>
          <w:rStyle w:val="Normal-ActChar"/>
        </w:rPr>
        <w:t>Section 2: Scheme P</w:t>
      </w:r>
      <w:r w:rsidRPr="0059646E">
        <w:rPr>
          <w:rStyle w:val="Normal-ActChar"/>
        </w:rPr>
        <w:t>erformance</w:t>
      </w:r>
      <w:r w:rsidRPr="007333F1">
        <w:rPr>
          <w:lang w:val="en-GB" w:eastAsia="en-AU"/>
        </w:rPr>
        <w:t xml:space="preserve"> </w:t>
      </w:r>
      <w:r w:rsidR="00271728">
        <w:rPr>
          <w:lang w:val="en-GB" w:eastAsia="en-AU"/>
        </w:rPr>
        <w:t>presents an analysis of</w:t>
      </w:r>
      <w:r w:rsidRPr="007333F1">
        <w:rPr>
          <w:lang w:val="en-GB" w:eastAsia="en-AU"/>
        </w:rPr>
        <w:t xml:space="preserve"> the WA workers’ compensation and injury management scheme.</w:t>
      </w:r>
    </w:p>
    <w:p w14:paraId="45D47717" w14:textId="458DAB6C" w:rsidR="0059646E" w:rsidRPr="007333F1" w:rsidRDefault="007333F1" w:rsidP="0059646E">
      <w:pPr>
        <w:rPr>
          <w:lang w:val="en-GB" w:eastAsia="en-AU"/>
        </w:rPr>
      </w:pPr>
      <w:r w:rsidRPr="007333F1">
        <w:rPr>
          <w:lang w:val="en-GB" w:eastAsia="en-AU"/>
        </w:rPr>
        <w:t>This year’s report concludes the</w:t>
      </w:r>
      <w:r w:rsidR="00FE64A3">
        <w:rPr>
          <w:lang w:val="en-GB" w:eastAsia="en-AU"/>
        </w:rPr>
        <w:t xml:space="preserve"> period cover</w:t>
      </w:r>
      <w:r w:rsidR="00E707BE">
        <w:rPr>
          <w:lang w:val="en-GB" w:eastAsia="en-AU"/>
        </w:rPr>
        <w:t>ed</w:t>
      </w:r>
      <w:r w:rsidR="00FE64A3">
        <w:rPr>
          <w:lang w:val="en-GB" w:eastAsia="en-AU"/>
        </w:rPr>
        <w:t xml:space="preserve"> by</w:t>
      </w:r>
      <w:r w:rsidRPr="007333F1">
        <w:rPr>
          <w:lang w:val="en-GB" w:eastAsia="en-AU"/>
        </w:rPr>
        <w:t xml:space="preserve"> WorkCover </w:t>
      </w:r>
      <w:r w:rsidRPr="005768AD">
        <w:rPr>
          <w:i/>
          <w:lang w:val="en-GB" w:eastAsia="en-AU"/>
        </w:rPr>
        <w:t>WA</w:t>
      </w:r>
      <w:r w:rsidR="00E707BE" w:rsidRPr="005768AD">
        <w:rPr>
          <w:i/>
          <w:lang w:val="en-GB" w:eastAsia="en-AU"/>
        </w:rPr>
        <w:t>’s</w:t>
      </w:r>
      <w:r w:rsidRPr="005768AD">
        <w:rPr>
          <w:i/>
          <w:lang w:val="en-GB" w:eastAsia="en-AU"/>
        </w:rPr>
        <w:t xml:space="preserve"> Strategic Plan 2012–2015</w:t>
      </w:r>
      <w:r w:rsidRPr="007333F1">
        <w:rPr>
          <w:lang w:val="en-GB" w:eastAsia="en-AU"/>
        </w:rPr>
        <w:t xml:space="preserve">. The four key goals of the Strategic Plan </w:t>
      </w:r>
      <w:r w:rsidRPr="00443544">
        <w:rPr>
          <w:shd w:val="clear" w:color="auto" w:fill="F2F2F2" w:themeFill="background1" w:themeFillShade="F2"/>
          <w:lang w:val="en-GB" w:eastAsia="en-AU"/>
        </w:rPr>
        <w:t>(</w:t>
      </w:r>
      <w:r w:rsidRPr="00B21AA8">
        <w:rPr>
          <w:lang w:val="en-GB" w:eastAsia="en-AU"/>
        </w:rPr>
        <w:t xml:space="preserve">page </w:t>
      </w:r>
      <w:r w:rsidR="00443544" w:rsidRPr="00B21AA8">
        <w:rPr>
          <w:lang w:val="en-GB" w:eastAsia="en-AU"/>
        </w:rPr>
        <w:t>5</w:t>
      </w:r>
      <w:r w:rsidR="00B21AA8" w:rsidRPr="00B21AA8">
        <w:rPr>
          <w:lang w:val="en-GB" w:eastAsia="en-AU"/>
        </w:rPr>
        <w:t>6</w:t>
      </w:r>
      <w:r w:rsidRPr="00B21AA8">
        <w:rPr>
          <w:lang w:val="en-GB" w:eastAsia="en-AU"/>
        </w:rPr>
        <w:t xml:space="preserve">) focused </w:t>
      </w:r>
      <w:r w:rsidRPr="007333F1">
        <w:rPr>
          <w:lang w:val="en-GB" w:eastAsia="en-AU"/>
        </w:rPr>
        <w:t xml:space="preserve">on the Agency’s approach to strategic scheme management, stakeholder engagement, regulatory compliance and organisational excellence. In 2014/15, </w:t>
      </w:r>
      <w:r w:rsidR="0059646E">
        <w:rPr>
          <w:lang w:val="en-GB" w:eastAsia="en-AU"/>
        </w:rPr>
        <w:t>three</w:t>
      </w:r>
      <w:r w:rsidRPr="007333F1">
        <w:rPr>
          <w:lang w:val="en-GB" w:eastAsia="en-AU"/>
        </w:rPr>
        <w:t xml:space="preserve"> final initiatives were delivered against this plan. The Agency’s successful delivery of these strategic initiatives is described in detail in </w:t>
      </w:r>
      <w:r w:rsidR="00ED68D2">
        <w:rPr>
          <w:i/>
          <w:lang w:val="en-GB" w:eastAsia="en-AU"/>
        </w:rPr>
        <w:t>Section 3: Report on o</w:t>
      </w:r>
      <w:r w:rsidRPr="0059646E">
        <w:rPr>
          <w:i/>
          <w:lang w:val="en-GB" w:eastAsia="en-AU"/>
        </w:rPr>
        <w:t>perations</w:t>
      </w:r>
      <w:r w:rsidR="0059646E">
        <w:rPr>
          <w:lang w:val="en-GB" w:eastAsia="en-AU"/>
        </w:rPr>
        <w:t xml:space="preserve">. </w:t>
      </w:r>
      <w:r w:rsidR="005768AD">
        <w:rPr>
          <w:lang w:val="en-GB" w:eastAsia="en-AU"/>
        </w:rPr>
        <w:t xml:space="preserve">The </w:t>
      </w:r>
      <w:r w:rsidR="002D28F7">
        <w:rPr>
          <w:i/>
          <w:lang w:val="en-GB" w:eastAsia="en-AU"/>
        </w:rPr>
        <w:t xml:space="preserve">Strategic Plan 2015 - </w:t>
      </w:r>
      <w:r w:rsidR="00F766AC" w:rsidRPr="005768AD">
        <w:rPr>
          <w:i/>
          <w:lang w:val="en-GB" w:eastAsia="en-AU"/>
        </w:rPr>
        <w:t>2018</w:t>
      </w:r>
      <w:r w:rsidR="00F766AC" w:rsidRPr="00F766AC">
        <w:rPr>
          <w:lang w:val="en-GB" w:eastAsia="en-AU"/>
        </w:rPr>
        <w:t xml:space="preserve"> commenced on 1 July 2015.</w:t>
      </w:r>
    </w:p>
    <w:p w14:paraId="0E037586" w14:textId="6103CBF3" w:rsidR="00F766AC" w:rsidRDefault="00E707BE" w:rsidP="0059646E">
      <w:pPr>
        <w:rPr>
          <w:lang w:val="en-GB" w:eastAsia="en-AU"/>
        </w:rPr>
      </w:pPr>
      <w:r>
        <w:rPr>
          <w:lang w:val="en-GB" w:eastAsia="en-AU"/>
        </w:rPr>
        <w:t>With focus on stakeholder engagement, i</w:t>
      </w:r>
      <w:r w:rsidR="00F766AC" w:rsidRPr="00F766AC">
        <w:rPr>
          <w:lang w:val="en-GB" w:eastAsia="en-AU"/>
        </w:rPr>
        <w:t xml:space="preserve">njury management professionals and </w:t>
      </w:r>
      <w:r w:rsidR="00581B5E">
        <w:rPr>
          <w:lang w:val="en-GB" w:eastAsia="en-AU"/>
        </w:rPr>
        <w:t>other service providers</w:t>
      </w:r>
      <w:r w:rsidR="00F766AC" w:rsidRPr="00F766AC">
        <w:rPr>
          <w:lang w:val="en-GB" w:eastAsia="en-AU"/>
        </w:rPr>
        <w:t xml:space="preserve"> had an opportunity to connec</w:t>
      </w:r>
      <w:r w:rsidR="00271728">
        <w:rPr>
          <w:lang w:val="en-GB" w:eastAsia="en-AU"/>
        </w:rPr>
        <w:t xml:space="preserve">t at the inaugural WorkCover WA </w:t>
      </w:r>
      <w:r w:rsidR="00F766AC" w:rsidRPr="00F766AC">
        <w:rPr>
          <w:lang w:val="en-GB" w:eastAsia="en-AU"/>
        </w:rPr>
        <w:t xml:space="preserve">Injury Management Conference which took place </w:t>
      </w:r>
      <w:r w:rsidR="00581B5E">
        <w:rPr>
          <w:lang w:val="en-GB" w:eastAsia="en-AU"/>
        </w:rPr>
        <w:t>in May 2015.</w:t>
      </w:r>
      <w:r w:rsidR="00F766AC" w:rsidRPr="00F766AC">
        <w:rPr>
          <w:lang w:val="en-GB" w:eastAsia="en-AU"/>
        </w:rPr>
        <w:t xml:space="preserve"> A case study on the development of the b</w:t>
      </w:r>
      <w:r w:rsidR="00A40E88">
        <w:rPr>
          <w:lang w:val="en-GB" w:eastAsia="en-AU"/>
        </w:rPr>
        <w:t xml:space="preserve">iennial conference is detailed in </w:t>
      </w:r>
      <w:r w:rsidR="00ED68D2">
        <w:rPr>
          <w:i/>
          <w:lang w:val="en-GB" w:eastAsia="en-AU"/>
        </w:rPr>
        <w:t>Section 3: Report on o</w:t>
      </w:r>
      <w:r w:rsidR="00A40E88" w:rsidRPr="00A40E88">
        <w:rPr>
          <w:i/>
          <w:lang w:val="en-GB" w:eastAsia="en-AU"/>
        </w:rPr>
        <w:t>perations</w:t>
      </w:r>
      <w:r w:rsidR="00A40E88">
        <w:rPr>
          <w:lang w:val="en-GB" w:eastAsia="en-AU"/>
        </w:rPr>
        <w:t xml:space="preserve"> </w:t>
      </w:r>
      <w:r w:rsidR="00A40E88" w:rsidRPr="00B21AA8">
        <w:rPr>
          <w:lang w:val="en-GB" w:eastAsia="en-AU"/>
        </w:rPr>
        <w:t>on</w:t>
      </w:r>
      <w:r w:rsidR="00443544" w:rsidRPr="00B21AA8">
        <w:rPr>
          <w:lang w:val="en-GB" w:eastAsia="en-AU"/>
        </w:rPr>
        <w:t xml:space="preserve"> page</w:t>
      </w:r>
      <w:r w:rsidR="00A40E88" w:rsidRPr="00B21AA8">
        <w:rPr>
          <w:lang w:val="en-GB" w:eastAsia="en-AU"/>
        </w:rPr>
        <w:t xml:space="preserve"> </w:t>
      </w:r>
      <w:r w:rsidR="00B21AA8" w:rsidRPr="00B21AA8">
        <w:rPr>
          <w:lang w:val="en-GB" w:eastAsia="en-AU"/>
        </w:rPr>
        <w:t>95</w:t>
      </w:r>
      <w:r w:rsidR="00F766AC" w:rsidRPr="00B21AA8">
        <w:rPr>
          <w:lang w:val="en-GB" w:eastAsia="en-AU"/>
        </w:rPr>
        <w:t xml:space="preserve">. </w:t>
      </w:r>
    </w:p>
    <w:p w14:paraId="5747D98B" w14:textId="7B5999DA" w:rsidR="00522D62" w:rsidRDefault="00F766AC" w:rsidP="0059646E">
      <w:pPr>
        <w:rPr>
          <w:lang w:val="en-GB" w:eastAsia="en-AU"/>
        </w:rPr>
      </w:pPr>
      <w:r w:rsidRPr="00F766AC">
        <w:rPr>
          <w:lang w:val="en-GB" w:eastAsia="en-AU"/>
        </w:rPr>
        <w:t xml:space="preserve">Internally, the Agency remained committed to the health and wellbeing of its staff through a variety of development and occupational safety and health related initiatives, as outlined in </w:t>
      </w:r>
      <w:r>
        <w:rPr>
          <w:i/>
          <w:lang w:val="en-GB" w:eastAsia="en-AU"/>
        </w:rPr>
        <w:t xml:space="preserve">Section 4: </w:t>
      </w:r>
      <w:r w:rsidR="00ED68D2">
        <w:rPr>
          <w:i/>
          <w:lang w:val="en-GB" w:eastAsia="en-AU"/>
        </w:rPr>
        <w:t>Opportunities and c</w:t>
      </w:r>
      <w:r w:rsidRPr="00F766AC">
        <w:rPr>
          <w:i/>
          <w:lang w:val="en-GB" w:eastAsia="en-AU"/>
        </w:rPr>
        <w:t>hallenges</w:t>
      </w:r>
      <w:r w:rsidRPr="00F766AC">
        <w:rPr>
          <w:lang w:val="en-GB" w:eastAsia="en-AU"/>
        </w:rPr>
        <w:t>.</w:t>
      </w:r>
      <w:r w:rsidR="009B7831">
        <w:rPr>
          <w:lang w:val="en-GB" w:eastAsia="en-AU"/>
        </w:rPr>
        <w:t xml:space="preserve"> </w:t>
      </w:r>
      <w:r w:rsidRPr="00F766AC">
        <w:rPr>
          <w:lang w:val="en-GB" w:eastAsia="en-AU"/>
        </w:rPr>
        <w:t xml:space="preserve">The Agency’s compliance with State Government policies and its financial performance in 2014/15 is disclosed in </w:t>
      </w:r>
      <w:r w:rsidR="00ED68D2">
        <w:rPr>
          <w:i/>
          <w:lang w:val="en-GB" w:eastAsia="en-AU"/>
        </w:rPr>
        <w:t>Section 5: Disclosures and legal c</w:t>
      </w:r>
      <w:r w:rsidRPr="00F766AC">
        <w:rPr>
          <w:i/>
          <w:lang w:val="en-GB" w:eastAsia="en-AU"/>
        </w:rPr>
        <w:t>ompliance</w:t>
      </w:r>
      <w:r w:rsidRPr="00F766AC">
        <w:rPr>
          <w:lang w:val="en-GB" w:eastAsia="en-AU"/>
        </w:rPr>
        <w:t xml:space="preserve"> and </w:t>
      </w:r>
      <w:r w:rsidR="00ED68D2">
        <w:rPr>
          <w:i/>
          <w:lang w:val="en-GB" w:eastAsia="en-AU"/>
        </w:rPr>
        <w:t>Section 7: Financial statements and n</w:t>
      </w:r>
      <w:r w:rsidRPr="00F766AC">
        <w:rPr>
          <w:i/>
          <w:lang w:val="en-GB" w:eastAsia="en-AU"/>
        </w:rPr>
        <w:t>otes</w:t>
      </w:r>
      <w:r>
        <w:rPr>
          <w:lang w:val="en-GB" w:eastAsia="en-AU"/>
        </w:rPr>
        <w:t xml:space="preserve"> respectively</w:t>
      </w:r>
      <w:r w:rsidR="009B7831">
        <w:rPr>
          <w:lang w:val="en-GB" w:eastAsia="en-AU"/>
        </w:rPr>
        <w:t>.</w:t>
      </w:r>
    </w:p>
    <w:p w14:paraId="0903F34E" w14:textId="468E6220" w:rsidR="00EC44DA" w:rsidRDefault="00EC44DA" w:rsidP="008807AF">
      <w:pPr>
        <w:pStyle w:val="Heading2nonumber"/>
      </w:pPr>
      <w:bookmarkStart w:id="41" w:name="_Toc399316911"/>
      <w:bookmarkStart w:id="42" w:name="_Toc426617400"/>
      <w:bookmarkStart w:id="43" w:name="_Toc430091121"/>
      <w:r>
        <w:lastRenderedPageBreak/>
        <w:t>Year in dollars</w:t>
      </w:r>
      <w:bookmarkEnd w:id="41"/>
      <w:bookmarkEnd w:id="42"/>
      <w:bookmarkEnd w:id="43"/>
    </w:p>
    <w:p w14:paraId="0568B1CE" w14:textId="0C1D2E0F" w:rsidR="00E215EC" w:rsidRPr="009C27D2" w:rsidRDefault="00E215EC" w:rsidP="00E215EC">
      <w:r w:rsidRPr="009C27D2">
        <w:t xml:space="preserve">The majority of funding (62%) for WorkCover WA’s activities is derived from insurer contributions in the form of an annual levy on workers’ compensation premiums paid by employers and by a direct levy on employers who are approved by WorkCover WA to self-insure. </w:t>
      </w:r>
    </w:p>
    <w:p w14:paraId="1C79E3A9" w14:textId="4EA6DEB1" w:rsidR="00E215EC" w:rsidRPr="009C27D2" w:rsidRDefault="00E215EC" w:rsidP="00E215EC">
      <w:r w:rsidRPr="009C27D2">
        <w:t xml:space="preserve">The </w:t>
      </w:r>
      <w:r w:rsidR="00425938">
        <w:t>snapshot below</w:t>
      </w:r>
      <w:r w:rsidRPr="009C27D2">
        <w:t xml:space="preserve"> represents a consolidation of both the General and Supplementation Funds. Please refer</w:t>
      </w:r>
      <w:r w:rsidR="00C539D9">
        <w:t xml:space="preserve"> to</w:t>
      </w:r>
      <w:r w:rsidRPr="009C27D2">
        <w:t xml:space="preserve"> </w:t>
      </w:r>
      <w:r w:rsidR="00C539D9">
        <w:rPr>
          <w:i/>
          <w:iCs/>
        </w:rPr>
        <w:t>Section 7: Financial statements and n</w:t>
      </w:r>
      <w:r w:rsidRPr="009C27D2">
        <w:rPr>
          <w:i/>
          <w:iCs/>
        </w:rPr>
        <w:t xml:space="preserve">otes </w:t>
      </w:r>
      <w:r w:rsidRPr="009C27D2">
        <w:t>on page 109 for more detailed analysis and disclosure.</w:t>
      </w:r>
    </w:p>
    <w:p w14:paraId="225FAD38" w14:textId="77777777" w:rsidR="005B05E3" w:rsidRDefault="005B05E3" w:rsidP="005B05E3">
      <w:pPr>
        <w:keepLines w:val="0"/>
        <w:spacing w:after="0" w:line="240" w:lineRule="auto"/>
      </w:pP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1 WorkCover WA totals for 2014/15"/>
        <w:tblDescription w:val="Table 1 consists of Revenue and Expenditure Costs"/>
      </w:tblPr>
      <w:tblGrid>
        <w:gridCol w:w="2379"/>
        <w:gridCol w:w="6642"/>
      </w:tblGrid>
      <w:tr w:rsidR="001B4122" w14:paraId="1832DEE6" w14:textId="77777777" w:rsidTr="00AC1F00">
        <w:trPr>
          <w:tblHeader/>
        </w:trPr>
        <w:tc>
          <w:tcPr>
            <w:tcW w:w="9021" w:type="dxa"/>
            <w:gridSpan w:val="2"/>
            <w:shd w:val="clear" w:color="auto" w:fill="2D4541" w:themeFill="accent2"/>
          </w:tcPr>
          <w:p w14:paraId="1833D9AF" w14:textId="5ED48C09" w:rsidR="001B4122" w:rsidRPr="001B4122" w:rsidRDefault="001B4122" w:rsidP="00FB20CF">
            <w:pPr>
              <w:rPr>
                <w:rStyle w:val="Strong"/>
                <w:color w:val="FFFFFF" w:themeColor="background1"/>
              </w:rPr>
            </w:pPr>
            <w:r w:rsidRPr="00FB20CF">
              <w:rPr>
                <w:rStyle w:val="Strong"/>
                <w:color w:val="FFFFFF" w:themeColor="background2"/>
              </w:rPr>
              <w:t xml:space="preserve">Table </w:t>
            </w:r>
            <w:r w:rsidR="00FB20CF" w:rsidRPr="00FB20CF">
              <w:rPr>
                <w:rStyle w:val="Strong"/>
                <w:color w:val="FFFFFF" w:themeColor="background2"/>
              </w:rPr>
              <w:t>1</w:t>
            </w:r>
            <w:r w:rsidR="00092CFD">
              <w:rPr>
                <w:rStyle w:val="Strong"/>
                <w:color w:val="FFFFFF" w:themeColor="background2"/>
              </w:rPr>
              <w:t xml:space="preserve">: </w:t>
            </w:r>
            <w:r w:rsidR="00C726B0">
              <w:rPr>
                <w:rStyle w:val="Strong"/>
                <w:color w:val="FFFFFF" w:themeColor="background2"/>
              </w:rPr>
              <w:t>WorkCover WA</w:t>
            </w:r>
            <w:r w:rsidR="00092CFD">
              <w:rPr>
                <w:rStyle w:val="Strong"/>
                <w:color w:val="FFFFFF" w:themeColor="background2"/>
              </w:rPr>
              <w:t xml:space="preserve"> totals for 2014/15</w:t>
            </w:r>
          </w:p>
        </w:tc>
      </w:tr>
      <w:tr w:rsidR="001B4122" w14:paraId="7940CC11" w14:textId="77777777" w:rsidTr="00AC1F00">
        <w:tc>
          <w:tcPr>
            <w:tcW w:w="2379" w:type="dxa"/>
            <w:shd w:val="clear" w:color="auto" w:fill="D4E2E0" w:themeFill="accent5"/>
          </w:tcPr>
          <w:p w14:paraId="729DEC9A" w14:textId="77777777" w:rsidR="001B4122" w:rsidRPr="00B90ED7" w:rsidRDefault="001B4122" w:rsidP="001B4122">
            <w:pPr>
              <w:rPr>
                <w:rStyle w:val="Strong"/>
              </w:rPr>
            </w:pPr>
            <w:r w:rsidRPr="00B90ED7">
              <w:rPr>
                <w:rStyle w:val="Strong"/>
              </w:rPr>
              <w:t>Revenue</w:t>
            </w:r>
          </w:p>
        </w:tc>
        <w:tc>
          <w:tcPr>
            <w:tcW w:w="6642" w:type="dxa"/>
          </w:tcPr>
          <w:p w14:paraId="2F8AC1FD" w14:textId="69CC38C0" w:rsidR="001B4122" w:rsidRPr="001B4122" w:rsidRDefault="0031626C" w:rsidP="00092CFD">
            <w:pPr>
              <w:rPr>
                <w:color w:val="FF0000"/>
                <w:lang w:val="en-GB" w:eastAsia="en-AU"/>
              </w:rPr>
            </w:pPr>
            <w:r w:rsidRPr="009C27D2">
              <w:t>$ 34.854 million</w:t>
            </w:r>
          </w:p>
        </w:tc>
      </w:tr>
      <w:tr w:rsidR="001B4122" w14:paraId="1406E722" w14:textId="77777777" w:rsidTr="00AC1F00">
        <w:tc>
          <w:tcPr>
            <w:tcW w:w="2379" w:type="dxa"/>
            <w:shd w:val="clear" w:color="auto" w:fill="D4E2E0" w:themeFill="accent5"/>
          </w:tcPr>
          <w:p w14:paraId="45E19B1E" w14:textId="77777777" w:rsidR="001B4122" w:rsidRPr="00B90ED7" w:rsidRDefault="001B4122" w:rsidP="001B4122">
            <w:pPr>
              <w:rPr>
                <w:rStyle w:val="Strong"/>
              </w:rPr>
            </w:pPr>
            <w:r w:rsidRPr="00B90ED7">
              <w:rPr>
                <w:rStyle w:val="Strong"/>
              </w:rPr>
              <w:t>Expenditure</w:t>
            </w:r>
          </w:p>
        </w:tc>
        <w:tc>
          <w:tcPr>
            <w:tcW w:w="6642" w:type="dxa"/>
          </w:tcPr>
          <w:p w14:paraId="7B0899F3" w14:textId="5BA016DE" w:rsidR="001B4122" w:rsidRPr="001B4122" w:rsidRDefault="0031626C" w:rsidP="00092CFD">
            <w:pPr>
              <w:rPr>
                <w:color w:val="FF0000"/>
                <w:lang w:val="en-GB" w:eastAsia="en-AU"/>
              </w:rPr>
            </w:pPr>
            <w:r w:rsidRPr="009C27D2">
              <w:t>$</w:t>
            </w:r>
            <w:r>
              <w:t xml:space="preserve"> </w:t>
            </w:r>
            <w:r w:rsidRPr="009C27D2">
              <w:t>21.566 million</w:t>
            </w:r>
          </w:p>
        </w:tc>
      </w:tr>
    </w:tbl>
    <w:p w14:paraId="5195EA19" w14:textId="77777777" w:rsidR="005768AD" w:rsidRDefault="005768AD" w:rsidP="005B05E3">
      <w:pPr>
        <w:rPr>
          <w:color w:val="FF0000"/>
        </w:rPr>
      </w:pPr>
    </w:p>
    <w:p w14:paraId="5AB27DBB" w14:textId="77777777" w:rsidR="0031626C" w:rsidRPr="009C27D2" w:rsidRDefault="0031626C" w:rsidP="0031626C">
      <w:pPr>
        <w:rPr>
          <w:lang w:val="en-GB" w:eastAsia="en-AU"/>
        </w:rPr>
      </w:pPr>
      <w:r w:rsidRPr="009C27D2">
        <w:t>Staff costs account for 65 per cent of agency expenditure. The remaining funds were expended on claims, supplies and services, accommodation and other expenses.</w:t>
      </w:r>
    </w:p>
    <w:p w14:paraId="22A4AC7B" w14:textId="2EF84D48" w:rsidR="005B05E3" w:rsidRPr="005B05E3" w:rsidRDefault="00E2557C" w:rsidP="005B05E3">
      <w:pPr>
        <w:rPr>
          <w:color w:val="FF0000"/>
          <w:lang w:val="en-GB" w:eastAsia="en-AU"/>
        </w:rPr>
      </w:pPr>
      <w:r w:rsidRPr="004A018F">
        <w:t xml:space="preserve">Refer to </w:t>
      </w:r>
      <w:r w:rsidRPr="00B41CF2">
        <w:t xml:space="preserve">table </w:t>
      </w:r>
      <w:r w:rsidR="004A018F" w:rsidRPr="00B41CF2">
        <w:t>3</w:t>
      </w:r>
      <w:r w:rsidRPr="00B41CF2">
        <w:t xml:space="preserve"> below </w:t>
      </w:r>
      <w:r w:rsidR="004A018F" w:rsidRPr="004A018F">
        <w:t>for a breakdown of expenditure.</w:t>
      </w:r>
    </w:p>
    <w:p w14:paraId="3E5744B9" w14:textId="77777777" w:rsidR="001B4122" w:rsidRPr="001B4122" w:rsidRDefault="001B4122" w:rsidP="001B4122">
      <w:pPr>
        <w:rPr>
          <w:rStyle w:val="Strong"/>
        </w:rPr>
      </w:pPr>
      <w:r w:rsidRPr="001B4122">
        <w:rPr>
          <w:rStyle w:val="Strong"/>
        </w:rPr>
        <w:t>Full financial analysis and disclosures available at:</w:t>
      </w:r>
    </w:p>
    <w:p w14:paraId="34F452E3" w14:textId="0B0B66FD" w:rsidR="001B4122" w:rsidRPr="00B41CF2" w:rsidRDefault="006815FF" w:rsidP="001B4122">
      <w:pPr>
        <w:rPr>
          <w:lang w:val="en-GB" w:eastAsia="en-AU"/>
        </w:rPr>
      </w:pPr>
      <w:r>
        <w:rPr>
          <w:lang w:val="en-GB" w:eastAsia="en-AU"/>
        </w:rPr>
        <w:t>Report on funds m</w:t>
      </w:r>
      <w:r w:rsidR="001B4122" w:rsidRPr="001B4122">
        <w:rPr>
          <w:lang w:val="en-GB" w:eastAsia="en-AU"/>
        </w:rPr>
        <w:t xml:space="preserve">anagement </w:t>
      </w:r>
      <w:r w:rsidR="001B4122" w:rsidRPr="001B4122">
        <w:t xml:space="preserve">» </w:t>
      </w:r>
      <w:r w:rsidR="001B4122" w:rsidRPr="00B41CF2">
        <w:t xml:space="preserve">p. </w:t>
      </w:r>
      <w:r w:rsidR="00B41CF2" w:rsidRPr="00B41CF2">
        <w:t>114</w:t>
      </w:r>
    </w:p>
    <w:p w14:paraId="63C50232" w14:textId="3EBF269C" w:rsidR="00184DF0" w:rsidRPr="00B41CF2" w:rsidRDefault="006815FF" w:rsidP="001B4122">
      <w:pPr>
        <w:rPr>
          <w:shd w:val="clear" w:color="auto" w:fill="F2F2F2" w:themeFill="background2" w:themeFillShade="F2"/>
          <w:lang w:val="en-GB" w:eastAsia="en-AU"/>
        </w:rPr>
      </w:pPr>
      <w:r w:rsidRPr="00B41CF2">
        <w:rPr>
          <w:lang w:val="en-GB" w:eastAsia="en-AU"/>
        </w:rPr>
        <w:t>Financial statements and n</w:t>
      </w:r>
      <w:r w:rsidR="001B4122" w:rsidRPr="00B41CF2">
        <w:rPr>
          <w:lang w:val="en-GB" w:eastAsia="en-AU"/>
        </w:rPr>
        <w:t xml:space="preserve">otes » p. </w:t>
      </w:r>
      <w:r w:rsidR="00B41CF2" w:rsidRPr="00B41CF2">
        <w:rPr>
          <w:lang w:val="en-GB" w:eastAsia="en-AU"/>
        </w:rPr>
        <w:t>165</w:t>
      </w:r>
    </w:p>
    <w:p w14:paraId="0A1839F0" w14:textId="7162886A" w:rsidR="002A39EF" w:rsidRPr="00184DF0" w:rsidRDefault="00184DF0" w:rsidP="00184DF0">
      <w:pPr>
        <w:keepLines w:val="0"/>
        <w:spacing w:after="0" w:line="240" w:lineRule="auto"/>
        <w:rPr>
          <w:color w:val="FF0000"/>
          <w:highlight w:val="lightGray"/>
          <w:shd w:val="clear" w:color="auto" w:fill="F2F2F2" w:themeFill="background2" w:themeFillShade="F2"/>
          <w:lang w:val="en-GB" w:eastAsia="en-AU"/>
        </w:rPr>
      </w:pPr>
      <w:r>
        <w:rPr>
          <w:color w:val="FF0000"/>
          <w:highlight w:val="lightGray"/>
          <w:shd w:val="clear" w:color="auto" w:fill="F2F2F2" w:themeFill="background2" w:themeFillShade="F2"/>
          <w:lang w:val="en-GB" w:eastAsia="en-AU"/>
        </w:rPr>
        <w:br w:type="page"/>
      </w:r>
    </w:p>
    <w:tbl>
      <w:tblPr>
        <w:tblStyle w:val="TableGrid"/>
        <w:tblW w:w="0" w:type="auto"/>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ook w:val="04A0" w:firstRow="1" w:lastRow="0" w:firstColumn="1" w:lastColumn="0" w:noHBand="0" w:noVBand="1"/>
        <w:tblCaption w:val="Table 2 WorkCover WA Income"/>
        <w:tblDescription w:val="Table 2 consists of Interest revenue, insurer contribution, employers indemnity supplementation fund and all other revenue"/>
      </w:tblPr>
      <w:tblGrid>
        <w:gridCol w:w="2381"/>
        <w:gridCol w:w="6640"/>
      </w:tblGrid>
      <w:tr w:rsidR="001B4122" w14:paraId="5E717EDF" w14:textId="77777777" w:rsidTr="00AC1F00">
        <w:trPr>
          <w:tblHeader/>
        </w:trPr>
        <w:tc>
          <w:tcPr>
            <w:tcW w:w="9021" w:type="dxa"/>
            <w:gridSpan w:val="2"/>
            <w:shd w:val="clear" w:color="auto" w:fill="2D4541" w:themeFill="accent2"/>
          </w:tcPr>
          <w:p w14:paraId="0F7D8C06" w14:textId="629E6D96" w:rsidR="001B4122" w:rsidRPr="001B4122" w:rsidRDefault="001B4122" w:rsidP="00FB20CF">
            <w:pPr>
              <w:rPr>
                <w:rStyle w:val="Strong"/>
                <w:color w:val="FFFFFF" w:themeColor="background1"/>
              </w:rPr>
            </w:pPr>
            <w:r w:rsidRPr="00FB20CF">
              <w:rPr>
                <w:rStyle w:val="Strong"/>
                <w:color w:val="FFFFFF" w:themeColor="background2"/>
              </w:rPr>
              <w:lastRenderedPageBreak/>
              <w:t xml:space="preserve">Table </w:t>
            </w:r>
            <w:r w:rsidR="00FB20CF" w:rsidRPr="00FB20CF">
              <w:rPr>
                <w:rStyle w:val="Strong"/>
                <w:color w:val="FFFFFF" w:themeColor="background2"/>
              </w:rPr>
              <w:t>2</w:t>
            </w:r>
            <w:r w:rsidRPr="00FB20CF">
              <w:rPr>
                <w:rStyle w:val="Strong"/>
                <w:color w:val="FFFFFF" w:themeColor="background2"/>
              </w:rPr>
              <w:t xml:space="preserve">: </w:t>
            </w:r>
            <w:r w:rsidR="00C726B0">
              <w:rPr>
                <w:rStyle w:val="Strong"/>
                <w:color w:val="FFFFFF" w:themeColor="background2"/>
              </w:rPr>
              <w:t>WorkCover WA</w:t>
            </w:r>
            <w:r w:rsidRPr="00FB20CF">
              <w:rPr>
                <w:rStyle w:val="Strong"/>
                <w:color w:val="FFFFFF" w:themeColor="background2"/>
              </w:rPr>
              <w:t xml:space="preserve"> income</w:t>
            </w:r>
          </w:p>
        </w:tc>
      </w:tr>
      <w:tr w:rsidR="001B4122" w14:paraId="417250D2" w14:textId="77777777" w:rsidTr="00AC1F00">
        <w:tc>
          <w:tcPr>
            <w:tcW w:w="2381"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tcPr>
          <w:p w14:paraId="431D0FCC" w14:textId="77777777" w:rsidR="001B4122" w:rsidRPr="001B4122" w:rsidRDefault="001B4122" w:rsidP="001B4122">
            <w:pPr>
              <w:rPr>
                <w:rStyle w:val="Strong"/>
              </w:rPr>
            </w:pPr>
            <w:r w:rsidRPr="001B4122">
              <w:rPr>
                <w:rStyle w:val="Strong"/>
              </w:rPr>
              <w:t>Interest revenue</w:t>
            </w:r>
          </w:p>
        </w:tc>
        <w:tc>
          <w:tcPr>
            <w:tcW w:w="6640" w:type="dxa"/>
            <w:tcBorders>
              <w:left w:val="single" w:sz="4" w:space="0" w:color="BAD0CD" w:themeColor="accent5" w:themeShade="E6"/>
            </w:tcBorders>
          </w:tcPr>
          <w:p w14:paraId="4CF3D655" w14:textId="7411E091" w:rsidR="001B4122" w:rsidRPr="0024067B" w:rsidRDefault="0031626C" w:rsidP="00C43E2C">
            <w:pPr>
              <w:rPr>
                <w:highlight w:val="yellow"/>
                <w:lang w:val="en-GB" w:eastAsia="en-AU"/>
              </w:rPr>
            </w:pPr>
            <w:r w:rsidRPr="009C27D2">
              <w:rPr>
                <w:lang w:val="en-GB"/>
              </w:rPr>
              <w:t>$2.763 million</w:t>
            </w:r>
          </w:p>
        </w:tc>
      </w:tr>
      <w:tr w:rsidR="001B4122" w14:paraId="37C058A7" w14:textId="77777777" w:rsidTr="00AC1F00">
        <w:tc>
          <w:tcPr>
            <w:tcW w:w="2381"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tcPr>
          <w:p w14:paraId="59936F3D" w14:textId="77777777" w:rsidR="001B4122" w:rsidRPr="001B4122" w:rsidRDefault="001B4122" w:rsidP="001B4122">
            <w:pPr>
              <w:rPr>
                <w:rStyle w:val="Strong"/>
              </w:rPr>
            </w:pPr>
            <w:r w:rsidRPr="001B4122">
              <w:rPr>
                <w:rStyle w:val="Strong"/>
              </w:rPr>
              <w:t>Insurer contribution</w:t>
            </w:r>
          </w:p>
        </w:tc>
        <w:tc>
          <w:tcPr>
            <w:tcW w:w="6640" w:type="dxa"/>
            <w:tcBorders>
              <w:left w:val="single" w:sz="4" w:space="0" w:color="BAD0CD" w:themeColor="accent5" w:themeShade="E6"/>
            </w:tcBorders>
          </w:tcPr>
          <w:p w14:paraId="081F6708" w14:textId="2B2CED9F" w:rsidR="001B4122" w:rsidRPr="0024067B" w:rsidRDefault="0031626C" w:rsidP="00C43E2C">
            <w:pPr>
              <w:rPr>
                <w:highlight w:val="yellow"/>
                <w:lang w:val="en-GB" w:eastAsia="en-AU"/>
              </w:rPr>
            </w:pPr>
            <w:r w:rsidRPr="009C27D2">
              <w:rPr>
                <w:lang w:val="en-GB"/>
              </w:rPr>
              <w:t>$21.491 million</w:t>
            </w:r>
          </w:p>
        </w:tc>
      </w:tr>
      <w:tr w:rsidR="0024067B" w14:paraId="1833C62F" w14:textId="77777777" w:rsidTr="009B7831">
        <w:trPr>
          <w:trHeight w:val="1295"/>
        </w:trPr>
        <w:tc>
          <w:tcPr>
            <w:tcW w:w="2381"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tcPr>
          <w:p w14:paraId="6915C1BA" w14:textId="77777777" w:rsidR="0024067B" w:rsidRPr="001B4122" w:rsidRDefault="0024067B" w:rsidP="0024067B">
            <w:pPr>
              <w:rPr>
                <w:rStyle w:val="Strong"/>
              </w:rPr>
            </w:pPr>
            <w:r w:rsidRPr="001B4122">
              <w:rPr>
                <w:rStyle w:val="Strong"/>
              </w:rPr>
              <w:t>Employer’s Indemnity Supplementation Fund</w:t>
            </w:r>
          </w:p>
        </w:tc>
        <w:tc>
          <w:tcPr>
            <w:tcW w:w="6640" w:type="dxa"/>
            <w:tcBorders>
              <w:left w:val="single" w:sz="4" w:space="0" w:color="BAD0CD" w:themeColor="accent5" w:themeShade="E6"/>
            </w:tcBorders>
          </w:tcPr>
          <w:p w14:paraId="02B5EC38" w14:textId="31534DC6" w:rsidR="0024067B" w:rsidRPr="0024067B" w:rsidRDefault="0031626C" w:rsidP="00C43E2C">
            <w:pPr>
              <w:rPr>
                <w:highlight w:val="yellow"/>
                <w:lang w:val="en-GB" w:eastAsia="en-AU"/>
              </w:rPr>
            </w:pPr>
            <w:r w:rsidRPr="009C27D2">
              <w:rPr>
                <w:lang w:val="en-GB"/>
              </w:rPr>
              <w:t>$9.496 million</w:t>
            </w:r>
          </w:p>
        </w:tc>
      </w:tr>
      <w:tr w:rsidR="0024067B" w14:paraId="65F3E218" w14:textId="77777777" w:rsidTr="00AC1F00">
        <w:tc>
          <w:tcPr>
            <w:tcW w:w="2381"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tcPr>
          <w:p w14:paraId="1546C881" w14:textId="77777777" w:rsidR="0024067B" w:rsidRPr="001B4122" w:rsidRDefault="0024067B" w:rsidP="0024067B">
            <w:pPr>
              <w:rPr>
                <w:rStyle w:val="Strong"/>
              </w:rPr>
            </w:pPr>
            <w:r w:rsidRPr="001B4122">
              <w:rPr>
                <w:rStyle w:val="Strong"/>
              </w:rPr>
              <w:t>Other Revenue</w:t>
            </w:r>
          </w:p>
        </w:tc>
        <w:tc>
          <w:tcPr>
            <w:tcW w:w="6640" w:type="dxa"/>
            <w:tcBorders>
              <w:left w:val="single" w:sz="4" w:space="0" w:color="BAD0CD" w:themeColor="accent5" w:themeShade="E6"/>
            </w:tcBorders>
          </w:tcPr>
          <w:p w14:paraId="5786B5A8" w14:textId="37100D1B" w:rsidR="0024067B" w:rsidRPr="0024067B" w:rsidRDefault="0031626C" w:rsidP="00C43E2C">
            <w:pPr>
              <w:rPr>
                <w:highlight w:val="yellow"/>
                <w:lang w:val="en-GB" w:eastAsia="en-AU"/>
              </w:rPr>
            </w:pPr>
            <w:r w:rsidRPr="009C27D2">
              <w:rPr>
                <w:lang w:val="en-GB"/>
              </w:rPr>
              <w:t>$1.104 million</w:t>
            </w:r>
          </w:p>
        </w:tc>
      </w:tr>
    </w:tbl>
    <w:p w14:paraId="58359A6B" w14:textId="77777777" w:rsidR="007C698C" w:rsidRDefault="007C698C" w:rsidP="00FE6931"/>
    <w:tbl>
      <w:tblPr>
        <w:tblStyle w:val="TableGrid"/>
        <w:tblW w:w="0" w:type="auto"/>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ook w:val="04A0" w:firstRow="1" w:lastRow="0" w:firstColumn="1" w:lastColumn="0" w:noHBand="0" w:noVBand="1"/>
        <w:tblCaption w:val="Table 3 WorkCover WA Expenditure"/>
        <w:tblDescription w:val="Table 3 consists off a breakdown of WorkCover WA's expenditure"/>
      </w:tblPr>
      <w:tblGrid>
        <w:gridCol w:w="2380"/>
        <w:gridCol w:w="6641"/>
      </w:tblGrid>
      <w:tr w:rsidR="00740665" w14:paraId="7B3901EC" w14:textId="77777777" w:rsidTr="005E3D56">
        <w:trPr>
          <w:cantSplit/>
          <w:tblHeader/>
        </w:trPr>
        <w:tc>
          <w:tcPr>
            <w:tcW w:w="9021" w:type="dxa"/>
            <w:gridSpan w:val="2"/>
            <w:tcBorders>
              <w:bottom w:val="single" w:sz="4" w:space="0" w:color="D4E2E0" w:themeColor="accent5"/>
            </w:tcBorders>
            <w:shd w:val="clear" w:color="auto" w:fill="2D4541" w:themeFill="accent2"/>
          </w:tcPr>
          <w:p w14:paraId="1B71E3B3" w14:textId="716857D4" w:rsidR="00740665" w:rsidRPr="001B4122" w:rsidRDefault="00740665" w:rsidP="00FB20CF">
            <w:pPr>
              <w:rPr>
                <w:rStyle w:val="Strong"/>
                <w:color w:val="FFFFFF" w:themeColor="background1"/>
              </w:rPr>
            </w:pPr>
            <w:r w:rsidRPr="00FB20CF">
              <w:rPr>
                <w:rStyle w:val="Strong"/>
                <w:color w:val="FFFFFF" w:themeColor="background1"/>
              </w:rPr>
              <w:t xml:space="preserve">Table </w:t>
            </w:r>
            <w:r w:rsidR="00FB20CF" w:rsidRPr="00FB20CF">
              <w:rPr>
                <w:rStyle w:val="Strong"/>
                <w:color w:val="FFFFFF" w:themeColor="background2"/>
              </w:rPr>
              <w:t>3</w:t>
            </w:r>
            <w:r w:rsidRPr="00FB20CF">
              <w:rPr>
                <w:rStyle w:val="Strong"/>
                <w:color w:val="FFFFFF" w:themeColor="background2"/>
              </w:rPr>
              <w:t xml:space="preserve">: </w:t>
            </w:r>
            <w:r w:rsidR="00C726B0">
              <w:rPr>
                <w:rStyle w:val="Strong"/>
                <w:color w:val="FFFFFF" w:themeColor="background2"/>
              </w:rPr>
              <w:t>WorkCover WA</w:t>
            </w:r>
            <w:r w:rsidRPr="00FB20CF">
              <w:rPr>
                <w:rStyle w:val="Strong"/>
                <w:color w:val="FFFFFF" w:themeColor="background2"/>
              </w:rPr>
              <w:t xml:space="preserve"> expenditure</w:t>
            </w:r>
          </w:p>
        </w:tc>
      </w:tr>
      <w:tr w:rsidR="00740665" w14:paraId="044352F5" w14:textId="77777777" w:rsidTr="00AC1F00">
        <w:trPr>
          <w:cantSplit/>
        </w:trPr>
        <w:tc>
          <w:tcPr>
            <w:tcW w:w="2380" w:type="dxa"/>
            <w:tcBorders>
              <w:bottom w:val="single" w:sz="4" w:space="0" w:color="BAD0CD" w:themeColor="accent5" w:themeShade="E6"/>
              <w:right w:val="single" w:sz="4" w:space="0" w:color="BAD0CD" w:themeColor="accent5" w:themeShade="E6"/>
            </w:tcBorders>
            <w:shd w:val="clear" w:color="auto" w:fill="D4E2E0" w:themeFill="accent5"/>
          </w:tcPr>
          <w:p w14:paraId="550BA7E7" w14:textId="77777777" w:rsidR="00740665" w:rsidRPr="00740665" w:rsidRDefault="00740665" w:rsidP="007E0835">
            <w:pPr>
              <w:rPr>
                <w:rStyle w:val="Strong"/>
              </w:rPr>
            </w:pPr>
            <w:r w:rsidRPr="00740665">
              <w:rPr>
                <w:rStyle w:val="Strong"/>
              </w:rPr>
              <w:t xml:space="preserve">Accommodation expenses </w:t>
            </w:r>
          </w:p>
        </w:tc>
        <w:tc>
          <w:tcPr>
            <w:tcW w:w="6641" w:type="dxa"/>
            <w:tcBorders>
              <w:left w:val="single" w:sz="4" w:space="0" w:color="BAD0CD" w:themeColor="accent5" w:themeShade="E6"/>
              <w:bottom w:val="single" w:sz="4" w:space="0" w:color="BAD0CD" w:themeColor="accent5" w:themeShade="E6"/>
            </w:tcBorders>
          </w:tcPr>
          <w:p w14:paraId="3B353BC9" w14:textId="487A449C" w:rsidR="00740665" w:rsidRPr="0024067B" w:rsidRDefault="0031626C" w:rsidP="00EF468E">
            <w:pPr>
              <w:rPr>
                <w:highlight w:val="yellow"/>
                <w:lang w:val="en-GB" w:eastAsia="en-AU"/>
              </w:rPr>
            </w:pPr>
            <w:r w:rsidRPr="009C27D2">
              <w:rPr>
                <w:lang w:val="en-GB"/>
              </w:rPr>
              <w:t>$0.674 million</w:t>
            </w:r>
          </w:p>
        </w:tc>
      </w:tr>
      <w:tr w:rsidR="0024067B" w14:paraId="66CABA53" w14:textId="77777777" w:rsidTr="00AC1F00">
        <w:trPr>
          <w:cantSplit/>
        </w:trPr>
        <w:tc>
          <w:tcPr>
            <w:tcW w:w="2380"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tcPr>
          <w:p w14:paraId="25D238AD" w14:textId="77777777" w:rsidR="0024067B" w:rsidRPr="00740665" w:rsidRDefault="0024067B" w:rsidP="0024067B">
            <w:pPr>
              <w:rPr>
                <w:rStyle w:val="Strong"/>
              </w:rPr>
            </w:pPr>
            <w:r w:rsidRPr="00740665">
              <w:rPr>
                <w:rStyle w:val="Strong"/>
              </w:rPr>
              <w:t>Depreciation expense</w:t>
            </w:r>
          </w:p>
        </w:tc>
        <w:tc>
          <w:tcPr>
            <w:tcW w:w="6641" w:type="dxa"/>
            <w:tcBorders>
              <w:top w:val="single" w:sz="4" w:space="0" w:color="BAD0CD" w:themeColor="accent5" w:themeShade="E6"/>
              <w:left w:val="single" w:sz="4" w:space="0" w:color="BAD0CD" w:themeColor="accent5" w:themeShade="E6"/>
              <w:bottom w:val="single" w:sz="4" w:space="0" w:color="BAD0CD" w:themeColor="accent5" w:themeShade="E6"/>
            </w:tcBorders>
          </w:tcPr>
          <w:p w14:paraId="0CD51D1E" w14:textId="662AB579" w:rsidR="0024067B" w:rsidRPr="0024067B" w:rsidRDefault="0031626C" w:rsidP="00EF468E">
            <w:pPr>
              <w:rPr>
                <w:highlight w:val="yellow"/>
                <w:lang w:val="en-GB" w:eastAsia="en-AU"/>
              </w:rPr>
            </w:pPr>
            <w:r w:rsidRPr="009C27D2">
              <w:rPr>
                <w:lang w:val="en-GB"/>
              </w:rPr>
              <w:t>$1.058 million</w:t>
            </w:r>
          </w:p>
        </w:tc>
      </w:tr>
      <w:tr w:rsidR="0024067B" w14:paraId="7C7981A2" w14:textId="77777777" w:rsidTr="00AC1F00">
        <w:trPr>
          <w:cantSplit/>
        </w:trPr>
        <w:tc>
          <w:tcPr>
            <w:tcW w:w="2380"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tcPr>
          <w:p w14:paraId="0A5AE55C" w14:textId="77777777" w:rsidR="0024067B" w:rsidRPr="00740665" w:rsidRDefault="0024067B" w:rsidP="0024067B">
            <w:pPr>
              <w:rPr>
                <w:rStyle w:val="Strong"/>
              </w:rPr>
            </w:pPr>
            <w:r w:rsidRPr="00740665">
              <w:rPr>
                <w:rStyle w:val="Strong"/>
              </w:rPr>
              <w:t>Employee benefits expense</w:t>
            </w:r>
          </w:p>
        </w:tc>
        <w:tc>
          <w:tcPr>
            <w:tcW w:w="6641" w:type="dxa"/>
            <w:tcBorders>
              <w:top w:val="single" w:sz="4" w:space="0" w:color="BAD0CD" w:themeColor="accent5" w:themeShade="E6"/>
              <w:left w:val="single" w:sz="4" w:space="0" w:color="BAD0CD" w:themeColor="accent5" w:themeShade="E6"/>
              <w:bottom w:val="single" w:sz="4" w:space="0" w:color="BAD0CD" w:themeColor="accent5" w:themeShade="E6"/>
            </w:tcBorders>
          </w:tcPr>
          <w:p w14:paraId="5C1DC0C7" w14:textId="13E041EA" w:rsidR="0024067B" w:rsidRPr="0024067B" w:rsidRDefault="0031626C" w:rsidP="00EF468E">
            <w:pPr>
              <w:rPr>
                <w:highlight w:val="yellow"/>
                <w:lang w:val="en-GB" w:eastAsia="en-AU"/>
              </w:rPr>
            </w:pPr>
            <w:r w:rsidRPr="009C27D2">
              <w:rPr>
                <w:lang w:val="en-GB"/>
              </w:rPr>
              <w:t>$13.959 million</w:t>
            </w:r>
          </w:p>
        </w:tc>
      </w:tr>
      <w:tr w:rsidR="00740665" w14:paraId="0B9DB255" w14:textId="77777777" w:rsidTr="00AC1F00">
        <w:trPr>
          <w:cantSplit/>
        </w:trPr>
        <w:tc>
          <w:tcPr>
            <w:tcW w:w="2380"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tcPr>
          <w:p w14:paraId="5C6F20E8" w14:textId="77777777" w:rsidR="00740665" w:rsidRPr="00740665" w:rsidRDefault="00740665" w:rsidP="007E0835">
            <w:pPr>
              <w:rPr>
                <w:rStyle w:val="Strong"/>
              </w:rPr>
            </w:pPr>
            <w:r w:rsidRPr="00740665">
              <w:rPr>
                <w:rStyle w:val="Strong"/>
              </w:rPr>
              <w:t>Claims expense</w:t>
            </w:r>
          </w:p>
        </w:tc>
        <w:tc>
          <w:tcPr>
            <w:tcW w:w="6641" w:type="dxa"/>
            <w:tcBorders>
              <w:top w:val="single" w:sz="4" w:space="0" w:color="BAD0CD" w:themeColor="accent5" w:themeShade="E6"/>
              <w:left w:val="single" w:sz="4" w:space="0" w:color="BAD0CD" w:themeColor="accent5" w:themeShade="E6"/>
              <w:bottom w:val="single" w:sz="4" w:space="0" w:color="BAD0CD" w:themeColor="accent5" w:themeShade="E6"/>
            </w:tcBorders>
          </w:tcPr>
          <w:p w14:paraId="2E4E4444" w14:textId="7DE84841" w:rsidR="00740665" w:rsidRPr="0024067B" w:rsidRDefault="0031626C" w:rsidP="00EF468E">
            <w:pPr>
              <w:rPr>
                <w:highlight w:val="yellow"/>
                <w:lang w:val="en-GB" w:eastAsia="en-AU"/>
              </w:rPr>
            </w:pPr>
            <w:r w:rsidRPr="009C27D2">
              <w:rPr>
                <w:lang w:val="en-GB"/>
              </w:rPr>
              <w:t>$1.263 million</w:t>
            </w:r>
          </w:p>
        </w:tc>
      </w:tr>
      <w:tr w:rsidR="00740665" w14:paraId="44187B44" w14:textId="77777777" w:rsidTr="00AC1F00">
        <w:trPr>
          <w:cantSplit/>
        </w:trPr>
        <w:tc>
          <w:tcPr>
            <w:tcW w:w="2380"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tcPr>
          <w:p w14:paraId="3BCF2140" w14:textId="77777777" w:rsidR="00740665" w:rsidRPr="00740665" w:rsidRDefault="00740665" w:rsidP="007E0835">
            <w:pPr>
              <w:rPr>
                <w:rStyle w:val="Strong"/>
              </w:rPr>
            </w:pPr>
            <w:r w:rsidRPr="00740665">
              <w:rPr>
                <w:rStyle w:val="Strong"/>
              </w:rPr>
              <w:t>Supplies and services</w:t>
            </w:r>
          </w:p>
        </w:tc>
        <w:tc>
          <w:tcPr>
            <w:tcW w:w="6641" w:type="dxa"/>
            <w:tcBorders>
              <w:top w:val="single" w:sz="4" w:space="0" w:color="BAD0CD" w:themeColor="accent5" w:themeShade="E6"/>
              <w:left w:val="single" w:sz="4" w:space="0" w:color="BAD0CD" w:themeColor="accent5" w:themeShade="E6"/>
              <w:bottom w:val="single" w:sz="4" w:space="0" w:color="BAD0CD" w:themeColor="accent5" w:themeShade="E6"/>
            </w:tcBorders>
          </w:tcPr>
          <w:p w14:paraId="143B5AD6" w14:textId="6F692B49" w:rsidR="00740665" w:rsidRPr="0024067B" w:rsidRDefault="0031626C" w:rsidP="00EF468E">
            <w:pPr>
              <w:rPr>
                <w:highlight w:val="yellow"/>
                <w:lang w:val="en-GB" w:eastAsia="en-AU"/>
              </w:rPr>
            </w:pPr>
            <w:r>
              <w:rPr>
                <w:lang w:val="en-GB"/>
              </w:rPr>
              <w:t>$</w:t>
            </w:r>
            <w:r w:rsidRPr="009C27D2">
              <w:rPr>
                <w:lang w:val="en-GB"/>
              </w:rPr>
              <w:t>3.315 million</w:t>
            </w:r>
          </w:p>
        </w:tc>
      </w:tr>
      <w:tr w:rsidR="00740665" w14:paraId="5D0C3AB7" w14:textId="77777777" w:rsidTr="00AC1F00">
        <w:trPr>
          <w:cantSplit/>
        </w:trPr>
        <w:tc>
          <w:tcPr>
            <w:tcW w:w="2380" w:type="dxa"/>
            <w:tcBorders>
              <w:top w:val="single" w:sz="4" w:space="0" w:color="BAD0CD" w:themeColor="accent5" w:themeShade="E6"/>
              <w:right w:val="single" w:sz="4" w:space="0" w:color="BAD0CD" w:themeColor="accent5" w:themeShade="E6"/>
            </w:tcBorders>
            <w:shd w:val="clear" w:color="auto" w:fill="D4E2E0" w:themeFill="accent5"/>
          </w:tcPr>
          <w:p w14:paraId="7A3DAA07" w14:textId="77777777" w:rsidR="00740665" w:rsidRPr="00740665" w:rsidRDefault="00740665" w:rsidP="007E0835">
            <w:pPr>
              <w:rPr>
                <w:rStyle w:val="Strong"/>
              </w:rPr>
            </w:pPr>
            <w:r w:rsidRPr="00740665">
              <w:rPr>
                <w:rStyle w:val="Strong"/>
              </w:rPr>
              <w:t xml:space="preserve">Other expenses </w:t>
            </w:r>
          </w:p>
        </w:tc>
        <w:tc>
          <w:tcPr>
            <w:tcW w:w="6641" w:type="dxa"/>
            <w:tcBorders>
              <w:top w:val="single" w:sz="4" w:space="0" w:color="BAD0CD" w:themeColor="accent5" w:themeShade="E6"/>
              <w:left w:val="single" w:sz="4" w:space="0" w:color="BAD0CD" w:themeColor="accent5" w:themeShade="E6"/>
            </w:tcBorders>
          </w:tcPr>
          <w:p w14:paraId="2AB0D5F1" w14:textId="0D0A7A69" w:rsidR="00740665" w:rsidRPr="0024067B" w:rsidRDefault="0031626C" w:rsidP="00EF468E">
            <w:pPr>
              <w:rPr>
                <w:highlight w:val="yellow"/>
                <w:lang w:val="en-GB" w:eastAsia="en-AU"/>
              </w:rPr>
            </w:pPr>
            <w:r w:rsidRPr="009C27D2">
              <w:rPr>
                <w:lang w:val="en-GB"/>
              </w:rPr>
              <w:t>$1.2</w:t>
            </w:r>
            <w:r>
              <w:rPr>
                <w:lang w:val="en-GB"/>
              </w:rPr>
              <w:t>85</w:t>
            </w:r>
            <w:r w:rsidRPr="009C27D2">
              <w:rPr>
                <w:lang w:val="en-GB"/>
              </w:rPr>
              <w:t xml:space="preserve"> million</w:t>
            </w:r>
          </w:p>
        </w:tc>
      </w:tr>
    </w:tbl>
    <w:p w14:paraId="62416F3D" w14:textId="4D2412B9" w:rsidR="00184DF0" w:rsidRDefault="00184DF0" w:rsidP="00C404F1">
      <w:pPr>
        <w:pStyle w:val="Heading2nonumber"/>
        <w:tabs>
          <w:tab w:val="left" w:pos="1065"/>
        </w:tabs>
        <w:rPr>
          <w:b w:val="0"/>
          <w:bCs w:val="0"/>
          <w:iCs w:val="0"/>
        </w:rPr>
      </w:pPr>
      <w:bookmarkStart w:id="44" w:name="_Toc399316912"/>
      <w:bookmarkStart w:id="45" w:name="_Toc426617401"/>
      <w:r>
        <w:br w:type="page"/>
      </w:r>
    </w:p>
    <w:p w14:paraId="39357937" w14:textId="7FEA801A" w:rsidR="00EC44DA" w:rsidRDefault="00EC44DA" w:rsidP="00092CFD">
      <w:pPr>
        <w:pStyle w:val="Heading2nonumber"/>
      </w:pPr>
      <w:bookmarkStart w:id="46" w:name="_Toc430091122"/>
      <w:r>
        <w:lastRenderedPageBreak/>
        <w:t>Year scorecard</w:t>
      </w:r>
      <w:bookmarkEnd w:id="44"/>
      <w:bookmarkEnd w:id="45"/>
      <w:bookmarkEnd w:id="46"/>
    </w:p>
    <w:p w14:paraId="69B5A412" w14:textId="4AD545E8" w:rsidR="002A39EF" w:rsidRDefault="002A39EF" w:rsidP="00664937">
      <w:pPr>
        <w:pStyle w:val="Heading4"/>
      </w:pPr>
      <w:r>
        <w:t>2014/1</w:t>
      </w:r>
      <w:r w:rsidR="0024067B">
        <w:t>5</w:t>
      </w:r>
      <w:r>
        <w:t xml:space="preserve"> performance snapshot</w:t>
      </w:r>
    </w:p>
    <w:p w14:paraId="5377FAB0" w14:textId="678CA058" w:rsidR="00EC44DA" w:rsidRDefault="00F52108" w:rsidP="00EC44DA">
      <w:r>
        <w:t xml:space="preserve">The outcomes of </w:t>
      </w:r>
      <w:r w:rsidR="00C726B0">
        <w:t>WorkCover WA</w:t>
      </w:r>
      <w:r>
        <w:t xml:space="preserve">’s </w:t>
      </w:r>
      <w:r w:rsidR="00EC44DA">
        <w:t>activities and services are measured</w:t>
      </w:r>
      <w:r w:rsidR="00676255">
        <w:t xml:space="preserve"> by </w:t>
      </w:r>
      <w:r w:rsidR="008F280E">
        <w:t>K</w:t>
      </w:r>
      <w:r w:rsidR="00484288">
        <w:t>ey Performance Indicators (KPIs)</w:t>
      </w:r>
      <w:r w:rsidR="008F280E">
        <w:t xml:space="preserve"> </w:t>
      </w:r>
      <w:r w:rsidR="00EC44DA">
        <w:t>comprised of effectiveness and</w:t>
      </w:r>
      <w:r w:rsidR="00092CFD">
        <w:t xml:space="preserve"> efficiency indicators. The 2014/15</w:t>
      </w:r>
      <w:r w:rsidR="00EC44DA">
        <w:t xml:space="preserve"> scorecard provides a snapshot view of our performance for</w:t>
      </w:r>
      <w:r w:rsidR="00E81B6E">
        <w:t xml:space="preserve"> the</w:t>
      </w:r>
      <w:r w:rsidR="00EC44DA">
        <w:t xml:space="preserve"> y</w:t>
      </w:r>
      <w:r w:rsidR="001F6A80">
        <w:t>ear.</w:t>
      </w:r>
    </w:p>
    <w:p w14:paraId="3CD90542" w14:textId="77777777" w:rsidR="00A2088F" w:rsidRPr="008A231F" w:rsidRDefault="00A2088F" w:rsidP="00A2088F">
      <w:r>
        <w:t xml:space="preserve">Full explanations on all measures, analysed against previous years and set targets, are </w:t>
      </w:r>
      <w:r w:rsidRPr="008A231F">
        <w:t xml:space="preserve">located on the page(s) referenced beside each indicator in </w:t>
      </w:r>
      <w:r w:rsidRPr="00392BA9">
        <w:t xml:space="preserve">table </w:t>
      </w:r>
      <w:r w:rsidR="00454FF4" w:rsidRPr="00392BA9">
        <w:t>4</w:t>
      </w:r>
      <w:r w:rsidRPr="00392BA9">
        <w:t xml:space="preserve"> and </w:t>
      </w:r>
      <w:r w:rsidR="00454FF4" w:rsidRPr="00392BA9">
        <w:t>5</w:t>
      </w:r>
      <w:r w:rsidRPr="00392BA9">
        <w:t>.</w:t>
      </w:r>
    </w:p>
    <w:p w14:paraId="6CAB8E37" w14:textId="77777777" w:rsidR="007C698C" w:rsidRDefault="00EC44DA" w:rsidP="00EC44DA">
      <w:r w:rsidRPr="00392BA9">
        <w:t xml:space="preserve">Table </w:t>
      </w:r>
      <w:r w:rsidR="00EB62A7" w:rsidRPr="00392BA9">
        <w:t>6</w:t>
      </w:r>
      <w:r w:rsidRPr="00392BA9">
        <w:t xml:space="preserve"> </w:t>
      </w:r>
      <w:r w:rsidR="00105D1D">
        <w:t xml:space="preserve">summarises </w:t>
      </w:r>
      <w:r w:rsidR="00092CFD">
        <w:t>the delivery of our 2014/15</w:t>
      </w:r>
      <w:r w:rsidRPr="008A231F">
        <w:t xml:space="preserve"> Strategic </w:t>
      </w:r>
      <w:r w:rsidR="00117C61" w:rsidRPr="008A231F">
        <w:t>Initiatives.</w:t>
      </w:r>
    </w:p>
    <w:p w14:paraId="0C7BBAA3" w14:textId="77777777" w:rsidR="00E45730" w:rsidRPr="002F12D6" w:rsidRDefault="00E45730" w:rsidP="007C698C">
      <w:pPr>
        <w:keepLines w:val="0"/>
        <w:spacing w:after="0" w:line="240" w:lineRule="auto"/>
      </w:pPr>
    </w:p>
    <w:tbl>
      <w:tblPr>
        <w:tblStyle w:val="TableGrid"/>
        <w:tblW w:w="9327" w:type="dxa"/>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Caption w:val="Table 4 Indicators of effectiveness snapshot"/>
      </w:tblPr>
      <w:tblGrid>
        <w:gridCol w:w="709"/>
        <w:gridCol w:w="3827"/>
        <w:gridCol w:w="1843"/>
        <w:gridCol w:w="1418"/>
        <w:gridCol w:w="1530"/>
      </w:tblGrid>
      <w:tr w:rsidR="0036300F" w14:paraId="65008BCD" w14:textId="77777777" w:rsidTr="008B0C48">
        <w:trPr>
          <w:tblHeader/>
        </w:trPr>
        <w:tc>
          <w:tcPr>
            <w:tcW w:w="9327" w:type="dxa"/>
            <w:gridSpan w:val="5"/>
            <w:shd w:val="clear" w:color="auto" w:fill="2D4541" w:themeFill="accent2"/>
          </w:tcPr>
          <w:p w14:paraId="01B3AD00" w14:textId="77777777" w:rsidR="0036300F" w:rsidRPr="002F12D6" w:rsidRDefault="0036300F" w:rsidP="00EC44DA">
            <w:pPr>
              <w:rPr>
                <w:rStyle w:val="Strong"/>
                <w:color w:val="FFFFFF" w:themeColor="background1"/>
              </w:rPr>
            </w:pPr>
            <w:r w:rsidRPr="00FB20CF">
              <w:rPr>
                <w:rStyle w:val="Strong"/>
                <w:color w:val="FFFFFF" w:themeColor="background2"/>
              </w:rPr>
              <w:t xml:space="preserve">Table </w:t>
            </w:r>
            <w:r>
              <w:rPr>
                <w:rStyle w:val="Strong"/>
                <w:color w:val="FFFFFF" w:themeColor="background2"/>
              </w:rPr>
              <w:t>4</w:t>
            </w:r>
            <w:r w:rsidRPr="00FB20CF">
              <w:rPr>
                <w:rStyle w:val="Strong"/>
                <w:color w:val="FFFFFF" w:themeColor="background2"/>
              </w:rPr>
              <w:t>: Indicators of effectiveness snapshot</w:t>
            </w:r>
          </w:p>
        </w:tc>
      </w:tr>
      <w:tr w:rsidR="00E7569C" w14:paraId="4D8D650D" w14:textId="77777777" w:rsidTr="00820592">
        <w:trPr>
          <w:trHeight w:val="682"/>
        </w:trPr>
        <w:tc>
          <w:tcPr>
            <w:tcW w:w="709" w:type="dxa"/>
            <w:tcBorders>
              <w:bottom w:val="single" w:sz="4" w:space="0" w:color="D4E2E0" w:themeColor="accent5"/>
            </w:tcBorders>
            <w:shd w:val="clear" w:color="auto" w:fill="D4E2E0" w:themeFill="accent5"/>
          </w:tcPr>
          <w:p w14:paraId="61001728" w14:textId="77777777" w:rsidR="00E7569C" w:rsidRPr="00495D17" w:rsidRDefault="00E7569C" w:rsidP="00EC44DA">
            <w:pPr>
              <w:rPr>
                <w:rStyle w:val="Strong"/>
              </w:rPr>
            </w:pPr>
            <w:r>
              <w:rPr>
                <w:rStyle w:val="Strong"/>
              </w:rPr>
              <w:t>#</w:t>
            </w:r>
          </w:p>
        </w:tc>
        <w:tc>
          <w:tcPr>
            <w:tcW w:w="3827" w:type="dxa"/>
            <w:tcBorders>
              <w:bottom w:val="single" w:sz="4" w:space="0" w:color="D4E2E0" w:themeColor="accent5"/>
            </w:tcBorders>
            <w:shd w:val="clear" w:color="auto" w:fill="D4E2E0" w:themeFill="accent5"/>
          </w:tcPr>
          <w:p w14:paraId="5B8548A6" w14:textId="77777777" w:rsidR="00E7569C" w:rsidRPr="00495D17" w:rsidRDefault="00E7569C" w:rsidP="00EC44DA">
            <w:pPr>
              <w:rPr>
                <w:rStyle w:val="Strong"/>
              </w:rPr>
            </w:pPr>
            <w:r w:rsidRPr="00495D17">
              <w:rPr>
                <w:rStyle w:val="Strong"/>
              </w:rPr>
              <w:t>Description</w:t>
            </w:r>
          </w:p>
        </w:tc>
        <w:tc>
          <w:tcPr>
            <w:tcW w:w="1843" w:type="dxa"/>
            <w:tcBorders>
              <w:bottom w:val="single" w:sz="4" w:space="0" w:color="D4E2E0" w:themeColor="accent5"/>
            </w:tcBorders>
            <w:shd w:val="clear" w:color="auto" w:fill="D4E2E0" w:themeFill="accent5"/>
          </w:tcPr>
          <w:p w14:paraId="2340F075" w14:textId="77777777" w:rsidR="00E7569C" w:rsidRPr="00495D17" w:rsidRDefault="00092CFD" w:rsidP="00EC44DA">
            <w:pPr>
              <w:rPr>
                <w:rStyle w:val="Strong"/>
              </w:rPr>
            </w:pPr>
            <w:r>
              <w:rPr>
                <w:rStyle w:val="Strong"/>
              </w:rPr>
              <w:t>2014/15</w:t>
            </w:r>
            <w:r w:rsidR="00E7569C" w:rsidRPr="00495D17">
              <w:rPr>
                <w:rStyle w:val="Strong"/>
              </w:rPr>
              <w:t xml:space="preserve"> Target</w:t>
            </w:r>
          </w:p>
        </w:tc>
        <w:tc>
          <w:tcPr>
            <w:tcW w:w="1418" w:type="dxa"/>
            <w:tcBorders>
              <w:bottom w:val="single" w:sz="4" w:space="0" w:color="D4E2E0" w:themeColor="accent5"/>
            </w:tcBorders>
            <w:shd w:val="clear" w:color="auto" w:fill="D4E2E0" w:themeFill="accent5"/>
          </w:tcPr>
          <w:p w14:paraId="0D557E6A" w14:textId="77777777" w:rsidR="00E7569C" w:rsidRPr="00495D17" w:rsidRDefault="00092CFD" w:rsidP="00EC44DA">
            <w:pPr>
              <w:rPr>
                <w:rStyle w:val="Strong"/>
              </w:rPr>
            </w:pPr>
            <w:r>
              <w:rPr>
                <w:rStyle w:val="Strong"/>
              </w:rPr>
              <w:t>2014/15</w:t>
            </w:r>
            <w:r w:rsidR="00E7569C" w:rsidRPr="00495D17">
              <w:rPr>
                <w:rStyle w:val="Strong"/>
              </w:rPr>
              <w:t xml:space="preserve"> Result</w:t>
            </w:r>
          </w:p>
        </w:tc>
        <w:tc>
          <w:tcPr>
            <w:tcW w:w="1530" w:type="dxa"/>
            <w:tcBorders>
              <w:bottom w:val="single" w:sz="4" w:space="0" w:color="D4E2E0" w:themeColor="accent5"/>
            </w:tcBorders>
            <w:shd w:val="clear" w:color="auto" w:fill="D4E2E0" w:themeFill="accent5"/>
          </w:tcPr>
          <w:p w14:paraId="23DF6E0B" w14:textId="77777777" w:rsidR="00E7569C" w:rsidRPr="00495D17" w:rsidRDefault="00E7569C" w:rsidP="00EC44DA">
            <w:pPr>
              <w:rPr>
                <w:rStyle w:val="Strong"/>
              </w:rPr>
            </w:pPr>
            <w:r w:rsidRPr="00495D17">
              <w:rPr>
                <w:rStyle w:val="Strong"/>
              </w:rPr>
              <w:t>Reference</w:t>
            </w:r>
          </w:p>
        </w:tc>
      </w:tr>
      <w:tr w:rsidR="00D171CA" w14:paraId="3C67478C" w14:textId="77777777" w:rsidTr="00D577B6">
        <w:tc>
          <w:tcPr>
            <w:tcW w:w="709" w:type="dxa"/>
            <w:tcBorders>
              <w:bottom w:val="single" w:sz="4" w:space="0" w:color="BAD0CD" w:themeColor="accent5" w:themeShade="E6"/>
              <w:right w:val="single" w:sz="4" w:space="0" w:color="BAD0CD" w:themeColor="accent5" w:themeShade="E6"/>
            </w:tcBorders>
            <w:shd w:val="clear" w:color="auto" w:fill="D4E2E0" w:themeFill="accent5"/>
            <w:vAlign w:val="center"/>
          </w:tcPr>
          <w:p w14:paraId="446A8162" w14:textId="77777777" w:rsidR="00D171CA" w:rsidRPr="00E7569C" w:rsidRDefault="00D171CA" w:rsidP="00D171CA">
            <w:r w:rsidRPr="00E7569C">
              <w:t>1.1</w:t>
            </w:r>
          </w:p>
        </w:tc>
        <w:tc>
          <w:tcPr>
            <w:tcW w:w="3827"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44F26864" w14:textId="77777777" w:rsidR="00D171CA" w:rsidRPr="00A40E88" w:rsidRDefault="00D171CA" w:rsidP="00D171CA">
            <w:pPr>
              <w:rPr>
                <w:i/>
              </w:rPr>
            </w:pPr>
            <w:r w:rsidRPr="00A40E88">
              <w:t>Number of non-compliance events identified as a result of a claim on the General Account</w:t>
            </w:r>
          </w:p>
        </w:tc>
        <w:tc>
          <w:tcPr>
            <w:tcW w:w="1843"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229B8B5D" w14:textId="0A7C14EF" w:rsidR="00D171CA" w:rsidRPr="001C5A3C" w:rsidRDefault="00F766AC" w:rsidP="00D171CA">
            <w:pPr>
              <w:rPr>
                <w:i/>
              </w:rPr>
            </w:pPr>
            <w:r>
              <w:t>8</w:t>
            </w:r>
          </w:p>
        </w:tc>
        <w:tc>
          <w:tcPr>
            <w:tcW w:w="1418"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443E29C1" w14:textId="72EA3359" w:rsidR="00D171CA" w:rsidRPr="00D21618" w:rsidRDefault="00F766AC" w:rsidP="00D171CA">
            <w:pPr>
              <w:rPr>
                <w:i/>
              </w:rPr>
            </w:pPr>
            <w:r>
              <w:t>3</w:t>
            </w:r>
          </w:p>
        </w:tc>
        <w:tc>
          <w:tcPr>
            <w:tcW w:w="1530" w:type="dxa"/>
            <w:tcBorders>
              <w:left w:val="single" w:sz="4" w:space="0" w:color="BAD0CD" w:themeColor="accent5" w:themeShade="E6"/>
              <w:bottom w:val="single" w:sz="4" w:space="0" w:color="BAD0CD" w:themeColor="accent5" w:themeShade="E6"/>
            </w:tcBorders>
            <w:shd w:val="clear" w:color="auto" w:fill="auto"/>
            <w:vAlign w:val="center"/>
          </w:tcPr>
          <w:p w14:paraId="1FD4A915" w14:textId="1B9E0654" w:rsidR="00D171CA" w:rsidRPr="00D577B6" w:rsidRDefault="00D171CA" w:rsidP="00D171CA">
            <w:r w:rsidRPr="00D577B6">
              <w:t xml:space="preserve">p. </w:t>
            </w:r>
            <w:r w:rsidR="00D577B6" w:rsidRPr="00D577B6">
              <w:t>145</w:t>
            </w:r>
          </w:p>
        </w:tc>
      </w:tr>
      <w:tr w:rsidR="00D171CA" w14:paraId="509B9C58" w14:textId="77777777" w:rsidTr="00D577B6">
        <w:trPr>
          <w:trHeight w:val="693"/>
        </w:trPr>
        <w:tc>
          <w:tcPr>
            <w:tcW w:w="709"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6130932F" w14:textId="77777777" w:rsidR="00D171CA" w:rsidRPr="00E7569C" w:rsidRDefault="00D171CA" w:rsidP="00D171CA">
            <w:r w:rsidRPr="00E7569C">
              <w:t>1.2</w:t>
            </w:r>
          </w:p>
        </w:tc>
        <w:tc>
          <w:tcPr>
            <w:tcW w:w="3827"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1F8B5D4D" w14:textId="16716ADB" w:rsidR="00D171CA" w:rsidRPr="00A40E88" w:rsidRDefault="00D171CA" w:rsidP="00D171CA">
            <w:pPr>
              <w:rPr>
                <w:i/>
              </w:rPr>
            </w:pPr>
            <w:r w:rsidRPr="00A40E88">
              <w:t xml:space="preserve">Proportion of </w:t>
            </w:r>
            <w:r w:rsidR="000241FA">
              <w:t>conciliations completed within eight</w:t>
            </w:r>
            <w:r w:rsidRPr="00A40E88">
              <w:t xml:space="preserve"> weeks</w:t>
            </w:r>
          </w:p>
        </w:tc>
        <w:tc>
          <w:tcPr>
            <w:tcW w:w="184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408703AD" w14:textId="2A8D0A18" w:rsidR="00D171CA" w:rsidRPr="00D21618" w:rsidRDefault="00F766AC" w:rsidP="00D171CA">
            <w:pPr>
              <w:rPr>
                <w:i/>
              </w:rPr>
            </w:pPr>
            <w:r w:rsidRPr="00F766AC">
              <w:t>97.0%</w:t>
            </w:r>
          </w:p>
        </w:tc>
        <w:tc>
          <w:tcPr>
            <w:tcW w:w="1418"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16A4E03D" w14:textId="5EB98B0C" w:rsidR="00D171CA" w:rsidRPr="00F766AC" w:rsidRDefault="00F766AC" w:rsidP="00F766AC">
            <w:r w:rsidRPr="00F766AC">
              <w:t>96.3%</w:t>
            </w:r>
          </w:p>
        </w:tc>
        <w:tc>
          <w:tcPr>
            <w:tcW w:w="1530" w:type="dxa"/>
            <w:tcBorders>
              <w:top w:val="single" w:sz="4" w:space="0" w:color="BAD0CD" w:themeColor="accent5" w:themeShade="E6"/>
              <w:left w:val="single" w:sz="4" w:space="0" w:color="BAD0CD" w:themeColor="accent5" w:themeShade="E6"/>
              <w:bottom w:val="single" w:sz="4" w:space="0" w:color="BAD0CD" w:themeColor="accent5" w:themeShade="E6"/>
            </w:tcBorders>
            <w:shd w:val="clear" w:color="auto" w:fill="auto"/>
            <w:vAlign w:val="center"/>
          </w:tcPr>
          <w:p w14:paraId="4E3B3636" w14:textId="04A81D09" w:rsidR="00D171CA" w:rsidRPr="00D577B6" w:rsidRDefault="00D171CA" w:rsidP="00D171CA">
            <w:r w:rsidRPr="00D577B6">
              <w:t xml:space="preserve">p. </w:t>
            </w:r>
            <w:r w:rsidR="00D577B6" w:rsidRPr="00D577B6">
              <w:t>148</w:t>
            </w:r>
          </w:p>
        </w:tc>
      </w:tr>
      <w:tr w:rsidR="00D171CA" w14:paraId="68998570" w14:textId="77777777" w:rsidTr="00EF468E">
        <w:trPr>
          <w:trHeight w:val="1230"/>
        </w:trPr>
        <w:tc>
          <w:tcPr>
            <w:tcW w:w="709" w:type="dxa"/>
            <w:tcBorders>
              <w:top w:val="single" w:sz="4" w:space="0" w:color="BAD0CD" w:themeColor="accent5" w:themeShade="E6"/>
              <w:right w:val="single" w:sz="4" w:space="0" w:color="BAD0CD" w:themeColor="accent5" w:themeShade="E6"/>
            </w:tcBorders>
            <w:shd w:val="clear" w:color="auto" w:fill="D4E2E0" w:themeFill="accent5"/>
            <w:vAlign w:val="center"/>
          </w:tcPr>
          <w:p w14:paraId="7CC9B6EE" w14:textId="77777777" w:rsidR="00D171CA" w:rsidRPr="00E7569C" w:rsidRDefault="00D171CA" w:rsidP="00D171CA">
            <w:r w:rsidRPr="00E7569C">
              <w:t>1.3</w:t>
            </w:r>
          </w:p>
        </w:tc>
        <w:tc>
          <w:tcPr>
            <w:tcW w:w="3827" w:type="dxa"/>
            <w:tcBorders>
              <w:top w:val="single" w:sz="4" w:space="0" w:color="BAD0CD" w:themeColor="accent5" w:themeShade="E6"/>
              <w:left w:val="single" w:sz="4" w:space="0" w:color="BAD0CD" w:themeColor="accent5" w:themeShade="E6"/>
              <w:right w:val="single" w:sz="4" w:space="0" w:color="BAD0CD" w:themeColor="accent5" w:themeShade="E6"/>
            </w:tcBorders>
            <w:vAlign w:val="center"/>
          </w:tcPr>
          <w:p w14:paraId="617BB5EE" w14:textId="77777777" w:rsidR="00D171CA" w:rsidRPr="00A40E88" w:rsidRDefault="00D171CA" w:rsidP="00D171CA">
            <w:pPr>
              <w:rPr>
                <w:i/>
              </w:rPr>
            </w:pPr>
            <w:r w:rsidRPr="00A40E88">
              <w:t>Proportion of disputes resolved within six months</w:t>
            </w:r>
          </w:p>
        </w:tc>
        <w:tc>
          <w:tcPr>
            <w:tcW w:w="1843" w:type="dxa"/>
            <w:tcBorders>
              <w:top w:val="single" w:sz="4" w:space="0" w:color="BAD0CD" w:themeColor="accent5" w:themeShade="E6"/>
              <w:left w:val="single" w:sz="4" w:space="0" w:color="BAD0CD" w:themeColor="accent5" w:themeShade="E6"/>
              <w:right w:val="single" w:sz="4" w:space="0" w:color="BAD0CD" w:themeColor="accent5" w:themeShade="E6"/>
            </w:tcBorders>
            <w:vAlign w:val="center"/>
          </w:tcPr>
          <w:p w14:paraId="61FF53D6" w14:textId="2369CA9D" w:rsidR="00D171CA" w:rsidRPr="00D21618" w:rsidRDefault="00F766AC" w:rsidP="00D171CA">
            <w:pPr>
              <w:rPr>
                <w:i/>
              </w:rPr>
            </w:pPr>
            <w:r>
              <w:t>90.0</w:t>
            </w:r>
            <w:r w:rsidR="00D171CA" w:rsidRPr="00EB08F4">
              <w:t>%</w:t>
            </w:r>
          </w:p>
        </w:tc>
        <w:tc>
          <w:tcPr>
            <w:tcW w:w="1418" w:type="dxa"/>
            <w:tcBorders>
              <w:top w:val="single" w:sz="4" w:space="0" w:color="BAD0CD" w:themeColor="accent5" w:themeShade="E6"/>
              <w:left w:val="single" w:sz="4" w:space="0" w:color="BAD0CD" w:themeColor="accent5" w:themeShade="E6"/>
              <w:right w:val="single" w:sz="4" w:space="0" w:color="BAD0CD" w:themeColor="accent5" w:themeShade="E6"/>
            </w:tcBorders>
            <w:vAlign w:val="center"/>
          </w:tcPr>
          <w:p w14:paraId="1B40138F" w14:textId="7F2F2A21" w:rsidR="00D171CA" w:rsidRPr="00D21618" w:rsidRDefault="00F766AC" w:rsidP="00D171CA">
            <w:pPr>
              <w:rPr>
                <w:i/>
              </w:rPr>
            </w:pPr>
            <w:r>
              <w:t>88.8</w:t>
            </w:r>
            <w:r w:rsidR="00D171CA" w:rsidRPr="00EB08F4">
              <w:t>%</w:t>
            </w:r>
          </w:p>
        </w:tc>
        <w:tc>
          <w:tcPr>
            <w:tcW w:w="1530" w:type="dxa"/>
            <w:tcBorders>
              <w:top w:val="single" w:sz="4" w:space="0" w:color="BAD0CD" w:themeColor="accent5" w:themeShade="E6"/>
              <w:left w:val="single" w:sz="4" w:space="0" w:color="BAD0CD" w:themeColor="accent5" w:themeShade="E6"/>
            </w:tcBorders>
            <w:shd w:val="clear" w:color="auto" w:fill="auto"/>
            <w:vAlign w:val="center"/>
          </w:tcPr>
          <w:p w14:paraId="043B0E20" w14:textId="6EE25C2B" w:rsidR="00D171CA" w:rsidRPr="00D577B6" w:rsidRDefault="00D171CA" w:rsidP="00D171CA">
            <w:r w:rsidRPr="00D577B6">
              <w:t xml:space="preserve">p. </w:t>
            </w:r>
            <w:r w:rsidR="00D577B6" w:rsidRPr="00D577B6">
              <w:t>150</w:t>
            </w:r>
          </w:p>
        </w:tc>
      </w:tr>
    </w:tbl>
    <w:p w14:paraId="5E88D780" w14:textId="7D1E6BB0" w:rsidR="00184DF0" w:rsidRDefault="00184DF0" w:rsidP="00EC44DA">
      <w:pPr>
        <w:rPr>
          <w:i/>
        </w:rPr>
      </w:pPr>
    </w:p>
    <w:p w14:paraId="7B4ABC15" w14:textId="5495BB73" w:rsidR="00105D1D" w:rsidRPr="00A40E88" w:rsidRDefault="00184DF0" w:rsidP="00184DF0">
      <w:pPr>
        <w:keepLines w:val="0"/>
        <w:spacing w:after="0" w:line="240" w:lineRule="auto"/>
        <w:rPr>
          <w:i/>
        </w:rPr>
      </w:pPr>
      <w:r>
        <w:rPr>
          <w:i/>
        </w:rPr>
        <w:br w:type="page"/>
      </w:r>
    </w:p>
    <w:tbl>
      <w:tblPr>
        <w:tblStyle w:val="TableGrid"/>
        <w:tblW w:w="9327" w:type="dxa"/>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Caption w:val="Table 5 Indicators of efficiency snapshot"/>
        <w:tblDescription w:val="Table 5 includes description, target and result of all indicators of efficiency"/>
      </w:tblPr>
      <w:tblGrid>
        <w:gridCol w:w="851"/>
        <w:gridCol w:w="3685"/>
        <w:gridCol w:w="1843"/>
        <w:gridCol w:w="1418"/>
        <w:gridCol w:w="1530"/>
      </w:tblGrid>
      <w:tr w:rsidR="0036300F" w14:paraId="64A1DE07" w14:textId="77777777" w:rsidTr="008B0C48">
        <w:trPr>
          <w:tblHeader/>
        </w:trPr>
        <w:tc>
          <w:tcPr>
            <w:tcW w:w="9327" w:type="dxa"/>
            <w:gridSpan w:val="5"/>
            <w:shd w:val="clear" w:color="auto" w:fill="2D4541" w:themeFill="accent2"/>
          </w:tcPr>
          <w:p w14:paraId="42C0419C" w14:textId="77777777" w:rsidR="0036300F" w:rsidRPr="002F12D6" w:rsidRDefault="0036300F" w:rsidP="001759F4">
            <w:pPr>
              <w:rPr>
                <w:rStyle w:val="Strong"/>
                <w:color w:val="FFFFFF" w:themeColor="background1"/>
              </w:rPr>
            </w:pPr>
            <w:r w:rsidRPr="00FB20CF">
              <w:rPr>
                <w:rStyle w:val="Strong"/>
                <w:color w:val="FFFFFF" w:themeColor="background2"/>
              </w:rPr>
              <w:lastRenderedPageBreak/>
              <w:t>Table 5</w:t>
            </w:r>
            <w:r w:rsidR="001759F4">
              <w:rPr>
                <w:rStyle w:val="Strong"/>
                <w:color w:val="FFFFFF" w:themeColor="background2"/>
              </w:rPr>
              <w:t>: Indicators of efficiency</w:t>
            </w:r>
            <w:r w:rsidRPr="00FB20CF">
              <w:rPr>
                <w:rStyle w:val="Strong"/>
                <w:color w:val="FFFFFF" w:themeColor="background2"/>
              </w:rPr>
              <w:t xml:space="preserve"> snapshot</w:t>
            </w:r>
          </w:p>
        </w:tc>
      </w:tr>
      <w:tr w:rsidR="00E7569C" w14:paraId="2DD7D17A" w14:textId="77777777" w:rsidTr="008B0C48">
        <w:tc>
          <w:tcPr>
            <w:tcW w:w="851" w:type="dxa"/>
            <w:tcBorders>
              <w:bottom w:val="single" w:sz="4" w:space="0" w:color="D4E2E0" w:themeColor="accent5"/>
            </w:tcBorders>
            <w:shd w:val="clear" w:color="auto" w:fill="D4E2E0" w:themeFill="accent5"/>
          </w:tcPr>
          <w:p w14:paraId="30CFA303" w14:textId="77777777" w:rsidR="00E7569C" w:rsidRPr="002F12D6" w:rsidRDefault="0079342F" w:rsidP="00916CE1">
            <w:pPr>
              <w:rPr>
                <w:rStyle w:val="Strong"/>
              </w:rPr>
            </w:pPr>
            <w:r>
              <w:rPr>
                <w:rStyle w:val="Strong"/>
              </w:rPr>
              <w:t>#</w:t>
            </w:r>
          </w:p>
        </w:tc>
        <w:tc>
          <w:tcPr>
            <w:tcW w:w="3685" w:type="dxa"/>
            <w:tcBorders>
              <w:bottom w:val="single" w:sz="4" w:space="0" w:color="D4E2E0" w:themeColor="accent5"/>
            </w:tcBorders>
            <w:shd w:val="clear" w:color="auto" w:fill="D4E2E0" w:themeFill="accent5"/>
          </w:tcPr>
          <w:p w14:paraId="28AD7638" w14:textId="77777777" w:rsidR="00E7569C" w:rsidRPr="002F12D6" w:rsidRDefault="0079342F" w:rsidP="00916CE1">
            <w:pPr>
              <w:rPr>
                <w:rStyle w:val="Strong"/>
              </w:rPr>
            </w:pPr>
            <w:r w:rsidRPr="002F12D6">
              <w:rPr>
                <w:rStyle w:val="Strong"/>
              </w:rPr>
              <w:t>Description</w:t>
            </w:r>
          </w:p>
        </w:tc>
        <w:tc>
          <w:tcPr>
            <w:tcW w:w="1843" w:type="dxa"/>
            <w:tcBorders>
              <w:bottom w:val="single" w:sz="4" w:space="0" w:color="D4E2E0" w:themeColor="accent5"/>
            </w:tcBorders>
            <w:shd w:val="clear" w:color="auto" w:fill="D4E2E0" w:themeFill="accent5"/>
          </w:tcPr>
          <w:p w14:paraId="219D0ACD" w14:textId="77777777" w:rsidR="00E7569C" w:rsidRPr="002F12D6" w:rsidRDefault="00092CFD" w:rsidP="00916CE1">
            <w:pPr>
              <w:rPr>
                <w:rStyle w:val="Strong"/>
              </w:rPr>
            </w:pPr>
            <w:r>
              <w:rPr>
                <w:rStyle w:val="Strong"/>
              </w:rPr>
              <w:t>2014/15</w:t>
            </w:r>
            <w:r w:rsidR="0079342F" w:rsidRPr="002F12D6">
              <w:rPr>
                <w:rStyle w:val="Strong"/>
              </w:rPr>
              <w:t xml:space="preserve"> Target</w:t>
            </w:r>
          </w:p>
        </w:tc>
        <w:tc>
          <w:tcPr>
            <w:tcW w:w="1418" w:type="dxa"/>
            <w:tcBorders>
              <w:bottom w:val="single" w:sz="4" w:space="0" w:color="D4E2E0" w:themeColor="accent5"/>
            </w:tcBorders>
            <w:shd w:val="clear" w:color="auto" w:fill="D4E2E0" w:themeFill="accent5"/>
          </w:tcPr>
          <w:p w14:paraId="20B426C0" w14:textId="77777777" w:rsidR="00E7569C" w:rsidRPr="002F12D6" w:rsidRDefault="00092CFD" w:rsidP="00916CE1">
            <w:pPr>
              <w:rPr>
                <w:rStyle w:val="Strong"/>
              </w:rPr>
            </w:pPr>
            <w:r>
              <w:rPr>
                <w:rStyle w:val="Strong"/>
              </w:rPr>
              <w:t>2014/15</w:t>
            </w:r>
            <w:r w:rsidR="0079342F" w:rsidRPr="002F12D6">
              <w:rPr>
                <w:rStyle w:val="Strong"/>
              </w:rPr>
              <w:t xml:space="preserve"> Result</w:t>
            </w:r>
          </w:p>
        </w:tc>
        <w:tc>
          <w:tcPr>
            <w:tcW w:w="1530" w:type="dxa"/>
            <w:tcBorders>
              <w:bottom w:val="single" w:sz="4" w:space="0" w:color="D4E2E0" w:themeColor="accent5"/>
            </w:tcBorders>
            <w:shd w:val="clear" w:color="auto" w:fill="D4E2E0" w:themeFill="accent5"/>
          </w:tcPr>
          <w:p w14:paraId="3A3F6A25" w14:textId="77777777" w:rsidR="00E7569C" w:rsidRPr="002F12D6" w:rsidRDefault="0079342F" w:rsidP="00916CE1">
            <w:pPr>
              <w:rPr>
                <w:rStyle w:val="Strong"/>
              </w:rPr>
            </w:pPr>
            <w:r w:rsidRPr="002F12D6">
              <w:rPr>
                <w:rStyle w:val="Strong"/>
              </w:rPr>
              <w:t>Reference</w:t>
            </w:r>
          </w:p>
        </w:tc>
      </w:tr>
      <w:tr w:rsidR="00F766AC" w14:paraId="31A4B155" w14:textId="77777777" w:rsidTr="00804F95">
        <w:tc>
          <w:tcPr>
            <w:tcW w:w="851" w:type="dxa"/>
            <w:tcBorders>
              <w:bottom w:val="single" w:sz="4" w:space="0" w:color="BAD0CD" w:themeColor="accent5" w:themeShade="E6"/>
              <w:right w:val="single" w:sz="4" w:space="0" w:color="BAD0CD" w:themeColor="accent5" w:themeShade="E6"/>
            </w:tcBorders>
            <w:shd w:val="clear" w:color="auto" w:fill="D4E2E0" w:themeFill="accent5"/>
            <w:vAlign w:val="center"/>
          </w:tcPr>
          <w:p w14:paraId="4B8C0C76" w14:textId="77777777" w:rsidR="00F766AC" w:rsidRDefault="00F766AC" w:rsidP="00F766AC">
            <w:r>
              <w:t>1.1</w:t>
            </w:r>
          </w:p>
        </w:tc>
        <w:tc>
          <w:tcPr>
            <w:tcW w:w="3685" w:type="dxa"/>
            <w:tcBorders>
              <w:left w:val="single" w:sz="4" w:space="0" w:color="BAD0CD" w:themeColor="accent5" w:themeShade="E6"/>
              <w:bottom w:val="single" w:sz="4" w:space="0" w:color="BAD0CD" w:themeColor="accent5" w:themeShade="E6"/>
              <w:right w:val="single" w:sz="4" w:space="0" w:color="BAD0CD" w:themeColor="accent5" w:themeShade="E6"/>
            </w:tcBorders>
          </w:tcPr>
          <w:p w14:paraId="56C6EE39" w14:textId="77777777" w:rsidR="00F766AC" w:rsidRPr="002C6864" w:rsidRDefault="00F766AC" w:rsidP="00F766AC">
            <w:pPr>
              <w:rPr>
                <w:i/>
              </w:rPr>
            </w:pPr>
            <w:r w:rsidRPr="002C6864">
              <w:t>Average cost per employer compliance activity</w:t>
            </w:r>
          </w:p>
        </w:tc>
        <w:tc>
          <w:tcPr>
            <w:tcW w:w="1843" w:type="dxa"/>
            <w:tcBorders>
              <w:left w:val="single" w:sz="4" w:space="0" w:color="BAD0CD" w:themeColor="accent5" w:themeShade="E6"/>
              <w:bottom w:val="single" w:sz="4" w:space="0" w:color="BAD0CD" w:themeColor="accent5" w:themeShade="E6"/>
              <w:right w:val="single" w:sz="4" w:space="0" w:color="BAD0CD" w:themeColor="accent5" w:themeShade="E6"/>
            </w:tcBorders>
          </w:tcPr>
          <w:p w14:paraId="28ADD501" w14:textId="0BABD4C2" w:rsidR="00F766AC" w:rsidRPr="00D21618" w:rsidRDefault="00F766AC" w:rsidP="00F766AC">
            <w:pPr>
              <w:rPr>
                <w:i/>
              </w:rPr>
            </w:pPr>
            <w:r w:rsidRPr="00196528">
              <w:t>$257</w:t>
            </w:r>
          </w:p>
        </w:tc>
        <w:tc>
          <w:tcPr>
            <w:tcW w:w="1418" w:type="dxa"/>
            <w:tcBorders>
              <w:left w:val="single" w:sz="4" w:space="0" w:color="BAD0CD" w:themeColor="accent5" w:themeShade="E6"/>
              <w:bottom w:val="single" w:sz="4" w:space="0" w:color="BAD0CD" w:themeColor="accent5" w:themeShade="E6"/>
              <w:right w:val="single" w:sz="4" w:space="0" w:color="BAD0CD" w:themeColor="accent5" w:themeShade="E6"/>
            </w:tcBorders>
          </w:tcPr>
          <w:p w14:paraId="2FD1481A" w14:textId="6E77ADAF" w:rsidR="00F766AC" w:rsidRPr="00D21618" w:rsidRDefault="00F766AC" w:rsidP="00F766AC">
            <w:pPr>
              <w:rPr>
                <w:i/>
              </w:rPr>
            </w:pPr>
            <w:r w:rsidRPr="00D34A84">
              <w:t>$255</w:t>
            </w:r>
          </w:p>
        </w:tc>
        <w:tc>
          <w:tcPr>
            <w:tcW w:w="1530" w:type="dxa"/>
            <w:tcBorders>
              <w:left w:val="single" w:sz="4" w:space="0" w:color="BAD0CD" w:themeColor="accent5" w:themeShade="E6"/>
              <w:bottom w:val="single" w:sz="4" w:space="0" w:color="BAD0CD" w:themeColor="accent5" w:themeShade="E6"/>
            </w:tcBorders>
            <w:shd w:val="clear" w:color="auto" w:fill="auto"/>
          </w:tcPr>
          <w:p w14:paraId="0AC7E4E4" w14:textId="1A137E57" w:rsidR="00F766AC" w:rsidRPr="00804F95" w:rsidRDefault="00F766AC" w:rsidP="00F766AC">
            <w:r w:rsidRPr="00804F95">
              <w:t xml:space="preserve">p. </w:t>
            </w:r>
            <w:r w:rsidR="00804F95" w:rsidRPr="00804F95">
              <w:t>153</w:t>
            </w:r>
          </w:p>
        </w:tc>
      </w:tr>
      <w:tr w:rsidR="00F766AC" w14:paraId="6045CF98" w14:textId="77777777" w:rsidTr="00804F95">
        <w:tc>
          <w:tcPr>
            <w:tcW w:w="851"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1633CDB1" w14:textId="77777777" w:rsidR="00F766AC" w:rsidRDefault="00F766AC" w:rsidP="00F766AC">
            <w:r>
              <w:t>1.2</w:t>
            </w:r>
          </w:p>
        </w:tc>
        <w:tc>
          <w:tcPr>
            <w:tcW w:w="3685"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5C66C189" w14:textId="77777777" w:rsidR="00F766AC" w:rsidRPr="002C6864" w:rsidRDefault="00F766AC" w:rsidP="00F766AC">
            <w:pPr>
              <w:rPr>
                <w:i/>
              </w:rPr>
            </w:pPr>
            <w:r w:rsidRPr="002C6864">
              <w:t>Average cost per approved and monitored service provider</w:t>
            </w:r>
          </w:p>
        </w:tc>
        <w:tc>
          <w:tcPr>
            <w:tcW w:w="184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6D1B947C" w14:textId="5A0DDCAF" w:rsidR="00F766AC" w:rsidRPr="00D21618" w:rsidRDefault="00F766AC" w:rsidP="00F766AC">
            <w:pPr>
              <w:rPr>
                <w:i/>
              </w:rPr>
            </w:pPr>
            <w:r w:rsidRPr="00196528">
              <w:t>$3,309</w:t>
            </w:r>
          </w:p>
        </w:tc>
        <w:tc>
          <w:tcPr>
            <w:tcW w:w="1418"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561C5294" w14:textId="745C705D" w:rsidR="00F766AC" w:rsidRPr="00D21618" w:rsidRDefault="00F766AC" w:rsidP="00F766AC">
            <w:pPr>
              <w:rPr>
                <w:i/>
              </w:rPr>
            </w:pPr>
            <w:r w:rsidRPr="00D34A84">
              <w:t>$3,250</w:t>
            </w:r>
          </w:p>
        </w:tc>
        <w:tc>
          <w:tcPr>
            <w:tcW w:w="1530" w:type="dxa"/>
            <w:tcBorders>
              <w:top w:val="single" w:sz="4" w:space="0" w:color="BAD0CD" w:themeColor="accent5" w:themeShade="E6"/>
              <w:left w:val="single" w:sz="4" w:space="0" w:color="BAD0CD" w:themeColor="accent5" w:themeShade="E6"/>
              <w:bottom w:val="single" w:sz="4" w:space="0" w:color="BAD0CD" w:themeColor="accent5" w:themeShade="E6"/>
            </w:tcBorders>
            <w:shd w:val="clear" w:color="auto" w:fill="auto"/>
          </w:tcPr>
          <w:p w14:paraId="1798E996" w14:textId="188E80C0" w:rsidR="00F766AC" w:rsidRPr="00804F95" w:rsidRDefault="00F766AC" w:rsidP="00F766AC">
            <w:r w:rsidRPr="00804F95">
              <w:t xml:space="preserve">p. </w:t>
            </w:r>
            <w:r w:rsidR="00804F95" w:rsidRPr="00804F95">
              <w:t>155</w:t>
            </w:r>
          </w:p>
        </w:tc>
      </w:tr>
      <w:tr w:rsidR="00F766AC" w14:paraId="66405B83" w14:textId="77777777" w:rsidTr="00804F95">
        <w:tc>
          <w:tcPr>
            <w:tcW w:w="851" w:type="dxa"/>
            <w:tcBorders>
              <w:top w:val="single" w:sz="4" w:space="0" w:color="BAD0CD" w:themeColor="accent5" w:themeShade="E6"/>
              <w:bottom w:val="single" w:sz="4" w:space="0" w:color="2D4541" w:themeColor="accent2"/>
              <w:right w:val="single" w:sz="4" w:space="0" w:color="BAD0CD" w:themeColor="accent5" w:themeShade="E6"/>
            </w:tcBorders>
            <w:shd w:val="clear" w:color="auto" w:fill="D4E2E0" w:themeFill="accent5"/>
            <w:vAlign w:val="center"/>
          </w:tcPr>
          <w:p w14:paraId="7139EB95" w14:textId="77777777" w:rsidR="00F766AC" w:rsidRDefault="00F766AC" w:rsidP="00F766AC">
            <w:r>
              <w:t>1.3</w:t>
            </w:r>
          </w:p>
        </w:tc>
        <w:tc>
          <w:tcPr>
            <w:tcW w:w="3685" w:type="dxa"/>
            <w:tcBorders>
              <w:top w:val="single" w:sz="4" w:space="0" w:color="BAD0CD" w:themeColor="accent5" w:themeShade="E6"/>
              <w:left w:val="single" w:sz="4" w:space="0" w:color="BAD0CD" w:themeColor="accent5" w:themeShade="E6"/>
              <w:bottom w:val="single" w:sz="4" w:space="0" w:color="2D4541" w:themeColor="accent2"/>
              <w:right w:val="single" w:sz="4" w:space="0" w:color="BAD0CD" w:themeColor="accent5" w:themeShade="E6"/>
            </w:tcBorders>
          </w:tcPr>
          <w:p w14:paraId="560FAC83" w14:textId="77777777" w:rsidR="00F766AC" w:rsidRPr="002C6864" w:rsidRDefault="00F766AC" w:rsidP="00F766AC">
            <w:pPr>
              <w:rPr>
                <w:i/>
              </w:rPr>
            </w:pPr>
            <w:r w:rsidRPr="002C6864">
              <w:t>Average cost per client contact to provide information and advice</w:t>
            </w:r>
          </w:p>
        </w:tc>
        <w:tc>
          <w:tcPr>
            <w:tcW w:w="1843" w:type="dxa"/>
            <w:tcBorders>
              <w:top w:val="single" w:sz="4" w:space="0" w:color="BAD0CD" w:themeColor="accent5" w:themeShade="E6"/>
              <w:left w:val="single" w:sz="4" w:space="0" w:color="BAD0CD" w:themeColor="accent5" w:themeShade="E6"/>
              <w:bottom w:val="single" w:sz="4" w:space="0" w:color="2D4541" w:themeColor="accent2"/>
              <w:right w:val="single" w:sz="4" w:space="0" w:color="BAD0CD" w:themeColor="accent5" w:themeShade="E6"/>
            </w:tcBorders>
          </w:tcPr>
          <w:p w14:paraId="325A0152" w14:textId="60D806FB" w:rsidR="00F766AC" w:rsidRPr="00D21618" w:rsidRDefault="00F766AC" w:rsidP="00F766AC">
            <w:pPr>
              <w:rPr>
                <w:i/>
              </w:rPr>
            </w:pPr>
            <w:r w:rsidRPr="00196528">
              <w:t>$113</w:t>
            </w:r>
          </w:p>
        </w:tc>
        <w:tc>
          <w:tcPr>
            <w:tcW w:w="1418" w:type="dxa"/>
            <w:tcBorders>
              <w:top w:val="single" w:sz="4" w:space="0" w:color="BAD0CD" w:themeColor="accent5" w:themeShade="E6"/>
              <w:left w:val="single" w:sz="4" w:space="0" w:color="BAD0CD" w:themeColor="accent5" w:themeShade="E6"/>
              <w:bottom w:val="single" w:sz="4" w:space="0" w:color="2D4541" w:themeColor="accent2"/>
              <w:right w:val="single" w:sz="4" w:space="0" w:color="BAD0CD" w:themeColor="accent5" w:themeShade="E6"/>
            </w:tcBorders>
          </w:tcPr>
          <w:p w14:paraId="41F17790" w14:textId="1F51E61E" w:rsidR="00F766AC" w:rsidRPr="00D21618" w:rsidRDefault="00F766AC" w:rsidP="00F766AC">
            <w:pPr>
              <w:rPr>
                <w:i/>
              </w:rPr>
            </w:pPr>
            <w:r w:rsidRPr="00D34A84">
              <w:t>$120</w:t>
            </w:r>
          </w:p>
        </w:tc>
        <w:tc>
          <w:tcPr>
            <w:tcW w:w="1530" w:type="dxa"/>
            <w:tcBorders>
              <w:top w:val="single" w:sz="4" w:space="0" w:color="BAD0CD" w:themeColor="accent5" w:themeShade="E6"/>
              <w:left w:val="single" w:sz="4" w:space="0" w:color="BAD0CD" w:themeColor="accent5" w:themeShade="E6"/>
              <w:bottom w:val="single" w:sz="4" w:space="0" w:color="2D4541" w:themeColor="accent2"/>
            </w:tcBorders>
            <w:shd w:val="clear" w:color="auto" w:fill="auto"/>
          </w:tcPr>
          <w:p w14:paraId="6784A1CE" w14:textId="01748FF5" w:rsidR="00F766AC" w:rsidRPr="00804F95" w:rsidRDefault="00F766AC" w:rsidP="00F766AC">
            <w:r w:rsidRPr="00804F95">
              <w:t xml:space="preserve">p. </w:t>
            </w:r>
            <w:r w:rsidR="00804F95" w:rsidRPr="00804F95">
              <w:t>157</w:t>
            </w:r>
          </w:p>
        </w:tc>
      </w:tr>
      <w:tr w:rsidR="00F766AC" w14:paraId="4CCB4E08" w14:textId="77777777" w:rsidTr="00804F95">
        <w:tc>
          <w:tcPr>
            <w:tcW w:w="851" w:type="dxa"/>
            <w:tcBorders>
              <w:top w:val="single" w:sz="4" w:space="0" w:color="2D4541" w:themeColor="accent2"/>
              <w:bottom w:val="single" w:sz="4" w:space="0" w:color="BAD0CD" w:themeColor="accent5" w:themeShade="E6"/>
              <w:right w:val="single" w:sz="4" w:space="0" w:color="BAD0CD" w:themeColor="accent5" w:themeShade="E6"/>
            </w:tcBorders>
            <w:shd w:val="clear" w:color="auto" w:fill="D4E2E0" w:themeFill="accent5"/>
            <w:vAlign w:val="center"/>
          </w:tcPr>
          <w:p w14:paraId="4E039E36" w14:textId="77777777" w:rsidR="00F766AC" w:rsidRDefault="00F766AC" w:rsidP="00F766AC">
            <w:r>
              <w:t>2.1</w:t>
            </w:r>
          </w:p>
        </w:tc>
        <w:tc>
          <w:tcPr>
            <w:tcW w:w="3685" w:type="dxa"/>
            <w:tcBorders>
              <w:top w:val="single" w:sz="4" w:space="0" w:color="2D4541" w:themeColor="accent2"/>
              <w:left w:val="single" w:sz="4" w:space="0" w:color="BAD0CD" w:themeColor="accent5" w:themeShade="E6"/>
              <w:bottom w:val="single" w:sz="4" w:space="0" w:color="BAD0CD" w:themeColor="accent5" w:themeShade="E6"/>
              <w:right w:val="single" w:sz="4" w:space="0" w:color="BAD0CD" w:themeColor="accent5" w:themeShade="E6"/>
            </w:tcBorders>
          </w:tcPr>
          <w:p w14:paraId="7BD94D7D" w14:textId="77777777" w:rsidR="00F766AC" w:rsidRPr="002C6864" w:rsidRDefault="00F766AC" w:rsidP="00F766AC">
            <w:pPr>
              <w:rPr>
                <w:i/>
              </w:rPr>
            </w:pPr>
            <w:r w:rsidRPr="002C6864">
              <w:t>Average cost to complete a conciliation</w:t>
            </w:r>
          </w:p>
        </w:tc>
        <w:tc>
          <w:tcPr>
            <w:tcW w:w="1843" w:type="dxa"/>
            <w:tcBorders>
              <w:top w:val="single" w:sz="4" w:space="0" w:color="2D4541" w:themeColor="accent2"/>
              <w:left w:val="single" w:sz="4" w:space="0" w:color="BAD0CD" w:themeColor="accent5" w:themeShade="E6"/>
              <w:bottom w:val="single" w:sz="4" w:space="0" w:color="BAD0CD" w:themeColor="accent5" w:themeShade="E6"/>
              <w:right w:val="single" w:sz="4" w:space="0" w:color="BAD0CD" w:themeColor="accent5" w:themeShade="E6"/>
            </w:tcBorders>
          </w:tcPr>
          <w:p w14:paraId="5A7EA660" w14:textId="5A90AA1E" w:rsidR="00F766AC" w:rsidRPr="00D21618" w:rsidRDefault="00F766AC" w:rsidP="00F766AC">
            <w:pPr>
              <w:rPr>
                <w:i/>
              </w:rPr>
            </w:pPr>
            <w:r w:rsidRPr="00196528">
              <w:t>$2,023</w:t>
            </w:r>
          </w:p>
        </w:tc>
        <w:tc>
          <w:tcPr>
            <w:tcW w:w="1418" w:type="dxa"/>
            <w:tcBorders>
              <w:top w:val="single" w:sz="4" w:space="0" w:color="2D4541" w:themeColor="accent2"/>
              <w:left w:val="single" w:sz="4" w:space="0" w:color="BAD0CD" w:themeColor="accent5" w:themeShade="E6"/>
              <w:bottom w:val="single" w:sz="4" w:space="0" w:color="BAD0CD" w:themeColor="accent5" w:themeShade="E6"/>
              <w:right w:val="single" w:sz="4" w:space="0" w:color="BAD0CD" w:themeColor="accent5" w:themeShade="E6"/>
            </w:tcBorders>
          </w:tcPr>
          <w:p w14:paraId="47C1955B" w14:textId="26DC094C" w:rsidR="00F766AC" w:rsidRPr="00D21618" w:rsidRDefault="00F766AC" w:rsidP="00F766AC">
            <w:pPr>
              <w:rPr>
                <w:i/>
              </w:rPr>
            </w:pPr>
            <w:r w:rsidRPr="00D34A84">
              <w:t>$1,966</w:t>
            </w:r>
          </w:p>
        </w:tc>
        <w:tc>
          <w:tcPr>
            <w:tcW w:w="1530" w:type="dxa"/>
            <w:tcBorders>
              <w:top w:val="single" w:sz="4" w:space="0" w:color="2D4541" w:themeColor="accent2"/>
              <w:left w:val="single" w:sz="4" w:space="0" w:color="BAD0CD" w:themeColor="accent5" w:themeShade="E6"/>
              <w:bottom w:val="single" w:sz="4" w:space="0" w:color="BAD0CD" w:themeColor="accent5" w:themeShade="E6"/>
            </w:tcBorders>
            <w:shd w:val="clear" w:color="auto" w:fill="auto"/>
          </w:tcPr>
          <w:p w14:paraId="688B8DC9" w14:textId="1807BDF7" w:rsidR="00F766AC" w:rsidRPr="00804F95" w:rsidRDefault="00F766AC" w:rsidP="000766C2">
            <w:r w:rsidRPr="00804F95">
              <w:t xml:space="preserve">p. </w:t>
            </w:r>
            <w:r w:rsidR="00804F95" w:rsidRPr="00804F95">
              <w:t>160</w:t>
            </w:r>
          </w:p>
        </w:tc>
      </w:tr>
      <w:tr w:rsidR="00F766AC" w14:paraId="41F3E0CE" w14:textId="77777777" w:rsidTr="00804F95">
        <w:tc>
          <w:tcPr>
            <w:tcW w:w="851"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2E7D65F8" w14:textId="77777777" w:rsidR="00F766AC" w:rsidRDefault="00F766AC" w:rsidP="00F766AC">
            <w:r>
              <w:t>2.2</w:t>
            </w:r>
          </w:p>
        </w:tc>
        <w:tc>
          <w:tcPr>
            <w:tcW w:w="3685"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1BBDA580" w14:textId="77777777" w:rsidR="00F766AC" w:rsidRPr="002C6864" w:rsidRDefault="00F766AC" w:rsidP="00F766AC">
            <w:pPr>
              <w:rPr>
                <w:i/>
              </w:rPr>
            </w:pPr>
            <w:r w:rsidRPr="002C6864">
              <w:t>Average cost to complete an arbitration</w:t>
            </w:r>
          </w:p>
        </w:tc>
        <w:tc>
          <w:tcPr>
            <w:tcW w:w="184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5582E123" w14:textId="7ADB200E" w:rsidR="00F766AC" w:rsidRPr="00D21618" w:rsidRDefault="00F766AC" w:rsidP="00F766AC">
            <w:pPr>
              <w:rPr>
                <w:i/>
              </w:rPr>
            </w:pPr>
            <w:r w:rsidRPr="00196528">
              <w:t>$8,611</w:t>
            </w:r>
          </w:p>
        </w:tc>
        <w:tc>
          <w:tcPr>
            <w:tcW w:w="1418"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1903DA0D" w14:textId="36543F1E" w:rsidR="00F766AC" w:rsidRPr="00D21618" w:rsidRDefault="00F766AC" w:rsidP="00F766AC">
            <w:pPr>
              <w:rPr>
                <w:i/>
              </w:rPr>
            </w:pPr>
            <w:r w:rsidRPr="00D34A84">
              <w:t>$10,042</w:t>
            </w:r>
          </w:p>
        </w:tc>
        <w:tc>
          <w:tcPr>
            <w:tcW w:w="1530" w:type="dxa"/>
            <w:tcBorders>
              <w:top w:val="single" w:sz="4" w:space="0" w:color="BAD0CD" w:themeColor="accent5" w:themeShade="E6"/>
              <w:left w:val="single" w:sz="4" w:space="0" w:color="BAD0CD" w:themeColor="accent5" w:themeShade="E6"/>
              <w:bottom w:val="single" w:sz="4" w:space="0" w:color="BAD0CD" w:themeColor="accent5" w:themeShade="E6"/>
            </w:tcBorders>
            <w:shd w:val="clear" w:color="auto" w:fill="auto"/>
          </w:tcPr>
          <w:p w14:paraId="43D0F280" w14:textId="0EF69F7C" w:rsidR="00F766AC" w:rsidRPr="00804F95" w:rsidRDefault="00F766AC" w:rsidP="00EF468E">
            <w:r w:rsidRPr="00804F95">
              <w:t xml:space="preserve">p. </w:t>
            </w:r>
            <w:r w:rsidR="00804F95" w:rsidRPr="00804F95">
              <w:t>161</w:t>
            </w:r>
          </w:p>
        </w:tc>
      </w:tr>
      <w:tr w:rsidR="00F766AC" w14:paraId="6854A962" w14:textId="77777777" w:rsidTr="00804F95">
        <w:tc>
          <w:tcPr>
            <w:tcW w:w="851" w:type="dxa"/>
            <w:tcBorders>
              <w:top w:val="single" w:sz="4" w:space="0" w:color="BAD0CD" w:themeColor="accent5" w:themeShade="E6"/>
              <w:right w:val="single" w:sz="4" w:space="0" w:color="BAD0CD" w:themeColor="accent5" w:themeShade="E6"/>
            </w:tcBorders>
            <w:shd w:val="clear" w:color="auto" w:fill="D4E2E0" w:themeFill="accent5"/>
            <w:vAlign w:val="center"/>
          </w:tcPr>
          <w:p w14:paraId="4404238A" w14:textId="77777777" w:rsidR="00F766AC" w:rsidRDefault="00F766AC" w:rsidP="00F766AC">
            <w:r>
              <w:t>2.3</w:t>
            </w:r>
          </w:p>
        </w:tc>
        <w:tc>
          <w:tcPr>
            <w:tcW w:w="3685" w:type="dxa"/>
            <w:tcBorders>
              <w:top w:val="single" w:sz="4" w:space="0" w:color="BAD0CD" w:themeColor="accent5" w:themeShade="E6"/>
              <w:left w:val="single" w:sz="4" w:space="0" w:color="BAD0CD" w:themeColor="accent5" w:themeShade="E6"/>
              <w:right w:val="single" w:sz="4" w:space="0" w:color="BAD0CD" w:themeColor="accent5" w:themeShade="E6"/>
            </w:tcBorders>
            <w:vAlign w:val="center"/>
          </w:tcPr>
          <w:p w14:paraId="6DD443C4" w14:textId="77777777" w:rsidR="00F766AC" w:rsidRPr="002C6864" w:rsidRDefault="00F766AC" w:rsidP="00F766AC">
            <w:pPr>
              <w:rPr>
                <w:i/>
              </w:rPr>
            </w:pPr>
            <w:r w:rsidRPr="002C6864">
              <w:t>Average cost to process a Memorandum of Agreement</w:t>
            </w:r>
          </w:p>
        </w:tc>
        <w:tc>
          <w:tcPr>
            <w:tcW w:w="1843" w:type="dxa"/>
            <w:tcBorders>
              <w:top w:val="single" w:sz="4" w:space="0" w:color="BAD0CD" w:themeColor="accent5" w:themeShade="E6"/>
              <w:left w:val="single" w:sz="4" w:space="0" w:color="BAD0CD" w:themeColor="accent5" w:themeShade="E6"/>
              <w:right w:val="single" w:sz="4" w:space="0" w:color="BAD0CD" w:themeColor="accent5" w:themeShade="E6"/>
            </w:tcBorders>
          </w:tcPr>
          <w:p w14:paraId="03389FDB" w14:textId="4369AD26" w:rsidR="00F766AC" w:rsidRPr="00D21618" w:rsidRDefault="00F766AC" w:rsidP="00F766AC">
            <w:pPr>
              <w:rPr>
                <w:i/>
              </w:rPr>
            </w:pPr>
            <w:r w:rsidRPr="00196528">
              <w:t>$401</w:t>
            </w:r>
          </w:p>
        </w:tc>
        <w:tc>
          <w:tcPr>
            <w:tcW w:w="1418" w:type="dxa"/>
            <w:tcBorders>
              <w:top w:val="single" w:sz="4" w:space="0" w:color="BAD0CD" w:themeColor="accent5" w:themeShade="E6"/>
              <w:left w:val="single" w:sz="4" w:space="0" w:color="BAD0CD" w:themeColor="accent5" w:themeShade="E6"/>
              <w:right w:val="single" w:sz="4" w:space="0" w:color="BAD0CD" w:themeColor="accent5" w:themeShade="E6"/>
            </w:tcBorders>
          </w:tcPr>
          <w:p w14:paraId="2E594C88" w14:textId="5D264ABD" w:rsidR="00F766AC" w:rsidRPr="00D21618" w:rsidRDefault="00F766AC" w:rsidP="00F766AC">
            <w:pPr>
              <w:rPr>
                <w:i/>
              </w:rPr>
            </w:pPr>
            <w:r w:rsidRPr="00D34A84">
              <w:t>$342</w:t>
            </w:r>
          </w:p>
        </w:tc>
        <w:tc>
          <w:tcPr>
            <w:tcW w:w="1530" w:type="dxa"/>
            <w:tcBorders>
              <w:top w:val="single" w:sz="4" w:space="0" w:color="BAD0CD" w:themeColor="accent5" w:themeShade="E6"/>
              <w:left w:val="single" w:sz="4" w:space="0" w:color="BAD0CD" w:themeColor="accent5" w:themeShade="E6"/>
            </w:tcBorders>
            <w:shd w:val="clear" w:color="auto" w:fill="auto"/>
            <w:vAlign w:val="center"/>
          </w:tcPr>
          <w:p w14:paraId="32D9CB2F" w14:textId="71FFA0AD" w:rsidR="00F766AC" w:rsidRPr="00804F95" w:rsidRDefault="00F766AC" w:rsidP="000766C2">
            <w:r w:rsidRPr="00804F95">
              <w:t xml:space="preserve">p. </w:t>
            </w:r>
            <w:r w:rsidR="00EF468E" w:rsidRPr="00804F95">
              <w:t>1</w:t>
            </w:r>
            <w:r w:rsidR="00804F95" w:rsidRPr="00804F95">
              <w:t>63</w:t>
            </w:r>
          </w:p>
        </w:tc>
      </w:tr>
    </w:tbl>
    <w:p w14:paraId="3D74C672" w14:textId="4756EB5A" w:rsidR="00184DF0" w:rsidRDefault="00184DF0" w:rsidP="00EC44DA">
      <w:pPr>
        <w:rPr>
          <w:i/>
        </w:rPr>
      </w:pPr>
    </w:p>
    <w:p w14:paraId="66618C79" w14:textId="61538D82" w:rsidR="00D171CA" w:rsidRPr="002C6864" w:rsidRDefault="00184DF0" w:rsidP="00184DF0">
      <w:pPr>
        <w:keepLines w:val="0"/>
        <w:spacing w:after="0" w:line="240" w:lineRule="auto"/>
        <w:rPr>
          <w:i/>
        </w:rPr>
      </w:pPr>
      <w:r>
        <w:rPr>
          <w:i/>
        </w:rPr>
        <w:br w:type="page"/>
      </w:r>
    </w:p>
    <w:tbl>
      <w:tblPr>
        <w:tblStyle w:val="TableGrid"/>
        <w:tblW w:w="9752"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6 Delivery of 2014/15 Strategic Initiatives"/>
        <w:tblDescription w:val="Table 6 outlines the delivery of the three initiatives that were delivered in the financial year"/>
      </w:tblPr>
      <w:tblGrid>
        <w:gridCol w:w="1247"/>
        <w:gridCol w:w="2268"/>
        <w:gridCol w:w="6237"/>
      </w:tblGrid>
      <w:tr w:rsidR="00670B29" w14:paraId="02841DFA" w14:textId="77777777" w:rsidTr="00D171CA">
        <w:trPr>
          <w:tblHeader/>
        </w:trPr>
        <w:tc>
          <w:tcPr>
            <w:tcW w:w="9752" w:type="dxa"/>
            <w:gridSpan w:val="3"/>
            <w:shd w:val="clear" w:color="auto" w:fill="3D5C57" w:themeFill="accent1"/>
          </w:tcPr>
          <w:p w14:paraId="0CF7339F" w14:textId="77777777" w:rsidR="00670B29" w:rsidRPr="00670B29" w:rsidRDefault="007C698C" w:rsidP="00FB20CF">
            <w:pPr>
              <w:rPr>
                <w:i/>
                <w:color w:val="FFFFFF" w:themeColor="background1"/>
              </w:rPr>
            </w:pPr>
            <w:r>
              <w:rPr>
                <w:i/>
                <w:color w:val="FF0000"/>
              </w:rPr>
              <w:lastRenderedPageBreak/>
              <w:br w:type="page"/>
            </w:r>
            <w:r w:rsidR="00670B29" w:rsidRPr="00FB20CF">
              <w:rPr>
                <w:rStyle w:val="Strong"/>
                <w:rFonts w:eastAsiaTheme="majorEastAsia"/>
                <w:color w:val="FFFFFF" w:themeColor="background2"/>
              </w:rPr>
              <w:t xml:space="preserve">Table </w:t>
            </w:r>
            <w:r w:rsidR="00FB20CF" w:rsidRPr="00FB20CF">
              <w:rPr>
                <w:rStyle w:val="Strong"/>
                <w:rFonts w:eastAsiaTheme="majorEastAsia"/>
                <w:color w:val="FFFFFF" w:themeColor="background2"/>
              </w:rPr>
              <w:t>6</w:t>
            </w:r>
            <w:r w:rsidR="00094D11">
              <w:rPr>
                <w:rStyle w:val="Strong"/>
                <w:rFonts w:eastAsiaTheme="majorEastAsia"/>
                <w:color w:val="FFFFFF" w:themeColor="background2"/>
              </w:rPr>
              <w:t>: Delivery of 2014/15</w:t>
            </w:r>
            <w:r w:rsidR="00670B29" w:rsidRPr="00FB20CF">
              <w:rPr>
                <w:rStyle w:val="Strong"/>
                <w:rFonts w:eastAsiaTheme="majorEastAsia"/>
                <w:color w:val="FFFFFF" w:themeColor="background2"/>
              </w:rPr>
              <w:t xml:space="preserve"> Strategic Initiatives</w:t>
            </w:r>
          </w:p>
        </w:tc>
      </w:tr>
      <w:tr w:rsidR="00E31D87" w14:paraId="61619D48" w14:textId="77777777" w:rsidTr="00D171CA">
        <w:tc>
          <w:tcPr>
            <w:tcW w:w="1247" w:type="dxa"/>
            <w:shd w:val="clear" w:color="auto" w:fill="CEDFDC" w:themeFill="accent2" w:themeFillTint="33"/>
          </w:tcPr>
          <w:p w14:paraId="217EB0AD" w14:textId="77777777" w:rsidR="00670B29" w:rsidRPr="00EA4C48" w:rsidRDefault="00670B29" w:rsidP="00670B29">
            <w:pPr>
              <w:rPr>
                <w:rStyle w:val="Strong"/>
                <w:rFonts w:eastAsiaTheme="majorEastAsia"/>
              </w:rPr>
            </w:pPr>
            <w:r w:rsidRPr="00EA4C48">
              <w:rPr>
                <w:rStyle w:val="Strong"/>
                <w:rFonts w:eastAsiaTheme="majorEastAsia"/>
              </w:rPr>
              <w:br/>
              <w:t>Initiative</w:t>
            </w:r>
          </w:p>
        </w:tc>
        <w:tc>
          <w:tcPr>
            <w:tcW w:w="2268" w:type="dxa"/>
            <w:shd w:val="clear" w:color="auto" w:fill="CEDFDC" w:themeFill="accent2" w:themeFillTint="33"/>
          </w:tcPr>
          <w:p w14:paraId="144CA0D0" w14:textId="77777777" w:rsidR="00670B29" w:rsidRPr="00EA4C48" w:rsidRDefault="00670B29" w:rsidP="00670B29">
            <w:pPr>
              <w:rPr>
                <w:rStyle w:val="Strong"/>
                <w:rFonts w:eastAsiaTheme="majorEastAsia"/>
              </w:rPr>
            </w:pPr>
            <w:r w:rsidRPr="00EA4C48">
              <w:rPr>
                <w:rStyle w:val="Strong"/>
                <w:rFonts w:eastAsiaTheme="majorEastAsia"/>
              </w:rPr>
              <w:br/>
              <w:t>Commitment</w:t>
            </w:r>
          </w:p>
        </w:tc>
        <w:tc>
          <w:tcPr>
            <w:tcW w:w="6237" w:type="dxa"/>
            <w:shd w:val="clear" w:color="auto" w:fill="CEDFDC" w:themeFill="accent2" w:themeFillTint="33"/>
          </w:tcPr>
          <w:p w14:paraId="5AC20C60" w14:textId="77777777" w:rsidR="00670B29" w:rsidRPr="00EA4C48" w:rsidRDefault="00670B29" w:rsidP="00670B29">
            <w:pPr>
              <w:rPr>
                <w:rStyle w:val="Strong"/>
                <w:rFonts w:eastAsiaTheme="majorEastAsia"/>
              </w:rPr>
            </w:pPr>
            <w:r w:rsidRPr="00EA4C48">
              <w:rPr>
                <w:rStyle w:val="Strong"/>
                <w:rFonts w:eastAsiaTheme="majorEastAsia"/>
              </w:rPr>
              <w:br/>
              <w:t>Outcome</w:t>
            </w:r>
          </w:p>
        </w:tc>
      </w:tr>
      <w:tr w:rsidR="00E31D87" w14:paraId="11297F80" w14:textId="77777777" w:rsidTr="00D171CA">
        <w:trPr>
          <w:trHeight w:val="1820"/>
        </w:trPr>
        <w:tc>
          <w:tcPr>
            <w:tcW w:w="1247" w:type="dxa"/>
            <w:shd w:val="clear" w:color="auto" w:fill="CEDFDC" w:themeFill="accent2" w:themeFillTint="33"/>
            <w:vAlign w:val="center"/>
          </w:tcPr>
          <w:p w14:paraId="78DBCE43" w14:textId="77777777" w:rsidR="00670B29" w:rsidRPr="00670B29" w:rsidRDefault="00105D1D" w:rsidP="009064F0">
            <w:pPr>
              <w:spacing w:after="0"/>
              <w:rPr>
                <w:rStyle w:val="Strong"/>
              </w:rPr>
            </w:pPr>
            <w:r>
              <w:rPr>
                <w:rStyle w:val="Strong"/>
              </w:rPr>
              <w:t>1</w:t>
            </w:r>
          </w:p>
        </w:tc>
        <w:tc>
          <w:tcPr>
            <w:tcW w:w="2268" w:type="dxa"/>
            <w:vAlign w:val="center"/>
          </w:tcPr>
          <w:p w14:paraId="2384CAE4" w14:textId="77777777" w:rsidR="00670B29" w:rsidRPr="009064F0" w:rsidRDefault="009064F0" w:rsidP="009064F0">
            <w:pPr>
              <w:spacing w:before="120" w:after="0"/>
            </w:pPr>
            <w:r w:rsidRPr="009064F0">
              <w:rPr>
                <w:lang w:val="en-GB" w:eastAsia="en-AU"/>
              </w:rPr>
              <w:t>Legislative review: Phase two</w:t>
            </w:r>
          </w:p>
        </w:tc>
        <w:tc>
          <w:tcPr>
            <w:tcW w:w="6237" w:type="dxa"/>
            <w:vAlign w:val="center"/>
          </w:tcPr>
          <w:p w14:paraId="40A239A9" w14:textId="1BE6A4F5" w:rsidR="001C5A3C" w:rsidRPr="002C6864" w:rsidRDefault="008C46A4" w:rsidP="009064F0">
            <w:pPr>
              <w:spacing w:after="0"/>
              <w:rPr>
                <w:rStyle w:val="Strong"/>
                <w:rFonts w:ascii="Webdings" w:hAnsi="Webdings"/>
              </w:rPr>
            </w:pPr>
            <w:r w:rsidRPr="002C6864">
              <w:rPr>
                <w:rStyle w:val="Strong"/>
              </w:rPr>
              <w:br/>
            </w:r>
            <w:r w:rsidR="0018203C" w:rsidRPr="002C6864">
              <w:rPr>
                <w:rStyle w:val="Strong"/>
              </w:rPr>
              <w:t xml:space="preserve">Delivered </w:t>
            </w:r>
            <w:r w:rsidR="0018203C" w:rsidRPr="002C6864">
              <w:rPr>
                <w:rStyle w:val="Strong"/>
                <w:rFonts w:ascii="Webdings" w:hAnsi="Webdings"/>
              </w:rPr>
              <w:t></w:t>
            </w:r>
            <w:r w:rsidR="001C5A3C" w:rsidRPr="002C6864">
              <w:rPr>
                <w:rStyle w:val="Strong"/>
                <w:rFonts w:ascii="Webdings" w:hAnsi="Webdings"/>
              </w:rPr>
              <w:t></w:t>
            </w:r>
            <w:r w:rsidR="00F7731D" w:rsidRPr="002C6864">
              <w:rPr>
                <w:rStyle w:val="Strong"/>
                <w:rFonts w:ascii="Webdings" w:hAnsi="Webdings"/>
              </w:rPr>
              <w:br/>
            </w:r>
          </w:p>
          <w:p w14:paraId="343548BE" w14:textId="6BA57746" w:rsidR="00F7731D" w:rsidRPr="002C6864" w:rsidRDefault="00F7731D" w:rsidP="00F7731D">
            <w:pPr>
              <w:rPr>
                <w:lang w:val="en-US"/>
              </w:rPr>
            </w:pPr>
            <w:bookmarkStart w:id="47" w:name="OLE_LINK4"/>
            <w:r w:rsidRPr="002C6864">
              <w:rPr>
                <w:lang w:val="en-US"/>
              </w:rPr>
              <w:t>This project</w:t>
            </w:r>
            <w:r w:rsidR="00EB6B47" w:rsidRPr="002C6864">
              <w:rPr>
                <w:lang w:val="en-US"/>
              </w:rPr>
              <w:t xml:space="preserve"> involved policy development and consultation aimed at enabling a </w:t>
            </w:r>
            <w:r w:rsidR="005C03B1" w:rsidRPr="002C6864">
              <w:rPr>
                <w:lang w:val="en-US"/>
              </w:rPr>
              <w:t>complete redraft of the Act</w:t>
            </w:r>
            <w:r w:rsidR="005C03B1" w:rsidRPr="002C6864">
              <w:rPr>
                <w:i/>
                <w:lang w:val="en-US"/>
              </w:rPr>
              <w:t>.</w:t>
            </w:r>
            <w:r w:rsidRPr="002C6864">
              <w:rPr>
                <w:lang w:val="en-US"/>
              </w:rPr>
              <w:t xml:space="preserve"> Cabinet approved the d</w:t>
            </w:r>
            <w:r w:rsidR="00EB6B47" w:rsidRPr="002C6864">
              <w:rPr>
                <w:lang w:val="en-US"/>
              </w:rPr>
              <w:t xml:space="preserve">rafting of the new Bill in 2014. In </w:t>
            </w:r>
            <w:r w:rsidR="003A70E1" w:rsidRPr="002C6864">
              <w:rPr>
                <w:lang w:val="en-US"/>
              </w:rPr>
              <w:t>2015/</w:t>
            </w:r>
            <w:r w:rsidR="00EB6B47" w:rsidRPr="002C6864">
              <w:rPr>
                <w:lang w:val="en-US"/>
              </w:rPr>
              <w:t>16</w:t>
            </w:r>
            <w:r w:rsidR="00894C48" w:rsidRPr="002C6864">
              <w:rPr>
                <w:lang w:val="en-US"/>
              </w:rPr>
              <w:t xml:space="preserve"> a new project: </w:t>
            </w:r>
            <w:r w:rsidR="00EB6B47" w:rsidRPr="002C6864">
              <w:rPr>
                <w:i/>
                <w:lang w:val="en-US"/>
              </w:rPr>
              <w:t>New Act</w:t>
            </w:r>
            <w:r w:rsidR="00EB6B47" w:rsidRPr="002C6864">
              <w:rPr>
                <w:lang w:val="en-US"/>
              </w:rPr>
              <w:t xml:space="preserve"> </w:t>
            </w:r>
            <w:r w:rsidRPr="002C6864">
              <w:rPr>
                <w:i/>
                <w:lang w:val="en-US"/>
              </w:rPr>
              <w:t xml:space="preserve">Implementation </w:t>
            </w:r>
            <w:r w:rsidRPr="002C6864">
              <w:rPr>
                <w:lang w:val="en-US"/>
              </w:rPr>
              <w:t xml:space="preserve">will focus on the drafting, consultation and implementation of the new Act. </w:t>
            </w:r>
          </w:p>
          <w:bookmarkEnd w:id="47"/>
          <w:p w14:paraId="142CAE5A" w14:textId="77777777" w:rsidR="00670B29" w:rsidRPr="002C6864" w:rsidRDefault="00670B29" w:rsidP="009064F0">
            <w:pPr>
              <w:spacing w:after="0"/>
            </w:pPr>
          </w:p>
        </w:tc>
      </w:tr>
      <w:tr w:rsidR="00E31D87" w14:paraId="5EB01287" w14:textId="77777777" w:rsidTr="00D171CA">
        <w:tc>
          <w:tcPr>
            <w:tcW w:w="1247" w:type="dxa"/>
            <w:shd w:val="clear" w:color="auto" w:fill="CEDFDC" w:themeFill="accent2" w:themeFillTint="33"/>
            <w:vAlign w:val="center"/>
          </w:tcPr>
          <w:p w14:paraId="000D0BF3" w14:textId="77777777" w:rsidR="00670B29" w:rsidRPr="00670B29" w:rsidRDefault="00105D1D" w:rsidP="009064F0">
            <w:pPr>
              <w:spacing w:after="0"/>
              <w:rPr>
                <w:rStyle w:val="Strong"/>
              </w:rPr>
            </w:pPr>
            <w:r>
              <w:rPr>
                <w:rStyle w:val="Strong"/>
              </w:rPr>
              <w:t>2</w:t>
            </w:r>
          </w:p>
        </w:tc>
        <w:tc>
          <w:tcPr>
            <w:tcW w:w="2268" w:type="dxa"/>
            <w:vAlign w:val="center"/>
          </w:tcPr>
          <w:p w14:paraId="0F901078" w14:textId="77777777" w:rsidR="00670B29" w:rsidRPr="009064F0" w:rsidRDefault="009064F0" w:rsidP="009064F0">
            <w:pPr>
              <w:spacing w:before="120" w:after="0"/>
            </w:pPr>
            <w:r w:rsidRPr="009064F0">
              <w:t>Injury management guidance material for medical practitioners</w:t>
            </w:r>
          </w:p>
        </w:tc>
        <w:tc>
          <w:tcPr>
            <w:tcW w:w="6237" w:type="dxa"/>
            <w:vAlign w:val="center"/>
          </w:tcPr>
          <w:p w14:paraId="24D47EFF" w14:textId="7A531CD3" w:rsidR="0018203C" w:rsidRDefault="008C46A4" w:rsidP="009064F0">
            <w:pPr>
              <w:spacing w:after="0"/>
              <w:rPr>
                <w:rStyle w:val="Strong"/>
                <w:rFonts w:ascii="Webdings" w:hAnsi="Webdings"/>
              </w:rPr>
            </w:pPr>
            <w:r>
              <w:rPr>
                <w:rStyle w:val="Strong"/>
              </w:rPr>
              <w:br/>
            </w:r>
            <w:r w:rsidR="0018203C" w:rsidRPr="001C5A3C">
              <w:rPr>
                <w:rStyle w:val="Strong"/>
              </w:rPr>
              <w:t xml:space="preserve">Delivered </w:t>
            </w:r>
            <w:r w:rsidR="0018203C" w:rsidRPr="001C5A3C">
              <w:rPr>
                <w:rStyle w:val="Strong"/>
                <w:rFonts w:ascii="Webdings" w:hAnsi="Webdings"/>
              </w:rPr>
              <w:t></w:t>
            </w:r>
            <w:r w:rsidR="00F7731D">
              <w:rPr>
                <w:rStyle w:val="Strong"/>
                <w:rFonts w:ascii="Webdings" w:hAnsi="Webdings"/>
              </w:rPr>
              <w:br/>
            </w:r>
          </w:p>
          <w:p w14:paraId="0718D500" w14:textId="32772545" w:rsidR="00670B29" w:rsidRPr="0047651F" w:rsidRDefault="00F7731D" w:rsidP="00894C48">
            <w:r>
              <w:t xml:space="preserve">The </w:t>
            </w:r>
            <w:r w:rsidRPr="000C7940">
              <w:rPr>
                <w:i/>
              </w:rPr>
              <w:t>Injury Management Guidance Material for Medical Practitioners</w:t>
            </w:r>
            <w:r>
              <w:t xml:space="preserve"> project has been completed and outcome</w:t>
            </w:r>
            <w:r w:rsidR="003A70E1">
              <w:t>s will be reflected in the 2015/</w:t>
            </w:r>
            <w:r>
              <w:t xml:space="preserve">18 Injury Management Strategy. </w:t>
            </w:r>
          </w:p>
        </w:tc>
      </w:tr>
      <w:tr w:rsidR="00E31D87" w14:paraId="5FF1B662" w14:textId="77777777" w:rsidTr="00D171CA">
        <w:tc>
          <w:tcPr>
            <w:tcW w:w="1247" w:type="dxa"/>
            <w:shd w:val="clear" w:color="auto" w:fill="CEDFDC" w:themeFill="accent2" w:themeFillTint="33"/>
            <w:vAlign w:val="center"/>
          </w:tcPr>
          <w:p w14:paraId="23C3A15B" w14:textId="77777777" w:rsidR="00670B29" w:rsidRPr="00670B29" w:rsidRDefault="00105D1D" w:rsidP="009064F0">
            <w:pPr>
              <w:spacing w:after="0"/>
              <w:rPr>
                <w:rStyle w:val="Strong"/>
              </w:rPr>
            </w:pPr>
            <w:r>
              <w:rPr>
                <w:rStyle w:val="Strong"/>
              </w:rPr>
              <w:t>3</w:t>
            </w:r>
          </w:p>
        </w:tc>
        <w:tc>
          <w:tcPr>
            <w:tcW w:w="2268" w:type="dxa"/>
            <w:vAlign w:val="center"/>
          </w:tcPr>
          <w:p w14:paraId="2311F182" w14:textId="24B78A6D" w:rsidR="00670B29" w:rsidRPr="009064F0" w:rsidRDefault="00E96390" w:rsidP="009064F0">
            <w:pPr>
              <w:spacing w:before="120" w:after="0"/>
            </w:pPr>
            <w:r w:rsidRPr="00E96390">
              <w:t>Electronic Document and Records Management System</w:t>
            </w:r>
          </w:p>
        </w:tc>
        <w:tc>
          <w:tcPr>
            <w:tcW w:w="6237" w:type="dxa"/>
            <w:vAlign w:val="center"/>
          </w:tcPr>
          <w:p w14:paraId="78771E1F" w14:textId="792D94E7" w:rsidR="001C5A3C" w:rsidRDefault="008C46A4" w:rsidP="009064F0">
            <w:pPr>
              <w:spacing w:after="0"/>
              <w:rPr>
                <w:rStyle w:val="Strong"/>
                <w:rFonts w:ascii="Webdings" w:hAnsi="Webdings"/>
              </w:rPr>
            </w:pPr>
            <w:r>
              <w:rPr>
                <w:rStyle w:val="Strong"/>
              </w:rPr>
              <w:br/>
            </w:r>
            <w:r w:rsidR="0018203C" w:rsidRPr="00090C2D">
              <w:rPr>
                <w:rStyle w:val="Strong"/>
              </w:rPr>
              <w:t xml:space="preserve">Delivered </w:t>
            </w:r>
            <w:r w:rsidR="0018203C" w:rsidRPr="00090C2D">
              <w:rPr>
                <w:rStyle w:val="Strong"/>
                <w:rFonts w:ascii="Webdings" w:hAnsi="Webdings"/>
              </w:rPr>
              <w:t></w:t>
            </w:r>
          </w:p>
          <w:p w14:paraId="66FD2BD1" w14:textId="77777777" w:rsidR="00AE1F0A" w:rsidRPr="001C5A3C" w:rsidRDefault="00AE1F0A" w:rsidP="009064F0">
            <w:pPr>
              <w:spacing w:after="0"/>
              <w:rPr>
                <w:rStyle w:val="Strong"/>
                <w:rFonts w:ascii="Webdings" w:hAnsi="Webdings"/>
              </w:rPr>
            </w:pPr>
          </w:p>
          <w:p w14:paraId="2998066A" w14:textId="73B9BB4E" w:rsidR="00F7731D" w:rsidRDefault="00F7731D" w:rsidP="00F7731D">
            <w:pPr>
              <w:tabs>
                <w:tab w:val="left" w:pos="0"/>
              </w:tabs>
              <w:rPr>
                <w:rFonts w:cs="Arial"/>
              </w:rPr>
            </w:pPr>
            <w:r>
              <w:t xml:space="preserve">The </w:t>
            </w:r>
            <w:r w:rsidR="005B5996">
              <w:t>EDRMS</w:t>
            </w:r>
            <w:r>
              <w:t xml:space="preserve"> Whole of Agency Implementation project </w:t>
            </w:r>
            <w:r w:rsidR="00B44C71">
              <w:t>was</w:t>
            </w:r>
            <w:r>
              <w:t xml:space="preserve"> completed with all deliver</w:t>
            </w:r>
            <w:r w:rsidR="00894C48">
              <w:t xml:space="preserve">ables achieved. </w:t>
            </w:r>
            <w:r>
              <w:t xml:space="preserve">The project included </w:t>
            </w:r>
            <w:r w:rsidR="00B44C71">
              <w:rPr>
                <w:rFonts w:cs="Arial"/>
              </w:rPr>
              <w:t>an</w:t>
            </w:r>
            <w:r>
              <w:rPr>
                <w:rFonts w:cs="Arial"/>
              </w:rPr>
              <w:t xml:space="preserve"> </w:t>
            </w:r>
            <w:r w:rsidRPr="00DA523E">
              <w:rPr>
                <w:rFonts w:cs="Arial"/>
              </w:rPr>
              <w:t>up</w:t>
            </w:r>
            <w:r>
              <w:rPr>
                <w:rFonts w:cs="Arial"/>
              </w:rPr>
              <w:t>dated Records Management Policy and</w:t>
            </w:r>
            <w:r w:rsidR="00B44C71">
              <w:rPr>
                <w:rFonts w:cs="Arial"/>
              </w:rPr>
              <w:t xml:space="preserve"> a</w:t>
            </w:r>
            <w:r>
              <w:rPr>
                <w:rFonts w:cs="Arial"/>
              </w:rPr>
              <w:t xml:space="preserve"> new </w:t>
            </w:r>
            <w:r w:rsidRPr="00DA523E">
              <w:rPr>
                <w:rFonts w:cs="Arial"/>
              </w:rPr>
              <w:t>Recordkeeping Plan</w:t>
            </w:r>
            <w:r>
              <w:t xml:space="preserve"> which have been submitted </w:t>
            </w:r>
            <w:r>
              <w:rPr>
                <w:rFonts w:cs="Arial"/>
              </w:rPr>
              <w:t>to the State Records Office.</w:t>
            </w:r>
          </w:p>
          <w:p w14:paraId="563C3CB4" w14:textId="77777777" w:rsidR="00670B29" w:rsidRPr="00BC0CBE" w:rsidRDefault="00670B29" w:rsidP="009064F0">
            <w:pPr>
              <w:spacing w:after="0"/>
              <w:rPr>
                <w:rFonts w:ascii="Webdings" w:hAnsi="Webdings"/>
                <w:lang w:val="en-GB"/>
              </w:rPr>
            </w:pPr>
          </w:p>
        </w:tc>
      </w:tr>
    </w:tbl>
    <w:p w14:paraId="56EEBB25" w14:textId="77777777" w:rsidR="009064F0" w:rsidRDefault="009064F0" w:rsidP="00095931">
      <w:pPr>
        <w:pStyle w:val="CoverTitle"/>
        <w:rPr>
          <w:b w:val="0"/>
        </w:rPr>
        <w:sectPr w:rsidR="009064F0" w:rsidSect="000C1C88">
          <w:headerReference w:type="default" r:id="rId18"/>
          <w:headerReference w:type="first" r:id="rId19"/>
          <w:pgSz w:w="11906" w:h="16838" w:code="9"/>
          <w:pgMar w:top="1440" w:right="1440" w:bottom="851" w:left="1440" w:header="680" w:footer="0" w:gutter="0"/>
          <w:cols w:space="708"/>
          <w:docGrid w:linePitch="360"/>
        </w:sectPr>
      </w:pPr>
      <w:bookmarkStart w:id="48" w:name="_Toc399316913"/>
    </w:p>
    <w:p w14:paraId="50A8B266" w14:textId="77777777" w:rsidR="00506A7F" w:rsidRDefault="00506A7F">
      <w:pPr>
        <w:keepLines w:val="0"/>
        <w:spacing w:after="0" w:line="240" w:lineRule="auto"/>
        <w:rPr>
          <w:b/>
        </w:rPr>
        <w:sectPr w:rsidR="00506A7F" w:rsidSect="00184DF0">
          <w:headerReference w:type="default" r:id="rId20"/>
          <w:type w:val="continuous"/>
          <w:pgSz w:w="11906" w:h="16838" w:code="9"/>
          <w:pgMar w:top="1440" w:right="1440" w:bottom="1440" w:left="1440" w:header="624" w:footer="0" w:gutter="0"/>
          <w:cols w:space="708"/>
          <w:docGrid w:linePitch="360"/>
        </w:sectPr>
      </w:pPr>
      <w:r>
        <w:rPr>
          <w:b/>
        </w:rPr>
        <w:br w:type="page"/>
      </w:r>
    </w:p>
    <w:p w14:paraId="1F8E69B6" w14:textId="35EB8A9A" w:rsidR="000F6A1C" w:rsidRPr="00A14436" w:rsidRDefault="00BD7892" w:rsidP="00A14436">
      <w:pPr>
        <w:pStyle w:val="Heading1nonumber"/>
        <w:rPr>
          <w:color w:val="808080" w:themeColor="background1" w:themeShade="80"/>
          <w:sz w:val="40"/>
          <w:szCs w:val="40"/>
        </w:rPr>
      </w:pPr>
      <w:bookmarkStart w:id="49" w:name="_Toc430091123"/>
      <w:r w:rsidRPr="00A14436">
        <w:rPr>
          <w:color w:val="808080" w:themeColor="background1" w:themeShade="80"/>
          <w:sz w:val="40"/>
          <w:szCs w:val="40"/>
        </w:rPr>
        <w:lastRenderedPageBreak/>
        <w:t>Section 1</w:t>
      </w:r>
      <w:r w:rsidR="007E2369">
        <w:rPr>
          <w:color w:val="808080" w:themeColor="background1" w:themeShade="80"/>
          <w:sz w:val="40"/>
          <w:szCs w:val="40"/>
        </w:rPr>
        <w:t>:</w:t>
      </w:r>
      <w:r w:rsidRPr="00A14436">
        <w:rPr>
          <w:color w:val="808080" w:themeColor="background1" w:themeShade="80"/>
          <w:sz w:val="40"/>
          <w:szCs w:val="40"/>
        </w:rPr>
        <w:t xml:space="preserve"> Agency </w:t>
      </w:r>
      <w:r w:rsidR="00EE7F19" w:rsidRPr="00A14436">
        <w:rPr>
          <w:color w:val="808080" w:themeColor="background1" w:themeShade="80"/>
          <w:sz w:val="40"/>
          <w:szCs w:val="40"/>
        </w:rPr>
        <w:t>in f</w:t>
      </w:r>
      <w:r w:rsidRPr="00A14436">
        <w:rPr>
          <w:color w:val="808080" w:themeColor="background1" w:themeShade="80"/>
          <w:sz w:val="40"/>
          <w:szCs w:val="40"/>
        </w:rPr>
        <w:t>ocus</w:t>
      </w:r>
      <w:bookmarkEnd w:id="48"/>
      <w:bookmarkEnd w:id="49"/>
    </w:p>
    <w:p w14:paraId="357A3AD8" w14:textId="77777777" w:rsidR="00852CCA" w:rsidRDefault="00852CCA" w:rsidP="00AC5A7E">
      <w:pPr>
        <w:pStyle w:val="Heading1nonumber"/>
      </w:pPr>
      <w:bookmarkStart w:id="50" w:name="_Toc399316914"/>
      <w:bookmarkStart w:id="51" w:name="_Toc426617402"/>
      <w:bookmarkStart w:id="52" w:name="_Toc430091124"/>
      <w:r w:rsidRPr="00302712">
        <w:t xml:space="preserve">Chairman and CEO </w:t>
      </w:r>
      <w:r w:rsidR="00854400">
        <w:t>r</w:t>
      </w:r>
      <w:r w:rsidRPr="00302712">
        <w:t>eport</w:t>
      </w:r>
      <w:bookmarkEnd w:id="50"/>
      <w:bookmarkEnd w:id="51"/>
      <w:bookmarkEnd w:id="52"/>
      <w:r w:rsidRPr="00302712">
        <w:t xml:space="preserve"> </w:t>
      </w:r>
    </w:p>
    <w:p w14:paraId="46538832" w14:textId="77777777" w:rsidR="002E1DFA" w:rsidRPr="00AC5A7E" w:rsidRDefault="002E1DFA" w:rsidP="00AC5A7E">
      <w:pPr>
        <w:pStyle w:val="Heading2nonumber"/>
        <w:rPr>
          <w:rStyle w:val="Strong"/>
          <w:b/>
          <w:bCs/>
        </w:rPr>
      </w:pPr>
      <w:bookmarkStart w:id="53" w:name="_Toc426617403"/>
      <w:bookmarkStart w:id="54" w:name="_Toc430091125"/>
      <w:bookmarkStart w:id="55" w:name="_Toc399316915"/>
      <w:r w:rsidRPr="00AC5A7E">
        <w:rPr>
          <w:rStyle w:val="Strong"/>
          <w:b/>
          <w:bCs/>
        </w:rPr>
        <w:t>A scheme that works for all</w:t>
      </w:r>
      <w:bookmarkEnd w:id="53"/>
      <w:bookmarkEnd w:id="54"/>
    </w:p>
    <w:p w14:paraId="5CDA522C" w14:textId="77777777" w:rsidR="005E511A" w:rsidRDefault="005E511A" w:rsidP="005E511A">
      <w:pPr>
        <w:rPr>
          <w:lang w:val="en-GB" w:eastAsia="en-AU"/>
        </w:rPr>
      </w:pPr>
      <w:r w:rsidRPr="002E1DFA">
        <w:rPr>
          <w:lang w:val="en-GB" w:eastAsia="en-AU"/>
        </w:rPr>
        <w:t xml:space="preserve">This Annual Report marks the successful conclusion of our </w:t>
      </w:r>
      <w:r w:rsidRPr="005768AD">
        <w:rPr>
          <w:i/>
          <w:lang w:val="en-GB" w:eastAsia="en-AU"/>
        </w:rPr>
        <w:t>Strategic Plan 2012 – 2015</w:t>
      </w:r>
      <w:r w:rsidRPr="002E1DFA">
        <w:rPr>
          <w:lang w:val="en-GB" w:eastAsia="en-AU"/>
        </w:rPr>
        <w:t>. This plan has taken the organisation to a high point in our role as a regulator, educator and financial scheme manager.</w:t>
      </w:r>
    </w:p>
    <w:p w14:paraId="3E8F3FF2" w14:textId="56209103" w:rsidR="005E511A" w:rsidRDefault="005E511A" w:rsidP="005E511A">
      <w:pPr>
        <w:rPr>
          <w:lang w:val="en-GB" w:eastAsia="en-AU"/>
        </w:rPr>
      </w:pPr>
      <w:r w:rsidRPr="00FD62E8">
        <w:rPr>
          <w:lang w:val="en-GB" w:eastAsia="en-AU"/>
        </w:rPr>
        <w:t>With the lowest standardised average premium rate in Australia and a strong funding ratio, workers and employers can be assured W</w:t>
      </w:r>
      <w:r w:rsidR="002C6864">
        <w:rPr>
          <w:lang w:val="en-GB" w:eastAsia="en-AU"/>
        </w:rPr>
        <w:t>estern Australia (WA)</w:t>
      </w:r>
      <w:r w:rsidRPr="00FD62E8">
        <w:rPr>
          <w:lang w:val="en-GB" w:eastAsia="en-AU"/>
        </w:rPr>
        <w:t xml:space="preserve"> has a scheme that ‘works for them’. With three quarters of scheme costs supporting injured workers, the State has again achieved a return to work rate above the national average for workers returned to work within seven to nine months of injury.</w:t>
      </w:r>
    </w:p>
    <w:p w14:paraId="1894F837" w14:textId="3CB6176A" w:rsidR="005E511A" w:rsidRPr="008B0038" w:rsidRDefault="008B0038" w:rsidP="008B0038">
      <w:pPr>
        <w:rPr>
          <w:sz w:val="22"/>
          <w:szCs w:val="22"/>
        </w:rPr>
      </w:pPr>
      <w:r w:rsidRPr="006A080B">
        <w:t>WorkCover WA continues to set a benchmark for the resolution of disputes with almost 90 per cent of disputes resolved within six months, well above the national average of 63.9 per cent. The WA scheme also has the second lowest disputation rate of all Australian jurisdictions.</w:t>
      </w:r>
    </w:p>
    <w:p w14:paraId="26030C88" w14:textId="4D541E13" w:rsidR="005E511A" w:rsidRPr="002E1DFA" w:rsidRDefault="005E511A" w:rsidP="005E511A">
      <w:pPr>
        <w:rPr>
          <w:lang w:val="en-GB" w:eastAsia="en-AU"/>
        </w:rPr>
      </w:pPr>
      <w:r w:rsidRPr="002E1DFA">
        <w:rPr>
          <w:lang w:val="en-GB" w:eastAsia="en-AU"/>
        </w:rPr>
        <w:t xml:space="preserve">The legislative review process to repeal and replace the </w:t>
      </w:r>
      <w:r w:rsidRPr="00F766AC">
        <w:rPr>
          <w:i/>
          <w:lang w:val="en-GB" w:eastAsia="en-AU"/>
        </w:rPr>
        <w:t xml:space="preserve">Workers’ Compensation and Injury Management Act 1981 </w:t>
      </w:r>
      <w:r w:rsidRPr="002E1DFA">
        <w:rPr>
          <w:lang w:val="en-GB" w:eastAsia="en-AU"/>
        </w:rPr>
        <w:t>(the Act) continues to epitomise our commitment to consult</w:t>
      </w:r>
      <w:r w:rsidR="005768AD">
        <w:rPr>
          <w:lang w:val="en-GB" w:eastAsia="en-AU"/>
        </w:rPr>
        <w:t xml:space="preserve"> with our</w:t>
      </w:r>
      <w:r w:rsidR="00EB6B47">
        <w:rPr>
          <w:lang w:val="en-GB" w:eastAsia="en-AU"/>
        </w:rPr>
        <w:t xml:space="preserve"> stakeholders to</w:t>
      </w:r>
      <w:r w:rsidRPr="002E1DFA">
        <w:rPr>
          <w:lang w:val="en-GB" w:eastAsia="en-AU"/>
        </w:rPr>
        <w:t xml:space="preserve"> ensure our legislative framework keeps pace with the commercial </w:t>
      </w:r>
      <w:r>
        <w:rPr>
          <w:lang w:val="en-GB" w:eastAsia="en-AU"/>
        </w:rPr>
        <w:t xml:space="preserve">and cost </w:t>
      </w:r>
      <w:r w:rsidRPr="002E1DFA">
        <w:rPr>
          <w:lang w:val="en-GB" w:eastAsia="en-AU"/>
        </w:rPr>
        <w:t>realities facing scheme participants.</w:t>
      </w:r>
    </w:p>
    <w:p w14:paraId="5E0479DF" w14:textId="77777777" w:rsidR="005E511A" w:rsidRPr="002E1DFA" w:rsidRDefault="005E511A" w:rsidP="005E511A">
      <w:pPr>
        <w:rPr>
          <w:lang w:val="en-GB" w:eastAsia="en-AU"/>
        </w:rPr>
      </w:pPr>
      <w:r w:rsidRPr="002E1DFA">
        <w:rPr>
          <w:lang w:val="en-GB" w:eastAsia="en-AU"/>
        </w:rPr>
        <w:t>Our key successes for 2014/15 include:</w:t>
      </w:r>
    </w:p>
    <w:p w14:paraId="6CC45040" w14:textId="0ADA9F0B" w:rsidR="005E511A" w:rsidRPr="002E1DFA" w:rsidRDefault="005E511A" w:rsidP="005E511A">
      <w:pPr>
        <w:pStyle w:val="BulletListLevel1"/>
        <w:rPr>
          <w:lang w:val="en-GB" w:eastAsia="en-AU"/>
        </w:rPr>
      </w:pPr>
      <w:r w:rsidRPr="002E1DFA">
        <w:rPr>
          <w:lang w:val="en-GB" w:eastAsia="en-AU"/>
        </w:rPr>
        <w:t>Government</w:t>
      </w:r>
      <w:r w:rsidR="00EB6B47">
        <w:rPr>
          <w:lang w:val="en-GB" w:eastAsia="en-AU"/>
        </w:rPr>
        <w:t xml:space="preserve"> approval for drafting a bil</w:t>
      </w:r>
      <w:r w:rsidR="005768AD">
        <w:rPr>
          <w:lang w:val="en-GB" w:eastAsia="en-AU"/>
        </w:rPr>
        <w:t>l to repeal and replace the Act</w:t>
      </w:r>
    </w:p>
    <w:p w14:paraId="4247AB33" w14:textId="4CCECDE2" w:rsidR="005E511A" w:rsidRPr="00A83FAC" w:rsidRDefault="005E511A" w:rsidP="005E511A">
      <w:pPr>
        <w:pStyle w:val="BulletListLevel1"/>
        <w:rPr>
          <w:lang w:val="en-GB" w:eastAsia="en-AU"/>
        </w:rPr>
      </w:pPr>
      <w:r w:rsidRPr="002E1DFA">
        <w:rPr>
          <w:lang w:val="en-GB" w:eastAsia="en-AU"/>
        </w:rPr>
        <w:t xml:space="preserve">the </w:t>
      </w:r>
      <w:r>
        <w:rPr>
          <w:lang w:val="en-GB" w:eastAsia="en-AU"/>
        </w:rPr>
        <w:t>organisation</w:t>
      </w:r>
      <w:r w:rsidRPr="002E1DFA">
        <w:rPr>
          <w:lang w:val="en-GB" w:eastAsia="en-AU"/>
        </w:rPr>
        <w:t xml:space="preserve"> and delivery of the </w:t>
      </w:r>
      <w:r>
        <w:rPr>
          <w:lang w:val="en-GB" w:eastAsia="en-AU"/>
        </w:rPr>
        <w:t>Injury Management Conference during</w:t>
      </w:r>
      <w:r w:rsidRPr="00A83FAC">
        <w:rPr>
          <w:lang w:val="en-GB" w:eastAsia="en-AU"/>
        </w:rPr>
        <w:t xml:space="preserve"> May 2015</w:t>
      </w:r>
    </w:p>
    <w:p w14:paraId="527F986C" w14:textId="55F32E82" w:rsidR="005E511A" w:rsidRPr="002E1DFA" w:rsidRDefault="005E511A" w:rsidP="005E511A">
      <w:pPr>
        <w:pStyle w:val="BulletListLevel1"/>
        <w:rPr>
          <w:lang w:val="en-GB" w:eastAsia="en-AU"/>
        </w:rPr>
      </w:pPr>
      <w:r w:rsidRPr="002E1DFA">
        <w:rPr>
          <w:lang w:val="en-GB" w:eastAsia="en-AU"/>
        </w:rPr>
        <w:t xml:space="preserve">the Office of Auditor General Award for Transparency and Accountability, the CPA Award for Performance Reporting and the W.S. </w:t>
      </w:r>
      <w:r>
        <w:rPr>
          <w:lang w:val="en-GB" w:eastAsia="en-AU"/>
        </w:rPr>
        <w:t xml:space="preserve">Lonnie </w:t>
      </w:r>
      <w:r w:rsidRPr="002E1DFA">
        <w:rPr>
          <w:lang w:val="en-GB" w:eastAsia="en-AU"/>
        </w:rPr>
        <w:t>Memorial Trophy for our 2013/14 Annual Report.</w:t>
      </w:r>
    </w:p>
    <w:p w14:paraId="0407395C" w14:textId="3C463639" w:rsidR="005E511A" w:rsidRPr="002E1DFA" w:rsidRDefault="00A0730B" w:rsidP="005E511A">
      <w:pPr>
        <w:rPr>
          <w:lang w:val="en-GB" w:eastAsia="en-AU"/>
        </w:rPr>
      </w:pPr>
      <w:r>
        <w:rPr>
          <w:lang w:val="en-GB" w:eastAsia="en-AU"/>
        </w:rPr>
        <w:t>Congratulations are</w:t>
      </w:r>
      <w:r w:rsidR="005E511A" w:rsidRPr="002E1DFA">
        <w:rPr>
          <w:lang w:val="en-GB" w:eastAsia="en-AU"/>
        </w:rPr>
        <w:t xml:space="preserve"> extended to the WorkCover WA Boar</w:t>
      </w:r>
      <w:r w:rsidR="005E511A">
        <w:rPr>
          <w:lang w:val="en-GB" w:eastAsia="en-AU"/>
        </w:rPr>
        <w:t>d and staff – you are WorkCover </w:t>
      </w:r>
      <w:r w:rsidR="00EB6B47">
        <w:rPr>
          <w:lang w:val="en-GB" w:eastAsia="en-AU"/>
        </w:rPr>
        <w:t xml:space="preserve">WA and our achievements are the </w:t>
      </w:r>
      <w:r w:rsidR="005E511A" w:rsidRPr="002E1DFA">
        <w:rPr>
          <w:lang w:val="en-GB" w:eastAsia="en-AU"/>
        </w:rPr>
        <w:t>result of your commitment to our goals and values.</w:t>
      </w:r>
    </w:p>
    <w:p w14:paraId="243034E6" w14:textId="77777777" w:rsidR="005E511A" w:rsidRDefault="005E511A" w:rsidP="005E511A">
      <w:pPr>
        <w:rPr>
          <w:b/>
          <w:bCs/>
          <w:lang w:val="en-GB" w:eastAsia="en-AU"/>
        </w:rPr>
      </w:pPr>
      <w:r w:rsidRPr="002E1DFA">
        <w:rPr>
          <w:lang w:val="en-GB" w:eastAsia="en-AU"/>
        </w:rPr>
        <w:lastRenderedPageBreak/>
        <w:t xml:space="preserve">As WorkCover WA embarks on its new </w:t>
      </w:r>
      <w:r w:rsidRPr="005768AD">
        <w:rPr>
          <w:i/>
          <w:lang w:val="en-GB" w:eastAsia="en-AU"/>
        </w:rPr>
        <w:t>Strategic Plan 2015 – 2018</w:t>
      </w:r>
      <w:r w:rsidRPr="002E1DFA">
        <w:rPr>
          <w:lang w:val="en-GB" w:eastAsia="en-AU"/>
        </w:rPr>
        <w:t xml:space="preserve"> we know we have the right people, systems and processes in place to continue to deliver the best possible workers’ compensation and injury management outcomes for the WA community.</w:t>
      </w:r>
    </w:p>
    <w:p w14:paraId="2C66BB00" w14:textId="5F9FDDC4" w:rsidR="00852CCA" w:rsidRDefault="00852CCA" w:rsidP="002E1DFA">
      <w:pPr>
        <w:pStyle w:val="Heading1nonumber"/>
      </w:pPr>
      <w:bookmarkStart w:id="56" w:name="_Toc426617404"/>
      <w:bookmarkStart w:id="57" w:name="_Toc430091126"/>
      <w:r>
        <w:t xml:space="preserve">Agency </w:t>
      </w:r>
      <w:r w:rsidR="00854400">
        <w:t>b</w:t>
      </w:r>
      <w:r>
        <w:t>rief</w:t>
      </w:r>
      <w:bookmarkEnd w:id="55"/>
      <w:bookmarkEnd w:id="56"/>
      <w:bookmarkEnd w:id="57"/>
    </w:p>
    <w:p w14:paraId="7C20B102" w14:textId="7C1510C0" w:rsidR="00852CCA" w:rsidRDefault="00852CCA" w:rsidP="00094D11">
      <w:pPr>
        <w:pStyle w:val="Heading2nonumber"/>
        <w:jc w:val="left"/>
      </w:pPr>
      <w:bookmarkStart w:id="58" w:name="_Toc399316916"/>
      <w:bookmarkStart w:id="59" w:name="_Toc426617405"/>
      <w:bookmarkStart w:id="60" w:name="_Toc430091127"/>
      <w:r>
        <w:t>Worker’s compe</w:t>
      </w:r>
      <w:r w:rsidR="00484288">
        <w:t>nsation and injury m</w:t>
      </w:r>
      <w:r w:rsidR="007E2369">
        <w:t xml:space="preserve">anagement: </w:t>
      </w:r>
      <w:r w:rsidR="00A83FAC">
        <w:t xml:space="preserve">The </w:t>
      </w:r>
      <w:r>
        <w:t>Western Australian context</w:t>
      </w:r>
      <w:bookmarkEnd w:id="58"/>
      <w:bookmarkEnd w:id="59"/>
      <w:bookmarkEnd w:id="60"/>
      <w:r>
        <w:t xml:space="preserve"> </w:t>
      </w:r>
    </w:p>
    <w:p w14:paraId="0D339AE8" w14:textId="16BC3EA2" w:rsidR="00AA6859" w:rsidRDefault="00AA6859" w:rsidP="00AA6859">
      <w:pPr>
        <w:rPr>
          <w:rFonts w:cs="Arial"/>
        </w:rPr>
      </w:pPr>
      <w:r w:rsidRPr="00367BDE">
        <w:rPr>
          <w:rFonts w:cs="Arial"/>
        </w:rPr>
        <w:t xml:space="preserve">The WA workers’ compensation and injury management scheme is designed to ensure workers suffering a work-related injury or illness are compensated for lost wages, medical expenses and associated costs while they are unable to work. Under the scheme, work-related injuries are actively managed to enable an injured worker’s </w:t>
      </w:r>
      <w:r>
        <w:rPr>
          <w:rFonts w:cs="Arial"/>
        </w:rPr>
        <w:t xml:space="preserve">safe </w:t>
      </w:r>
      <w:r w:rsidR="00324CAC">
        <w:rPr>
          <w:rFonts w:cs="Arial"/>
        </w:rPr>
        <w:t xml:space="preserve">and sustained </w:t>
      </w:r>
      <w:r>
        <w:rPr>
          <w:rFonts w:cs="Arial"/>
        </w:rPr>
        <w:t>return to work.</w:t>
      </w:r>
    </w:p>
    <w:p w14:paraId="0FCA6F74" w14:textId="4EBB8B7E" w:rsidR="00AA6859" w:rsidRDefault="00AA6859" w:rsidP="00AA6859">
      <w:pPr>
        <w:rPr>
          <w:rFonts w:cs="Arial"/>
        </w:rPr>
      </w:pPr>
      <w:r w:rsidRPr="00367BDE">
        <w:rPr>
          <w:rFonts w:cs="Arial"/>
        </w:rPr>
        <w:t>The WA scheme is based on a ‘no-fault’ principle. This means an injured worker does not need to establish their employer was at faul</w:t>
      </w:r>
      <w:r>
        <w:rPr>
          <w:rFonts w:cs="Arial"/>
        </w:rPr>
        <w:t>t or negligent to make a claim.</w:t>
      </w:r>
      <w:r w:rsidR="00B10799">
        <w:rPr>
          <w:rFonts w:cs="Arial"/>
        </w:rPr>
        <w:t xml:space="preserve"> </w:t>
      </w:r>
    </w:p>
    <w:p w14:paraId="64227F51" w14:textId="4EA04A88" w:rsidR="00AA6859" w:rsidRDefault="00AA6859" w:rsidP="00AA6859">
      <w:pPr>
        <w:rPr>
          <w:rFonts w:cs="Arial"/>
        </w:rPr>
      </w:pPr>
      <w:r w:rsidRPr="00367BDE">
        <w:rPr>
          <w:rFonts w:cs="Arial"/>
        </w:rPr>
        <w:t xml:space="preserve">The scheme in WA is privately underwritten, with insurance coverage provided by approved </w:t>
      </w:r>
      <w:r w:rsidR="00484288">
        <w:rPr>
          <w:rFonts w:cs="Arial"/>
        </w:rPr>
        <w:t>insurance companies</w:t>
      </w:r>
      <w:r w:rsidRPr="00367BDE">
        <w:rPr>
          <w:rFonts w:cs="Arial"/>
        </w:rPr>
        <w:t xml:space="preserve">. Employers are obliged by the Act to maintain current workers’ compensation insurance coverage for all their workers. </w:t>
      </w:r>
      <w:r w:rsidR="00C726B0">
        <w:rPr>
          <w:rFonts w:cs="Arial"/>
        </w:rPr>
        <w:t>WorkCover WA</w:t>
      </w:r>
      <w:r w:rsidRPr="00367BDE">
        <w:rPr>
          <w:rFonts w:cs="Arial"/>
        </w:rPr>
        <w:t xml:space="preserve"> provides advice and assistance to employers to help them understand and comply with their legislative oblig</w:t>
      </w:r>
      <w:r>
        <w:rPr>
          <w:rFonts w:cs="Arial"/>
        </w:rPr>
        <w:t>ations</w:t>
      </w:r>
      <w:r w:rsidR="00B44C71">
        <w:rPr>
          <w:rFonts w:cs="Arial"/>
        </w:rPr>
        <w:t>.</w:t>
      </w:r>
    </w:p>
    <w:p w14:paraId="1A7B3FE3" w14:textId="2671F48A" w:rsidR="007F07A9" w:rsidRDefault="00AA6859" w:rsidP="00AA6859">
      <w:r w:rsidRPr="00367BDE">
        <w:rPr>
          <w:rFonts w:cs="Arial"/>
        </w:rPr>
        <w:t xml:space="preserve">A range of related issues are also covered under the WA workers’ compensation and injury management scheme. These include compensation related to noise-induced hearing loss, assessment of permanent impairment, and </w:t>
      </w:r>
      <w:r w:rsidR="00B10799">
        <w:rPr>
          <w:rFonts w:cs="Arial"/>
        </w:rPr>
        <w:t>claims finalised</w:t>
      </w:r>
      <w:r w:rsidRPr="00367BDE">
        <w:rPr>
          <w:rFonts w:cs="Arial"/>
        </w:rPr>
        <w:t xml:space="preserve"> thr</w:t>
      </w:r>
      <w:r w:rsidR="00B10799">
        <w:rPr>
          <w:rFonts w:cs="Arial"/>
        </w:rPr>
        <w:t>ough settlement.</w:t>
      </w:r>
    </w:p>
    <w:p w14:paraId="054EABCE" w14:textId="4F54278D" w:rsidR="00E45730" w:rsidRPr="00E45730" w:rsidRDefault="006B4823" w:rsidP="007F07A9">
      <w:pPr>
        <w:rPr>
          <w:rStyle w:val="Emphasis"/>
        </w:rPr>
      </w:pPr>
      <w:r>
        <w:rPr>
          <w:rStyle w:val="Emphasis"/>
        </w:rPr>
        <w:t>Refer to the Scheme p</w:t>
      </w:r>
      <w:r w:rsidR="00E45730" w:rsidRPr="00E45730">
        <w:rPr>
          <w:rStyle w:val="Emphasis"/>
        </w:rPr>
        <w:t xml:space="preserve">erformance section from </w:t>
      </w:r>
      <w:r w:rsidR="00E45730" w:rsidRPr="004E4A30">
        <w:rPr>
          <w:rStyle w:val="Emphasis"/>
        </w:rPr>
        <w:t xml:space="preserve">page </w:t>
      </w:r>
      <w:r w:rsidR="00A25982" w:rsidRPr="004E4A30">
        <w:rPr>
          <w:rStyle w:val="Emphasis"/>
        </w:rPr>
        <w:t>5</w:t>
      </w:r>
      <w:r w:rsidR="004E4A30" w:rsidRPr="004E4A30">
        <w:rPr>
          <w:rStyle w:val="Emphasis"/>
        </w:rPr>
        <w:t>9</w:t>
      </w:r>
      <w:r w:rsidR="00E45730" w:rsidRPr="004E4A30">
        <w:rPr>
          <w:rStyle w:val="Emphasis"/>
        </w:rPr>
        <w:t xml:space="preserve"> </w:t>
      </w:r>
      <w:r w:rsidR="00E45730" w:rsidRPr="00E45730">
        <w:rPr>
          <w:rStyle w:val="Emphasis"/>
        </w:rPr>
        <w:t>for an analysis of the workers’ compensation environment in the Western Australian context using the most recent data available.</w:t>
      </w:r>
    </w:p>
    <w:p w14:paraId="3621A420" w14:textId="77777777" w:rsidR="007C698C" w:rsidRDefault="007C698C">
      <w:pPr>
        <w:keepLines w:val="0"/>
        <w:spacing w:after="0" w:line="240" w:lineRule="auto"/>
        <w:rPr>
          <w:rFonts w:eastAsiaTheme="majorEastAsia" w:cs="Arial"/>
          <w:b/>
          <w:bCs/>
          <w:iCs/>
          <w:color w:val="205352"/>
          <w:sz w:val="30"/>
          <w:szCs w:val="30"/>
        </w:rPr>
      </w:pPr>
      <w:r>
        <w:br w:type="page"/>
      </w:r>
    </w:p>
    <w:p w14:paraId="43A2327F" w14:textId="77777777" w:rsidR="00852CCA" w:rsidRDefault="00852CCA" w:rsidP="00AA6859">
      <w:pPr>
        <w:pStyle w:val="Heading1nonumber"/>
      </w:pPr>
      <w:bookmarkStart w:id="61" w:name="_Toc399316917"/>
      <w:bookmarkStart w:id="62" w:name="_Toc426617406"/>
      <w:bookmarkStart w:id="63" w:name="_Toc430091128"/>
      <w:r>
        <w:lastRenderedPageBreak/>
        <w:t>Leadership</w:t>
      </w:r>
      <w:bookmarkEnd w:id="61"/>
      <w:bookmarkEnd w:id="62"/>
      <w:bookmarkEnd w:id="63"/>
    </w:p>
    <w:p w14:paraId="407807EE" w14:textId="77777777" w:rsidR="00852CCA" w:rsidRPr="003A3559" w:rsidRDefault="00852CCA" w:rsidP="003A3559">
      <w:pPr>
        <w:pStyle w:val="Heading2nonumber"/>
      </w:pPr>
      <w:bookmarkStart w:id="64" w:name="_Toc399316918"/>
      <w:bookmarkStart w:id="65" w:name="_Toc426617407"/>
      <w:bookmarkStart w:id="66" w:name="_Toc430091129"/>
      <w:r w:rsidRPr="003A3559">
        <w:t>Agency overview</w:t>
      </w:r>
      <w:bookmarkEnd w:id="64"/>
      <w:bookmarkEnd w:id="65"/>
      <w:bookmarkEnd w:id="66"/>
      <w:r w:rsidRPr="003A3559">
        <w:t xml:space="preserve"> </w:t>
      </w:r>
    </w:p>
    <w:tbl>
      <w:tblPr>
        <w:tblW w:w="9157"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2977"/>
        <w:gridCol w:w="6180"/>
      </w:tblGrid>
      <w:tr w:rsidR="00852CCA" w14:paraId="46D5DC89" w14:textId="77777777" w:rsidTr="00A73F0A">
        <w:trPr>
          <w:trHeight w:val="60"/>
        </w:trPr>
        <w:tc>
          <w:tcPr>
            <w:tcW w:w="2977" w:type="dxa"/>
            <w:shd w:val="clear" w:color="auto" w:fill="CEDFDC" w:themeFill="accent2" w:themeFillTint="33"/>
            <w:tcMar>
              <w:top w:w="170" w:type="dxa"/>
              <w:left w:w="80" w:type="dxa"/>
              <w:bottom w:w="170" w:type="dxa"/>
              <w:right w:w="80" w:type="dxa"/>
            </w:tcMar>
            <w:vAlign w:val="center"/>
          </w:tcPr>
          <w:p w14:paraId="57D50E7A" w14:textId="77777777" w:rsidR="00852CCA" w:rsidRPr="003309A6" w:rsidRDefault="00852CCA" w:rsidP="00664937">
            <w:pPr>
              <w:pStyle w:val="Heading4"/>
              <w:rPr>
                <w:rStyle w:val="Strong"/>
                <w:b/>
                <w:bCs/>
              </w:rPr>
            </w:pPr>
            <w:r w:rsidRPr="003309A6">
              <w:rPr>
                <w:rStyle w:val="Strong"/>
                <w:b/>
                <w:bCs/>
              </w:rPr>
              <w:t>Responsible Minister</w:t>
            </w:r>
          </w:p>
        </w:tc>
        <w:tc>
          <w:tcPr>
            <w:tcW w:w="6180" w:type="dxa"/>
            <w:shd w:val="solid" w:color="FFFFFF" w:fill="auto"/>
            <w:tcMar>
              <w:top w:w="170" w:type="dxa"/>
              <w:left w:w="80" w:type="dxa"/>
              <w:bottom w:w="170" w:type="dxa"/>
              <w:right w:w="80" w:type="dxa"/>
            </w:tcMar>
            <w:vAlign w:val="center"/>
          </w:tcPr>
          <w:p w14:paraId="24FB3E5D" w14:textId="77777777" w:rsidR="00852CCA" w:rsidRDefault="00852CCA" w:rsidP="00C85A58">
            <w:r>
              <w:t>The Hon Michael Mischin MLC, Minister for Commerce</w:t>
            </w:r>
            <w:r w:rsidR="00E6145F">
              <w:t>.</w:t>
            </w:r>
          </w:p>
          <w:p w14:paraId="23993012" w14:textId="34DED0F5" w:rsidR="0093281B" w:rsidRDefault="0093281B" w:rsidP="0018005D">
            <w:r>
              <w:t>The</w:t>
            </w:r>
            <w:r w:rsidRPr="0093281B">
              <w:t xml:space="preserve"> Minister </w:t>
            </w:r>
            <w:r>
              <w:t xml:space="preserve">is </w:t>
            </w:r>
            <w:r w:rsidRPr="0093281B">
              <w:t xml:space="preserve">responsible for the Agency through the </w:t>
            </w:r>
            <w:r w:rsidR="00C726B0">
              <w:t>WorkCover WA</w:t>
            </w:r>
            <w:r w:rsidRPr="0093281B">
              <w:t xml:space="preserve"> Board and in accordance with the </w:t>
            </w:r>
            <w:r w:rsidR="0018005D" w:rsidRPr="0018005D">
              <w:t>Act</w:t>
            </w:r>
            <w:r w:rsidR="0018005D">
              <w:rPr>
                <w:i/>
              </w:rPr>
              <w:t>.</w:t>
            </w:r>
          </w:p>
        </w:tc>
      </w:tr>
      <w:tr w:rsidR="00852CCA" w14:paraId="7BC8CB51" w14:textId="77777777" w:rsidTr="00A73F0A">
        <w:trPr>
          <w:trHeight w:val="60"/>
        </w:trPr>
        <w:tc>
          <w:tcPr>
            <w:tcW w:w="2977" w:type="dxa"/>
            <w:shd w:val="clear" w:color="auto" w:fill="CEDFDC" w:themeFill="accent2" w:themeFillTint="33"/>
            <w:tcMar>
              <w:top w:w="170" w:type="dxa"/>
              <w:left w:w="80" w:type="dxa"/>
              <w:bottom w:w="170" w:type="dxa"/>
              <w:right w:w="80" w:type="dxa"/>
            </w:tcMar>
            <w:vAlign w:val="center"/>
          </w:tcPr>
          <w:p w14:paraId="157A3DE0" w14:textId="77777777" w:rsidR="00852CCA" w:rsidRPr="00EA4C48" w:rsidRDefault="00852CCA" w:rsidP="00C85A58">
            <w:pPr>
              <w:rPr>
                <w:rStyle w:val="Strong"/>
              </w:rPr>
            </w:pPr>
            <w:r w:rsidRPr="00EA4C48">
              <w:rPr>
                <w:rStyle w:val="Strong"/>
              </w:rPr>
              <w:t>Agency funding</w:t>
            </w:r>
          </w:p>
        </w:tc>
        <w:tc>
          <w:tcPr>
            <w:tcW w:w="6180" w:type="dxa"/>
            <w:shd w:val="solid" w:color="FFFFFF" w:fill="auto"/>
            <w:tcMar>
              <w:top w:w="170" w:type="dxa"/>
              <w:left w:w="80" w:type="dxa"/>
              <w:bottom w:w="170" w:type="dxa"/>
              <w:right w:w="80" w:type="dxa"/>
            </w:tcMar>
            <w:vAlign w:val="center"/>
          </w:tcPr>
          <w:p w14:paraId="0DA48681" w14:textId="57D615F8" w:rsidR="00852CCA" w:rsidRDefault="004E712C" w:rsidP="00B44C71">
            <w:r>
              <w:t xml:space="preserve">Funding for </w:t>
            </w:r>
            <w:r w:rsidR="00C726B0">
              <w:t>WorkCover WA</w:t>
            </w:r>
            <w:r w:rsidR="00B44C71">
              <w:t xml:space="preserve">’s activities is provided through </w:t>
            </w:r>
            <w:r>
              <w:t xml:space="preserve">an annual levy on workers’ compensation insurers and by a direct levy on employers who are approved by </w:t>
            </w:r>
            <w:r w:rsidR="00C726B0">
              <w:t>WorkCover WA</w:t>
            </w:r>
            <w:r>
              <w:t xml:space="preserve"> to self-insure</w:t>
            </w:r>
            <w:r w:rsidR="00852CCA">
              <w:t>.</w:t>
            </w:r>
          </w:p>
        </w:tc>
      </w:tr>
      <w:tr w:rsidR="00852CCA" w14:paraId="08BF3BD2" w14:textId="77777777" w:rsidTr="00A73F0A">
        <w:trPr>
          <w:trHeight w:val="60"/>
        </w:trPr>
        <w:tc>
          <w:tcPr>
            <w:tcW w:w="2977" w:type="dxa"/>
            <w:shd w:val="clear" w:color="auto" w:fill="CEDFDC" w:themeFill="accent2" w:themeFillTint="33"/>
            <w:tcMar>
              <w:top w:w="170" w:type="dxa"/>
              <w:left w:w="80" w:type="dxa"/>
              <w:bottom w:w="170" w:type="dxa"/>
              <w:right w:w="80" w:type="dxa"/>
            </w:tcMar>
            <w:vAlign w:val="center"/>
          </w:tcPr>
          <w:p w14:paraId="612CD510" w14:textId="77777777" w:rsidR="00852CCA" w:rsidRPr="00EA4C48" w:rsidRDefault="00852CCA" w:rsidP="00C85A58">
            <w:pPr>
              <w:rPr>
                <w:rStyle w:val="Strong"/>
              </w:rPr>
            </w:pPr>
            <w:r w:rsidRPr="00EA4C48">
              <w:rPr>
                <w:rStyle w:val="Strong"/>
              </w:rPr>
              <w:t>Administration</w:t>
            </w:r>
          </w:p>
        </w:tc>
        <w:tc>
          <w:tcPr>
            <w:tcW w:w="6180" w:type="dxa"/>
            <w:shd w:val="solid" w:color="FFFFFF" w:fill="auto"/>
            <w:tcMar>
              <w:top w:w="170" w:type="dxa"/>
              <w:left w:w="80" w:type="dxa"/>
              <w:bottom w:w="170" w:type="dxa"/>
              <w:right w:w="80" w:type="dxa"/>
            </w:tcMar>
            <w:vAlign w:val="center"/>
          </w:tcPr>
          <w:p w14:paraId="6819DA1A" w14:textId="34C093FE" w:rsidR="00852CCA" w:rsidRDefault="004E712C" w:rsidP="00C85A58">
            <w:r>
              <w:t xml:space="preserve">The day-to-day administration of </w:t>
            </w:r>
            <w:r w:rsidR="00C726B0">
              <w:t>WorkCover WA</w:t>
            </w:r>
            <w:r>
              <w:t xml:space="preserve"> is delegated by the </w:t>
            </w:r>
            <w:r w:rsidR="00C726B0">
              <w:t>WorkCover WA</w:t>
            </w:r>
            <w:r>
              <w:t xml:space="preserve"> Board to the Chief Executive Officer who directs the Agency’s operations.</w:t>
            </w:r>
          </w:p>
          <w:p w14:paraId="0FF6C3B9" w14:textId="49DF4E66" w:rsidR="005F5815" w:rsidRDefault="005F5815" w:rsidP="001369E3">
            <w:r w:rsidRPr="001F77D0">
              <w:t xml:space="preserve">Board </w:t>
            </w:r>
            <w:r w:rsidR="00DD60D5" w:rsidRPr="001F77D0">
              <w:t>R</w:t>
            </w:r>
            <w:r w:rsidR="001F77D0">
              <w:t xml:space="preserve">esponsibilities are outlined in </w:t>
            </w:r>
            <w:r w:rsidR="00DD60D5" w:rsidRPr="001F77D0">
              <w:rPr>
                <w:i/>
              </w:rPr>
              <w:t xml:space="preserve">Section 5: </w:t>
            </w:r>
            <w:r w:rsidR="006B4823">
              <w:rPr>
                <w:i/>
              </w:rPr>
              <w:t>Disclosures and legal c</w:t>
            </w:r>
            <w:r w:rsidR="001F77D0" w:rsidRPr="001F77D0">
              <w:rPr>
                <w:i/>
              </w:rPr>
              <w:t xml:space="preserve">ompliance </w:t>
            </w:r>
            <w:r w:rsidR="001F77D0" w:rsidRPr="001F77D0">
              <w:t>on</w:t>
            </w:r>
            <w:r w:rsidRPr="001F77D0">
              <w:t xml:space="preserve"> </w:t>
            </w:r>
            <w:r w:rsidRPr="00FA7B96">
              <w:t xml:space="preserve">page </w:t>
            </w:r>
            <w:r w:rsidR="001F77D0" w:rsidRPr="00FA7B96">
              <w:t>1</w:t>
            </w:r>
            <w:r w:rsidR="00FA7B96" w:rsidRPr="00FA7B96">
              <w:t>14</w:t>
            </w:r>
            <w:r w:rsidR="001F77D0" w:rsidRPr="00FA7B96">
              <w:t>.</w:t>
            </w:r>
          </w:p>
        </w:tc>
      </w:tr>
      <w:tr w:rsidR="00852CCA" w14:paraId="11BA60BB" w14:textId="77777777" w:rsidTr="00A73F0A">
        <w:trPr>
          <w:trHeight w:val="60"/>
        </w:trPr>
        <w:tc>
          <w:tcPr>
            <w:tcW w:w="2977" w:type="dxa"/>
            <w:shd w:val="clear" w:color="auto" w:fill="CEDFDC" w:themeFill="accent2" w:themeFillTint="33"/>
            <w:tcMar>
              <w:top w:w="170" w:type="dxa"/>
              <w:left w:w="80" w:type="dxa"/>
              <w:bottom w:w="170" w:type="dxa"/>
              <w:right w:w="80" w:type="dxa"/>
            </w:tcMar>
            <w:vAlign w:val="center"/>
          </w:tcPr>
          <w:p w14:paraId="2B668FD4" w14:textId="77777777" w:rsidR="00852CCA" w:rsidRPr="00EA4C48" w:rsidRDefault="00852CCA" w:rsidP="00C85A58">
            <w:pPr>
              <w:rPr>
                <w:rStyle w:val="Strong"/>
              </w:rPr>
            </w:pPr>
            <w:r w:rsidRPr="00EA4C48">
              <w:rPr>
                <w:rStyle w:val="Strong"/>
              </w:rPr>
              <w:t>Organisational structure</w:t>
            </w:r>
          </w:p>
        </w:tc>
        <w:tc>
          <w:tcPr>
            <w:tcW w:w="6180" w:type="dxa"/>
            <w:shd w:val="solid" w:color="FFFFFF" w:fill="auto"/>
            <w:tcMar>
              <w:top w:w="170" w:type="dxa"/>
              <w:left w:w="80" w:type="dxa"/>
              <w:bottom w:w="170" w:type="dxa"/>
              <w:right w:w="80" w:type="dxa"/>
            </w:tcMar>
            <w:vAlign w:val="center"/>
          </w:tcPr>
          <w:p w14:paraId="18A875C2" w14:textId="150F4FBB" w:rsidR="00852CCA" w:rsidRDefault="00C726B0" w:rsidP="00C85A58">
            <w:r>
              <w:t>WorkCover WA</w:t>
            </w:r>
            <w:r w:rsidR="004E712C">
              <w:t xml:space="preserve"> </w:t>
            </w:r>
            <w:r w:rsidR="00A83FAC">
              <w:t>is comprised</w:t>
            </w:r>
            <w:r w:rsidR="004E712C">
              <w:t xml:space="preserve"> of four Divisions as outlined in the following organisational structure diagram and divisional descriptions.</w:t>
            </w:r>
          </w:p>
        </w:tc>
      </w:tr>
    </w:tbl>
    <w:p w14:paraId="361DA3D3" w14:textId="2DC21A24" w:rsidR="001A7B2A" w:rsidRDefault="001A7B2A" w:rsidP="00FE6931"/>
    <w:p w14:paraId="0A71A36F" w14:textId="77777777" w:rsidR="001A7B2A" w:rsidRDefault="001A7B2A">
      <w:pPr>
        <w:keepLines w:val="0"/>
        <w:spacing w:after="0" w:line="240" w:lineRule="auto"/>
      </w:pPr>
      <w:r>
        <w:br w:type="page"/>
      </w:r>
    </w:p>
    <w:p w14:paraId="0FE7041F" w14:textId="52416D09" w:rsidR="00282A90" w:rsidRPr="003A3559" w:rsidRDefault="00852CCA" w:rsidP="003A3559">
      <w:pPr>
        <w:pStyle w:val="Heading2nonumber"/>
      </w:pPr>
      <w:bookmarkStart w:id="67" w:name="_Toc399316919"/>
      <w:bookmarkStart w:id="68" w:name="_Toc426617408"/>
      <w:bookmarkStart w:id="69" w:name="_Toc430091130"/>
      <w:r w:rsidRPr="003A3559">
        <w:lastRenderedPageBreak/>
        <w:t xml:space="preserve">Organisational </w:t>
      </w:r>
      <w:r w:rsidR="00537E41" w:rsidRPr="003A3559">
        <w:t>s</w:t>
      </w:r>
      <w:r w:rsidRPr="003A3559">
        <w:t>tructure</w:t>
      </w:r>
      <w:bookmarkEnd w:id="67"/>
      <w:bookmarkEnd w:id="68"/>
      <w:bookmarkEnd w:id="69"/>
      <w:r w:rsidR="00DF19F6" w:rsidRPr="003A3559">
        <w:t xml:space="preserve"> </w:t>
      </w:r>
    </w:p>
    <w:p w14:paraId="59BA50C6" w14:textId="77777777" w:rsidR="00546571" w:rsidRDefault="00546571">
      <w:pPr>
        <w:keepLines w:val="0"/>
        <w:spacing w:after="0" w:line="240" w:lineRule="auto"/>
        <w:rPr>
          <w:noProof/>
          <w:lang w:eastAsia="en-AU"/>
        </w:rPr>
      </w:pPr>
    </w:p>
    <w:p w14:paraId="2C95CED6" w14:textId="3546047E" w:rsidR="00867CF7" w:rsidRDefault="00546571">
      <w:pPr>
        <w:keepLines w:val="0"/>
        <w:spacing w:after="0" w:line="240" w:lineRule="auto"/>
        <w:rPr>
          <w:rFonts w:ascii="Verdana" w:hAnsi="Verdana" w:cs="Arial"/>
          <w:b/>
          <w:bCs/>
          <w:color w:val="86731E" w:themeColor="text1"/>
          <w:szCs w:val="20"/>
        </w:rPr>
      </w:pPr>
      <w:r>
        <w:rPr>
          <w:noProof/>
          <w:lang w:eastAsia="en-AU"/>
        </w:rPr>
        <w:drawing>
          <wp:anchor distT="0" distB="0" distL="114300" distR="114300" simplePos="0" relativeHeight="251709440" behindDoc="0" locked="0" layoutInCell="1" allowOverlap="1" wp14:anchorId="71A46BC3" wp14:editId="16A2B2FE">
            <wp:simplePos x="0" y="0"/>
            <wp:positionH relativeFrom="column">
              <wp:posOffset>-2947845</wp:posOffset>
            </wp:positionH>
            <wp:positionV relativeFrom="page">
              <wp:posOffset>6851058</wp:posOffset>
            </wp:positionV>
            <wp:extent cx="6416040" cy="2842260"/>
            <wp:effectExtent l="0" t="0" r="3810" b="0"/>
            <wp:wrapSquare wrapText="bothSides"/>
            <wp:docPr id="17" name="Picture 17"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21" cstate="print">
                      <a:extLst>
                        <a:ext uri="{28A0092B-C50C-407E-A947-70E740481C1C}">
                          <a14:useLocalDpi xmlns:a14="http://schemas.microsoft.com/office/drawing/2010/main" val="0"/>
                        </a:ext>
                      </a:extLst>
                    </a:blip>
                    <a:srcRect t="39269" b="29401"/>
                    <a:stretch/>
                  </pic:blipFill>
                  <pic:spPr bwMode="auto">
                    <a:xfrm>
                      <a:off x="0" y="0"/>
                      <a:ext cx="6416040"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086">
        <w:rPr>
          <w:noProof/>
          <w:lang w:eastAsia="en-AU"/>
        </w:rPr>
        <w:drawing>
          <wp:anchor distT="0" distB="0" distL="114300" distR="114300" simplePos="0" relativeHeight="251708416" behindDoc="0" locked="0" layoutInCell="1" allowOverlap="1" wp14:anchorId="7C885F9C" wp14:editId="2C84A540">
            <wp:simplePos x="0" y="0"/>
            <wp:positionH relativeFrom="column">
              <wp:posOffset>-344774</wp:posOffset>
            </wp:positionH>
            <wp:positionV relativeFrom="paragraph">
              <wp:posOffset>282273</wp:posOffset>
            </wp:positionV>
            <wp:extent cx="6377305" cy="4295775"/>
            <wp:effectExtent l="0" t="0" r="4445" b="9525"/>
            <wp:wrapSquare wrapText="bothSides"/>
            <wp:docPr id="10" name="Picture 10" descr="WorkCover WAs Organisational Structure" title="WorkCover WAs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mmunications\Publication - Production\Annual Report - 2015\2. Content\Organisational Chart -June 2015 _tous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150" t="5412" r="9817" b="18352"/>
                    <a:stretch/>
                  </pic:blipFill>
                  <pic:spPr bwMode="auto">
                    <a:xfrm>
                      <a:off x="0" y="0"/>
                      <a:ext cx="6377305" cy="429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CF7">
        <w:br w:type="page"/>
      </w:r>
    </w:p>
    <w:p w14:paraId="0A2CBCB7" w14:textId="77777777" w:rsidR="009B2C6D" w:rsidRDefault="00BC5F55" w:rsidP="00AA6859">
      <w:pPr>
        <w:pStyle w:val="Heading2nonumber"/>
      </w:pPr>
      <w:bookmarkStart w:id="70" w:name="_Toc399316920"/>
      <w:bookmarkStart w:id="71" w:name="_Toc426617409"/>
      <w:bookmarkStart w:id="72" w:name="_Toc430091131"/>
      <w:r w:rsidRPr="00BC5F55">
        <w:lastRenderedPageBreak/>
        <w:t>Divisions and direction</w:t>
      </w:r>
      <w:bookmarkEnd w:id="70"/>
      <w:bookmarkEnd w:id="71"/>
      <w:bookmarkEnd w:id="72"/>
    </w:p>
    <w:p w14:paraId="71506B34" w14:textId="77777777" w:rsidR="00BC5F55" w:rsidRDefault="00BC5F55" w:rsidP="00664937">
      <w:pPr>
        <w:pStyle w:val="Heading4"/>
      </w:pPr>
      <w:r>
        <w:t>Corporate Executive</w:t>
      </w:r>
    </w:p>
    <w:p w14:paraId="352DA8F8" w14:textId="54D3AACF" w:rsidR="00BC5F55" w:rsidRPr="00BC5F55" w:rsidRDefault="00C726B0" w:rsidP="00F018BB">
      <w:pPr>
        <w:rPr>
          <w:lang w:val="en-US"/>
        </w:rPr>
      </w:pPr>
      <w:r>
        <w:t>WorkCover WA</w:t>
      </w:r>
      <w:r w:rsidR="002E7B52" w:rsidRPr="00EB299A">
        <w:t xml:space="preserve"> is led by a Corporate Executive team </w:t>
      </w:r>
      <w:r w:rsidR="00A83FAC">
        <w:t>comprised</w:t>
      </w:r>
      <w:r w:rsidR="002E7B52" w:rsidRPr="00EB299A">
        <w:t xml:space="preserve"> of the Chief Executive</w:t>
      </w:r>
      <w:r w:rsidR="00B10799">
        <w:t xml:space="preserve"> Officer, divisional heads, </w:t>
      </w:r>
      <w:r w:rsidR="002E7B52" w:rsidRPr="00EB299A">
        <w:t>Registrar Arbitration an</w:t>
      </w:r>
      <w:r w:rsidR="00B10799">
        <w:t>d</w:t>
      </w:r>
      <w:r w:rsidR="002E7B52" w:rsidRPr="00EB299A">
        <w:t xml:space="preserve"> Chief Finance Officer. The Corporate Executive is responsible for developing, monitoring and reporting the Agency’s overall corporate direction, budgeting, planning and monito</w:t>
      </w:r>
      <w:r w:rsidR="00484288">
        <w:t>ring of operational performance.</w:t>
      </w:r>
    </w:p>
    <w:p w14:paraId="33B80E55" w14:textId="77777777" w:rsidR="00BC5F55" w:rsidRDefault="00BC5F55" w:rsidP="00664937">
      <w:pPr>
        <w:pStyle w:val="Heading4"/>
      </w:pPr>
      <w:r>
        <w:t>Conciliation and Arbitration Services</w:t>
      </w:r>
    </w:p>
    <w:p w14:paraId="370A9D5C" w14:textId="359F0832" w:rsidR="00A0319B" w:rsidRDefault="00F70E4F" w:rsidP="00F018BB">
      <w:pPr>
        <w:rPr>
          <w:b/>
          <w:bCs/>
        </w:rPr>
      </w:pPr>
      <w:r w:rsidRPr="000E4C66">
        <w:rPr>
          <w:rFonts w:cs="Arial"/>
        </w:rPr>
        <w:t xml:space="preserve">The Conciliation and Arbitration Services Division </w:t>
      </w:r>
      <w:r>
        <w:rPr>
          <w:rFonts w:cs="Arial"/>
        </w:rPr>
        <w:t>is</w:t>
      </w:r>
      <w:r w:rsidRPr="000E4C66">
        <w:rPr>
          <w:rFonts w:cs="Arial"/>
        </w:rPr>
        <w:t xml:space="preserve"> responsible for the resolution of disputes in the WA workers’ compensation and injury management scheme. </w:t>
      </w:r>
      <w:r>
        <w:rPr>
          <w:rFonts w:cs="Arial"/>
        </w:rPr>
        <w:t xml:space="preserve">The Division </w:t>
      </w:r>
      <w:r w:rsidRPr="000E4C66">
        <w:rPr>
          <w:rFonts w:cs="Arial"/>
        </w:rPr>
        <w:t xml:space="preserve">comprises </w:t>
      </w:r>
      <w:r>
        <w:rPr>
          <w:rFonts w:cs="Arial"/>
        </w:rPr>
        <w:t>the C</w:t>
      </w:r>
      <w:r w:rsidRPr="000E4C66">
        <w:rPr>
          <w:rFonts w:cs="Arial"/>
        </w:rPr>
        <w:t>onciliation</w:t>
      </w:r>
      <w:r>
        <w:rPr>
          <w:rFonts w:cs="Arial"/>
        </w:rPr>
        <w:t xml:space="preserve"> Service</w:t>
      </w:r>
      <w:r w:rsidRPr="000E4C66">
        <w:rPr>
          <w:rFonts w:cs="Arial"/>
        </w:rPr>
        <w:t xml:space="preserve"> (</w:t>
      </w:r>
      <w:r>
        <w:rPr>
          <w:rFonts w:cs="Arial"/>
        </w:rPr>
        <w:t>where</w:t>
      </w:r>
      <w:r w:rsidRPr="000E4C66">
        <w:rPr>
          <w:rFonts w:cs="Arial"/>
        </w:rPr>
        <w:t xml:space="preserve"> </w:t>
      </w:r>
      <w:r w:rsidR="00F61D43">
        <w:rPr>
          <w:rFonts w:cs="Arial"/>
        </w:rPr>
        <w:t xml:space="preserve">the objective is agreement </w:t>
      </w:r>
      <w:r w:rsidRPr="000E4C66">
        <w:rPr>
          <w:rFonts w:cs="Arial"/>
        </w:rPr>
        <w:t>between parties to disputes) and</w:t>
      </w:r>
      <w:r>
        <w:rPr>
          <w:rFonts w:cs="Arial"/>
        </w:rPr>
        <w:t xml:space="preserve"> the</w:t>
      </w:r>
      <w:r w:rsidRPr="000E4C66">
        <w:rPr>
          <w:rFonts w:cs="Arial"/>
        </w:rPr>
        <w:t xml:space="preserve"> </w:t>
      </w:r>
      <w:r>
        <w:rPr>
          <w:rFonts w:cs="Arial"/>
        </w:rPr>
        <w:t>A</w:t>
      </w:r>
      <w:r w:rsidRPr="000E4C66">
        <w:rPr>
          <w:rFonts w:cs="Arial"/>
        </w:rPr>
        <w:t xml:space="preserve">rbitration </w:t>
      </w:r>
      <w:r>
        <w:rPr>
          <w:rFonts w:cs="Arial"/>
        </w:rPr>
        <w:t>Service</w:t>
      </w:r>
      <w:r w:rsidRPr="000E4C66">
        <w:rPr>
          <w:rFonts w:cs="Arial"/>
        </w:rPr>
        <w:t xml:space="preserve"> (</w:t>
      </w:r>
      <w:r>
        <w:rPr>
          <w:rFonts w:cs="Arial"/>
        </w:rPr>
        <w:t xml:space="preserve">where </w:t>
      </w:r>
      <w:r w:rsidRPr="000E4C66">
        <w:rPr>
          <w:rFonts w:cs="Arial"/>
        </w:rPr>
        <w:t>disputes unresolved by conciliation</w:t>
      </w:r>
      <w:r>
        <w:rPr>
          <w:rFonts w:cs="Arial"/>
        </w:rPr>
        <w:t xml:space="preserve"> are</w:t>
      </w:r>
      <w:r w:rsidRPr="000E4C66">
        <w:rPr>
          <w:rFonts w:cs="Arial"/>
        </w:rPr>
        <w:t xml:space="preserve"> determined according to their substantial merits with as little formality and technicality as possible).</w:t>
      </w:r>
    </w:p>
    <w:p w14:paraId="2D439B07" w14:textId="77777777" w:rsidR="00BC5F55" w:rsidRDefault="00BC5F55" w:rsidP="00664937">
      <w:pPr>
        <w:pStyle w:val="Heading4"/>
      </w:pPr>
      <w:r>
        <w:t>Corporate Resources</w:t>
      </w:r>
    </w:p>
    <w:p w14:paraId="159F35C2" w14:textId="61B3E499" w:rsidR="000360E8" w:rsidRPr="00CF60D5" w:rsidRDefault="000360E8" w:rsidP="00F018BB">
      <w:r w:rsidRPr="000360E8">
        <w:t>The Corporate Resources Division ensures</w:t>
      </w:r>
      <w:r w:rsidR="00F61D43">
        <w:t xml:space="preserve"> human</w:t>
      </w:r>
      <w:r w:rsidRPr="000360E8">
        <w:t xml:space="preserve">, financial, technical, information and physical resources are available to support </w:t>
      </w:r>
      <w:r w:rsidR="00CF60D5">
        <w:t>WorkCover WA’s</w:t>
      </w:r>
      <w:r w:rsidRPr="000360E8">
        <w:t xml:space="preserve"> operations</w:t>
      </w:r>
      <w:r w:rsidR="00484288">
        <w:t>.</w:t>
      </w:r>
    </w:p>
    <w:p w14:paraId="17DE21A1" w14:textId="77777777" w:rsidR="00BC5F55" w:rsidRDefault="00BC5F55" w:rsidP="00664937">
      <w:pPr>
        <w:pStyle w:val="Heading4"/>
      </w:pPr>
      <w:r>
        <w:t>Legislation and Scheme Information</w:t>
      </w:r>
    </w:p>
    <w:p w14:paraId="3FBCE246" w14:textId="1E80631C" w:rsidR="00AA6859" w:rsidRPr="00367BDE" w:rsidRDefault="00AA6859" w:rsidP="00F018BB">
      <w:pPr>
        <w:shd w:val="clear" w:color="auto" w:fill="FFFFFF" w:themeFill="background1"/>
        <w:tabs>
          <w:tab w:val="left" w:pos="3104"/>
        </w:tabs>
        <w:spacing w:before="120" w:after="0"/>
        <w:rPr>
          <w:rFonts w:cs="Arial"/>
        </w:rPr>
      </w:pPr>
      <w:r w:rsidRPr="00367BDE">
        <w:rPr>
          <w:rFonts w:cs="Arial"/>
        </w:rPr>
        <w:t>The Legislation and Scheme Information Division maintains scheme viability and effectiveness through:</w:t>
      </w:r>
      <w:r w:rsidR="00B32AD6">
        <w:rPr>
          <w:rFonts w:cs="Arial"/>
        </w:rPr>
        <w:br/>
      </w:r>
    </w:p>
    <w:p w14:paraId="4C416787" w14:textId="77777777" w:rsidR="00AA6859" w:rsidRPr="00367BDE" w:rsidRDefault="00AA6859" w:rsidP="00F018BB">
      <w:pPr>
        <w:pStyle w:val="BulletListLevel1"/>
        <w:ind w:left="567"/>
      </w:pPr>
      <w:r w:rsidRPr="00367BDE">
        <w:t>policy and legislation development</w:t>
      </w:r>
    </w:p>
    <w:p w14:paraId="618FA743" w14:textId="1EF4B58A" w:rsidR="00AA6859" w:rsidRDefault="00AA6859" w:rsidP="00F018BB">
      <w:pPr>
        <w:pStyle w:val="BulletListLevel1"/>
        <w:ind w:left="567"/>
      </w:pPr>
      <w:r w:rsidRPr="00367BDE">
        <w:t xml:space="preserve">collection, quality assurance and analysis of data </w:t>
      </w:r>
      <w:r w:rsidR="00B32AD6">
        <w:t>provided by</w:t>
      </w:r>
      <w:r w:rsidRPr="00367BDE">
        <w:t xml:space="preserve"> insurers and self-insurers to assist compliance activities and set premium rates.</w:t>
      </w:r>
    </w:p>
    <w:p w14:paraId="5F109F96" w14:textId="13FCFF58" w:rsidR="006A080B" w:rsidRDefault="00AA6859" w:rsidP="00F018BB">
      <w:pPr>
        <w:rPr>
          <w:rFonts w:cs="Arial"/>
        </w:rPr>
      </w:pPr>
      <w:r w:rsidRPr="00367BDE">
        <w:rPr>
          <w:rFonts w:cs="Arial"/>
        </w:rPr>
        <w:t xml:space="preserve">The Division has a strategic focus on activities </w:t>
      </w:r>
      <w:r w:rsidR="00484288">
        <w:rPr>
          <w:rFonts w:cs="Arial"/>
        </w:rPr>
        <w:t>to</w:t>
      </w:r>
      <w:r w:rsidRPr="00367BDE">
        <w:rPr>
          <w:rFonts w:cs="Arial"/>
        </w:rPr>
        <w:t xml:space="preserve"> assist the Board and Government </w:t>
      </w:r>
      <w:r w:rsidR="00C7091F">
        <w:rPr>
          <w:rFonts w:cs="Arial"/>
        </w:rPr>
        <w:t xml:space="preserve">to </w:t>
      </w:r>
      <w:r w:rsidRPr="00367BDE">
        <w:rPr>
          <w:rFonts w:cs="Arial"/>
        </w:rPr>
        <w:t>effectively manage the workers’ compensation system.</w:t>
      </w:r>
    </w:p>
    <w:p w14:paraId="55095800" w14:textId="77777777" w:rsidR="006A080B" w:rsidRDefault="006A080B">
      <w:pPr>
        <w:keepLines w:val="0"/>
        <w:spacing w:after="0" w:line="240" w:lineRule="auto"/>
        <w:rPr>
          <w:rFonts w:cs="Arial"/>
        </w:rPr>
      </w:pPr>
      <w:r>
        <w:rPr>
          <w:rFonts w:cs="Arial"/>
        </w:rPr>
        <w:br w:type="page"/>
      </w:r>
    </w:p>
    <w:p w14:paraId="1BC72D10" w14:textId="77777777" w:rsidR="00BC5F55" w:rsidRDefault="00BC5F55" w:rsidP="00664937">
      <w:pPr>
        <w:pStyle w:val="Heading4"/>
      </w:pPr>
      <w:r>
        <w:lastRenderedPageBreak/>
        <w:t>Regulatory Services</w:t>
      </w:r>
    </w:p>
    <w:p w14:paraId="4318840C" w14:textId="03494ADE" w:rsidR="00C10DD0" w:rsidRPr="00C10DD0" w:rsidRDefault="00C10DD0" w:rsidP="00C10DD0">
      <w:pPr>
        <w:rPr>
          <w:lang w:val="en-US"/>
        </w:rPr>
      </w:pPr>
      <w:r w:rsidRPr="00C10DD0">
        <w:rPr>
          <w:lang w:val="en-US"/>
        </w:rPr>
        <w:t>The Regulatory Services Division ensures parties operating within the workers’ compensation and injury management scheme comply with their statutory and administrative obligations by:</w:t>
      </w:r>
    </w:p>
    <w:p w14:paraId="1E8E93E8" w14:textId="508876A7" w:rsidR="00C10DD0" w:rsidRDefault="00F42BEB" w:rsidP="00F018BB">
      <w:pPr>
        <w:pStyle w:val="BulletListLevel1"/>
        <w:ind w:left="567" w:hanging="567"/>
        <w:rPr>
          <w:lang w:val="en-US"/>
        </w:rPr>
      </w:pPr>
      <w:r>
        <w:rPr>
          <w:lang w:val="en-US"/>
        </w:rPr>
        <w:t>establishing and monitoring performance standards for scheme participants</w:t>
      </w:r>
    </w:p>
    <w:p w14:paraId="41CC2A88" w14:textId="48273942" w:rsidR="00F42BEB" w:rsidRDefault="00F42BEB" w:rsidP="00F018BB">
      <w:pPr>
        <w:pStyle w:val="BulletListLevel1"/>
        <w:ind w:left="567" w:hanging="567"/>
        <w:rPr>
          <w:lang w:val="en-US"/>
        </w:rPr>
      </w:pPr>
      <w:r>
        <w:rPr>
          <w:lang w:val="en-US"/>
        </w:rPr>
        <w:t xml:space="preserve">conducting compliance investigations where breaches </w:t>
      </w:r>
      <w:r w:rsidR="00324CAC">
        <w:rPr>
          <w:lang w:val="en-US"/>
        </w:rPr>
        <w:t>of</w:t>
      </w:r>
      <w:r>
        <w:rPr>
          <w:lang w:val="en-US"/>
        </w:rPr>
        <w:t xml:space="preserve"> statutory obligations are suspected</w:t>
      </w:r>
    </w:p>
    <w:p w14:paraId="1A42FFF7" w14:textId="7A0B45D6" w:rsidR="00F42BEB" w:rsidRDefault="00F42BEB" w:rsidP="00F018BB">
      <w:pPr>
        <w:pStyle w:val="BulletListLevel1"/>
        <w:ind w:left="567" w:hanging="567"/>
        <w:rPr>
          <w:lang w:val="en-US"/>
        </w:rPr>
      </w:pPr>
      <w:r>
        <w:rPr>
          <w:lang w:val="en-US"/>
        </w:rPr>
        <w:t>investigating complaints against scheme participants</w:t>
      </w:r>
      <w:r w:rsidR="00475DA0">
        <w:rPr>
          <w:lang w:val="en-US"/>
        </w:rPr>
        <w:t xml:space="preserve"> and</w:t>
      </w:r>
      <w:r>
        <w:rPr>
          <w:lang w:val="en-US"/>
        </w:rPr>
        <w:t xml:space="preserve"> taking regulatory actions such as prosecution or issuing infringement</w:t>
      </w:r>
      <w:r w:rsidR="00324CAC">
        <w:rPr>
          <w:lang w:val="en-US"/>
        </w:rPr>
        <w:t xml:space="preserve"> notice</w:t>
      </w:r>
      <w:r w:rsidR="00C7091F">
        <w:rPr>
          <w:lang w:val="en-US"/>
        </w:rPr>
        <w:t>s</w:t>
      </w:r>
      <w:r>
        <w:rPr>
          <w:lang w:val="en-US"/>
        </w:rPr>
        <w:t xml:space="preserve"> </w:t>
      </w:r>
    </w:p>
    <w:p w14:paraId="7CE57356" w14:textId="3CCBBC9F" w:rsidR="00F42BEB" w:rsidRPr="00C10DD0" w:rsidRDefault="00F42BEB" w:rsidP="00F018BB">
      <w:pPr>
        <w:pStyle w:val="BulletListLevel1"/>
        <w:ind w:left="567" w:hanging="567"/>
        <w:rPr>
          <w:lang w:val="en-US"/>
        </w:rPr>
      </w:pPr>
      <w:r>
        <w:rPr>
          <w:lang w:val="en-US"/>
        </w:rPr>
        <w:t>educating and assisting scheme stakeholders.</w:t>
      </w:r>
    </w:p>
    <w:p w14:paraId="6DE40C56" w14:textId="551387FF" w:rsidR="00BC5F55" w:rsidRDefault="00C726B0" w:rsidP="00774708">
      <w:pPr>
        <w:pStyle w:val="Heading2nonumber"/>
        <w:rPr>
          <w:lang w:val="en-US"/>
        </w:rPr>
      </w:pPr>
      <w:bookmarkStart w:id="73" w:name="_Toc399316921"/>
      <w:bookmarkStart w:id="74" w:name="_Toc426617410"/>
      <w:bookmarkStart w:id="75" w:name="_Toc430091132"/>
      <w:r>
        <w:rPr>
          <w:lang w:val="en-US"/>
        </w:rPr>
        <w:t>WorkCover WA</w:t>
      </w:r>
      <w:r w:rsidR="004E712C">
        <w:rPr>
          <w:lang w:val="en-US"/>
        </w:rPr>
        <w:t xml:space="preserve"> </w:t>
      </w:r>
      <w:r w:rsidR="00BC5F55">
        <w:rPr>
          <w:lang w:val="en-US"/>
        </w:rPr>
        <w:t>Board</w:t>
      </w:r>
      <w:bookmarkEnd w:id="73"/>
      <w:bookmarkEnd w:id="74"/>
      <w:bookmarkEnd w:id="75"/>
    </w:p>
    <w:p w14:paraId="60BA3614" w14:textId="41739A3F" w:rsidR="002E7B52" w:rsidRPr="00EB299A" w:rsidRDefault="002E7B52" w:rsidP="002E7B52">
      <w:r w:rsidRPr="00EB299A">
        <w:t>The WorkCover Western Australia Authority (the Board) is responsible for governance of the Agency; the provision of independent advice to the Minister; and the approval of certain service providers. Constituted under section 94(1) of the Act, the Board is authorised to use and operate under the trading name ‘</w:t>
      </w:r>
      <w:r w:rsidR="00C726B0">
        <w:t>WorkCover WA</w:t>
      </w:r>
      <w:r w:rsidRPr="00EB299A">
        <w:t>’.</w:t>
      </w:r>
    </w:p>
    <w:p w14:paraId="62B97A66" w14:textId="73172563" w:rsidR="004E712C" w:rsidRDefault="002E7B52" w:rsidP="002E7B52">
      <w:r w:rsidRPr="00EB299A">
        <w:t xml:space="preserve">The Chief Executive Officer, who is a member of the Board, directs the operations and day-to-day administration of </w:t>
      </w:r>
      <w:r w:rsidR="00C726B0">
        <w:t>WorkCover WA</w:t>
      </w:r>
      <w:r w:rsidRPr="00EB299A">
        <w:t xml:space="preserve"> through the implementation of the Board’s strategic direction. The Chief Executive Officer and all other staff of </w:t>
      </w:r>
      <w:r w:rsidR="00C726B0">
        <w:t>WorkCover WA</w:t>
      </w:r>
      <w:r w:rsidRPr="00EB299A">
        <w:t xml:space="preserve"> are employed under the provisions of the </w:t>
      </w:r>
      <w:r w:rsidRPr="00EB299A">
        <w:rPr>
          <w:i/>
        </w:rPr>
        <w:t>Public Sector Management Act 1994</w:t>
      </w:r>
      <w:r w:rsidRPr="00EB299A">
        <w:t>.</w:t>
      </w:r>
    </w:p>
    <w:p w14:paraId="3D2D11B5" w14:textId="113794F9" w:rsidR="0093281B" w:rsidRPr="004E712C" w:rsidRDefault="0093281B" w:rsidP="0093281B">
      <w:pPr>
        <w:rPr>
          <w:lang w:val="en-US"/>
        </w:rPr>
      </w:pPr>
      <w:r w:rsidRPr="0093281B">
        <w:rPr>
          <w:lang w:val="en-US"/>
        </w:rPr>
        <w:t>To provide diversity and ensure all parties to workers’ compensation activities are fairly represented membership of t</w:t>
      </w:r>
      <w:r w:rsidR="008A6719">
        <w:rPr>
          <w:lang w:val="en-US"/>
        </w:rPr>
        <w:t>he</w:t>
      </w:r>
      <w:r w:rsidRPr="0093281B">
        <w:rPr>
          <w:lang w:val="en-US"/>
        </w:rPr>
        <w:t xml:space="preserve"> Board is defined under section 95 of </w:t>
      </w:r>
      <w:r w:rsidRPr="00A83FAC">
        <w:rPr>
          <w:lang w:val="en-US"/>
        </w:rPr>
        <w:t xml:space="preserve">the </w:t>
      </w:r>
      <w:r w:rsidR="00A83FAC" w:rsidRPr="00A83FAC">
        <w:rPr>
          <w:lang w:val="en-US"/>
        </w:rPr>
        <w:t>Act.</w:t>
      </w:r>
    </w:p>
    <w:p w14:paraId="009992CB" w14:textId="01006983" w:rsidR="00CD2C25" w:rsidRDefault="000812D9" w:rsidP="00105D1D">
      <w:pPr>
        <w:pStyle w:val="Heading3nonumber"/>
      </w:pPr>
      <w:bookmarkStart w:id="76" w:name="_Toc426617411"/>
      <w:bookmarkStart w:id="77" w:name="_Toc430091133"/>
      <w:r>
        <w:t>Chairman</w:t>
      </w:r>
      <w:bookmarkEnd w:id="76"/>
      <w:bookmarkEnd w:id="77"/>
    </w:p>
    <w:p w14:paraId="1EA13344" w14:textId="32AAD42D" w:rsidR="00CD2C25" w:rsidRPr="003458C8" w:rsidRDefault="00103CFE" w:rsidP="003458C8">
      <w:pPr>
        <w:rPr>
          <w:rStyle w:val="Emphasis"/>
        </w:rPr>
      </w:pPr>
      <w:r w:rsidRPr="003458C8">
        <w:rPr>
          <w:rStyle w:val="Emphasis"/>
        </w:rPr>
        <w:t>Chairman – appointed by the Governor on the</w:t>
      </w:r>
      <w:r w:rsidR="000812D9">
        <w:rPr>
          <w:rStyle w:val="Emphasis"/>
        </w:rPr>
        <w:t xml:space="preserve"> recommendation of the Minister</w:t>
      </w:r>
    </w:p>
    <w:p w14:paraId="4F308FBC" w14:textId="3901B464" w:rsidR="007E2369" w:rsidRDefault="002E7B52" w:rsidP="00206802">
      <w:r w:rsidRPr="00611F31">
        <w:rPr>
          <w:b/>
        </w:rPr>
        <w:t>Mr Greg Joyce</w:t>
      </w:r>
      <w:r w:rsidRPr="00611F31">
        <w:t xml:space="preserve"> has been a member and Chair of </w:t>
      </w:r>
      <w:r w:rsidR="00C726B0">
        <w:t>WorkCover WA</w:t>
      </w:r>
      <w:r w:rsidRPr="00611F31">
        <w:t xml:space="preserve">’s Board since </w:t>
      </w:r>
      <w:r w:rsidR="005A0620">
        <w:t>1 </w:t>
      </w:r>
      <w:r w:rsidRPr="00611F31">
        <w:t>May 2005. Mr Joyce was reappointed for a further three year</w:t>
      </w:r>
      <w:r w:rsidR="005A0620">
        <w:t xml:space="preserve"> term </w:t>
      </w:r>
      <w:r w:rsidR="00CF60D5">
        <w:t>from 4 January </w:t>
      </w:r>
      <w:r w:rsidRPr="00611F31">
        <w:t>2014. Mr Joyce was the Director General of the Department of Housing and Works from July 2001 until his retirement in January 2005. Mr Joyce has a law degree from the University of Western Australia and is qualified to practise as a barrister and solicitor in Western Australia.</w:t>
      </w:r>
      <w:bookmarkStart w:id="78" w:name="_Toc426617412"/>
      <w:r w:rsidR="00206802">
        <w:t xml:space="preserve"> </w:t>
      </w:r>
    </w:p>
    <w:p w14:paraId="392DC909" w14:textId="77777777" w:rsidR="00CD2C25" w:rsidRDefault="00CD2C25" w:rsidP="00105D1D">
      <w:pPr>
        <w:pStyle w:val="Heading3nonumber"/>
      </w:pPr>
      <w:bookmarkStart w:id="79" w:name="_Toc430091134"/>
      <w:r>
        <w:lastRenderedPageBreak/>
        <w:t>Members</w:t>
      </w:r>
      <w:bookmarkEnd w:id="78"/>
      <w:bookmarkEnd w:id="79"/>
    </w:p>
    <w:p w14:paraId="2C861EEF" w14:textId="73065A3A" w:rsidR="004D5253" w:rsidRPr="00A83FAC" w:rsidRDefault="004D5253" w:rsidP="003458C8">
      <w:pPr>
        <w:rPr>
          <w:rStyle w:val="Emphasis"/>
          <w:sz w:val="26"/>
          <w:szCs w:val="26"/>
        </w:rPr>
      </w:pPr>
      <w:r w:rsidRPr="00A83FAC">
        <w:rPr>
          <w:rStyle w:val="Emphasis"/>
          <w:sz w:val="26"/>
          <w:szCs w:val="26"/>
        </w:rPr>
        <w:t>Memb</w:t>
      </w:r>
      <w:r w:rsidR="009C0244" w:rsidRPr="00A83FAC">
        <w:rPr>
          <w:rStyle w:val="Emphasis"/>
          <w:sz w:val="26"/>
          <w:szCs w:val="26"/>
        </w:rPr>
        <w:t xml:space="preserve">er – Chief Executive Officer of </w:t>
      </w:r>
      <w:r w:rsidR="00C726B0" w:rsidRPr="00A83FAC">
        <w:rPr>
          <w:rStyle w:val="Emphasis"/>
          <w:sz w:val="26"/>
          <w:szCs w:val="26"/>
        </w:rPr>
        <w:t>WorkCover WA</w:t>
      </w:r>
      <w:r w:rsidR="00A83FAC" w:rsidRPr="00A83FAC">
        <w:rPr>
          <w:rStyle w:val="Emphasis"/>
          <w:sz w:val="26"/>
          <w:szCs w:val="26"/>
        </w:rPr>
        <w:t>*</w:t>
      </w:r>
    </w:p>
    <w:p w14:paraId="305D874C" w14:textId="6D51B202" w:rsidR="00147D5A" w:rsidRPr="001C5A3C" w:rsidRDefault="002E7B52" w:rsidP="00147D5A">
      <w:pPr>
        <w:rPr>
          <w:lang w:val="en-US"/>
        </w:rPr>
      </w:pPr>
      <w:r w:rsidRPr="00611F31">
        <w:rPr>
          <w:b/>
        </w:rPr>
        <w:t>Michelle Reynolds</w:t>
      </w:r>
      <w:r w:rsidRPr="00611F31">
        <w:t xml:space="preserve"> </w:t>
      </w:r>
      <w:r w:rsidR="009243E9">
        <w:t xml:space="preserve">has served as </w:t>
      </w:r>
      <w:r w:rsidRPr="004234A5">
        <w:t xml:space="preserve">Chief Executive Officer of </w:t>
      </w:r>
      <w:r w:rsidR="00C726B0">
        <w:t>WorkCover WA</w:t>
      </w:r>
      <w:r w:rsidRPr="004234A5">
        <w:t xml:space="preserve"> </w:t>
      </w:r>
      <w:r w:rsidR="009243E9">
        <w:t>since</w:t>
      </w:r>
      <w:r w:rsidRPr="004234A5">
        <w:t xml:space="preserve"> 25 December 2008. </w:t>
      </w:r>
      <w:r w:rsidR="00823004">
        <w:t xml:space="preserve">Since commencing in the role, Ms Reynolds </w:t>
      </w:r>
      <w:r w:rsidR="00823004" w:rsidRPr="004234A5">
        <w:t>has</w:t>
      </w:r>
      <w:r w:rsidRPr="004234A5">
        <w:t xml:space="preserve"> been successful in delivering a legislative reform agenda which has resulted in the abolition o</w:t>
      </w:r>
      <w:r w:rsidR="00A05E86">
        <w:t>f age restrictions in the </w:t>
      </w:r>
      <w:r w:rsidR="00A05E86" w:rsidRPr="00A05E86">
        <w:t>Act</w:t>
      </w:r>
      <w:r w:rsidRPr="00A05E86">
        <w:t xml:space="preserve"> </w:t>
      </w:r>
      <w:r w:rsidRPr="004234A5">
        <w:t xml:space="preserve">along with other progressive changes. </w:t>
      </w:r>
      <w:r w:rsidR="00823004">
        <w:t>Ms Reynolds</w:t>
      </w:r>
      <w:r w:rsidRPr="004234A5">
        <w:t xml:space="preserve"> has </w:t>
      </w:r>
      <w:r w:rsidR="009243E9">
        <w:t>30 years</w:t>
      </w:r>
      <w:r w:rsidR="009243E9" w:rsidRPr="004234A5">
        <w:t>’ experience</w:t>
      </w:r>
      <w:r w:rsidRPr="004234A5">
        <w:t xml:space="preserve"> in the Western Australian public sector, the past 1</w:t>
      </w:r>
      <w:r w:rsidR="009243E9">
        <w:t>4 </w:t>
      </w:r>
      <w:r w:rsidRPr="004234A5">
        <w:t>years in senior executive roles and has played a key role in shaping public sector management policy. M</w:t>
      </w:r>
      <w:r w:rsidR="00823004">
        <w:t>s Reynolds</w:t>
      </w:r>
      <w:r w:rsidRPr="004234A5">
        <w:t xml:space="preserve"> has a Bachelor of Arts </w:t>
      </w:r>
      <w:r w:rsidRPr="001C5A3C">
        <w:t>and a Masters of Business Administration (University of Western Australia).</w:t>
      </w:r>
    </w:p>
    <w:p w14:paraId="0F1C4B99" w14:textId="12BD8040" w:rsidR="00147D5A" w:rsidRDefault="00147D5A" w:rsidP="00147D5A">
      <w:pPr>
        <w:rPr>
          <w:lang w:val="en-US"/>
        </w:rPr>
      </w:pPr>
      <w:r w:rsidRPr="001C5A3C">
        <w:rPr>
          <w:lang w:val="en-US"/>
        </w:rPr>
        <w:t>*</w:t>
      </w:r>
      <w:r w:rsidR="00430D51" w:rsidRPr="001C5A3C">
        <w:rPr>
          <w:lang w:val="en-US"/>
        </w:rPr>
        <w:t>From 1 July 2014 t</w:t>
      </w:r>
      <w:r w:rsidR="00430D51" w:rsidRPr="0018005D">
        <w:rPr>
          <w:lang w:val="en-US"/>
        </w:rPr>
        <w:t xml:space="preserve">o </w:t>
      </w:r>
      <w:r w:rsidR="00A84639" w:rsidRPr="00A84639">
        <w:t>11 October</w:t>
      </w:r>
      <w:r w:rsidRPr="00A84639">
        <w:t xml:space="preserve"> </w:t>
      </w:r>
      <w:r w:rsidR="00430D51" w:rsidRPr="001C5A3C">
        <w:rPr>
          <w:lang w:val="en-US"/>
        </w:rPr>
        <w:t xml:space="preserve">2014 </w:t>
      </w:r>
      <w:r w:rsidRPr="001C5A3C">
        <w:rPr>
          <w:rStyle w:val="Strong"/>
        </w:rPr>
        <w:t>Chris White</w:t>
      </w:r>
      <w:r w:rsidRPr="001C5A3C">
        <w:rPr>
          <w:lang w:val="en-US"/>
        </w:rPr>
        <w:t xml:space="preserve">, </w:t>
      </w:r>
      <w:r w:rsidR="00C726B0">
        <w:rPr>
          <w:lang w:val="en-US"/>
        </w:rPr>
        <w:t>WorkCover WA</w:t>
      </w:r>
      <w:r w:rsidRPr="001C5A3C">
        <w:rPr>
          <w:lang w:val="en-US"/>
        </w:rPr>
        <w:t xml:space="preserve">'s General Manager of Legislation and Scheme Information, was </w:t>
      </w:r>
      <w:r w:rsidR="00B10799">
        <w:rPr>
          <w:lang w:val="en-US"/>
        </w:rPr>
        <w:t xml:space="preserve">the </w:t>
      </w:r>
      <w:r w:rsidRPr="001C5A3C">
        <w:rPr>
          <w:lang w:val="en-US"/>
        </w:rPr>
        <w:t xml:space="preserve">Acting Chief Executive Officer of </w:t>
      </w:r>
      <w:r w:rsidR="00C726B0">
        <w:rPr>
          <w:lang w:val="en-US"/>
        </w:rPr>
        <w:t>WorkCover WA</w:t>
      </w:r>
      <w:r w:rsidRPr="001C5A3C">
        <w:rPr>
          <w:lang w:val="en-US"/>
        </w:rPr>
        <w:t xml:space="preserve"> whilst </w:t>
      </w:r>
      <w:r w:rsidR="00412B95" w:rsidRPr="001C5A3C">
        <w:rPr>
          <w:lang w:val="en-US"/>
        </w:rPr>
        <w:t>Ms </w:t>
      </w:r>
      <w:r w:rsidRPr="001C5A3C">
        <w:rPr>
          <w:lang w:val="en-US"/>
        </w:rPr>
        <w:t>Reynolds was seconded to the Department of</w:t>
      </w:r>
      <w:r w:rsidR="00B12D62" w:rsidRPr="001C5A3C">
        <w:rPr>
          <w:lang w:val="en-US"/>
        </w:rPr>
        <w:t xml:space="preserve"> the</w:t>
      </w:r>
      <w:r w:rsidRPr="001C5A3C">
        <w:rPr>
          <w:lang w:val="en-US"/>
        </w:rPr>
        <w:t xml:space="preserve"> Premier and Cabinet.</w:t>
      </w:r>
      <w:r w:rsidR="00A83FAC" w:rsidRPr="00A83FAC">
        <w:rPr>
          <w:lang w:val="en-US"/>
        </w:rPr>
        <w:t xml:space="preserve"> Mr White’s profile is available in the Senior Officers section on </w:t>
      </w:r>
      <w:r w:rsidR="007F62E7" w:rsidRPr="007F62E7">
        <w:rPr>
          <w:lang w:val="en-US"/>
        </w:rPr>
        <w:t>page 32</w:t>
      </w:r>
      <w:r w:rsidR="00A83FAC" w:rsidRPr="007F62E7">
        <w:rPr>
          <w:lang w:val="en-US"/>
        </w:rPr>
        <w:t>.</w:t>
      </w:r>
    </w:p>
    <w:p w14:paraId="74C98EED" w14:textId="77777777" w:rsidR="00A83FAC" w:rsidRPr="00A83FAC" w:rsidRDefault="00A83FAC" w:rsidP="004D5253">
      <w:pPr>
        <w:rPr>
          <w:rStyle w:val="Emphasis"/>
          <w:sz w:val="26"/>
          <w:szCs w:val="26"/>
        </w:rPr>
      </w:pPr>
      <w:r w:rsidRPr="00A83FAC">
        <w:rPr>
          <w:rStyle w:val="Emphasis"/>
          <w:sz w:val="26"/>
          <w:szCs w:val="26"/>
        </w:rPr>
        <w:t>Member – Chief Executive Officer of the Department of the Public Service of the State principally assisting the Minister charged with the administration of the Occupational Safety and Health Act 1984</w:t>
      </w:r>
    </w:p>
    <w:p w14:paraId="78E0B592" w14:textId="737CFE93" w:rsidR="00455687" w:rsidRDefault="00455687" w:rsidP="004D5253">
      <w:pPr>
        <w:rPr>
          <w:lang w:val="en-US"/>
        </w:rPr>
      </w:pPr>
      <w:r w:rsidRPr="004F2368">
        <w:rPr>
          <w:rStyle w:val="Strong"/>
          <w:lang w:val="en-US"/>
        </w:rPr>
        <w:t>Brian Bradley</w:t>
      </w:r>
      <w:r w:rsidRPr="00455687">
        <w:rPr>
          <w:lang w:val="en-US"/>
        </w:rPr>
        <w:t xml:space="preserve"> PSM is the Director General of the Department of Commerce. He served as Chairman of the former Workers' Compensation and Rehabilitation Commission from 2000 to 2005, and was the Western Australian member of the Australian Safety and Compensation Council from 2005 to April 2009. </w:t>
      </w:r>
      <w:r w:rsidR="00147D5A">
        <w:rPr>
          <w:lang w:val="en-US"/>
        </w:rPr>
        <w:t>Mr Bradley</w:t>
      </w:r>
      <w:r w:rsidRPr="00455687">
        <w:rPr>
          <w:lang w:val="en-US"/>
        </w:rPr>
        <w:t xml:space="preserve"> is currently the Deputy Chair of the Western Australian Commission for Occupational Safety and Health, Western Australian member of Safe Work Australia and a member of the Legal Aid Commission.</w:t>
      </w:r>
    </w:p>
    <w:p w14:paraId="13BC4FFD" w14:textId="46E3ED99" w:rsidR="00A83FAC" w:rsidRDefault="00A83FAC" w:rsidP="004F2368">
      <w:pPr>
        <w:rPr>
          <w:rStyle w:val="Emphasis"/>
          <w:sz w:val="26"/>
          <w:szCs w:val="26"/>
        </w:rPr>
      </w:pPr>
      <w:r w:rsidRPr="00A83FAC">
        <w:rPr>
          <w:rStyle w:val="Emphasis"/>
          <w:sz w:val="26"/>
          <w:szCs w:val="26"/>
        </w:rPr>
        <w:t>Member – Expe</w:t>
      </w:r>
      <w:r w:rsidR="003A59A2">
        <w:rPr>
          <w:rStyle w:val="Emphasis"/>
          <w:sz w:val="26"/>
          <w:szCs w:val="26"/>
        </w:rPr>
        <w:t>rienced in employers' interests</w:t>
      </w:r>
    </w:p>
    <w:p w14:paraId="7DD50F3B" w14:textId="1EEF3146" w:rsidR="006A080B" w:rsidRDefault="002E7B52" w:rsidP="004F2368">
      <w:r w:rsidRPr="00BE4B6A">
        <w:rPr>
          <w:b/>
        </w:rPr>
        <w:t>Karin Lee</w:t>
      </w:r>
      <w:r w:rsidRPr="00BE4B6A">
        <w:t xml:space="preserve"> was appointed a member of the </w:t>
      </w:r>
      <w:r w:rsidR="00C726B0">
        <w:t>WorkCover WA</w:t>
      </w:r>
      <w:r w:rsidRPr="00BE4B6A">
        <w:t xml:space="preserve"> Board on 22 February 2011, and was reappointed for a further three years from 4 January 2014. Ms Lee is the Manager Safety and Risk Services at the WA Chamber of Commerce and Industry. Ms Lee has over 15 years of experience in the area of workers’ compensation and has previously worked at Allianz Insurance and WorkCover QLD, and in personal injury litigation matters. Ms Lee holds a Bachelor of Laws and a Graduate Certificate in Case Management (Rehabilitation) and is a graduate of the Australian Institute of Company Directors. Ms Lee is a member of the WA Commission for Occupational Safety and Health.</w:t>
      </w:r>
    </w:p>
    <w:p w14:paraId="2B82AD50" w14:textId="0774EDD8" w:rsidR="00A83FAC" w:rsidRDefault="00A83FAC" w:rsidP="006156C8">
      <w:pPr>
        <w:rPr>
          <w:rStyle w:val="Emphasis"/>
          <w:sz w:val="26"/>
          <w:szCs w:val="26"/>
        </w:rPr>
      </w:pPr>
      <w:r w:rsidRPr="00A83FAC">
        <w:rPr>
          <w:rStyle w:val="Emphasis"/>
          <w:sz w:val="26"/>
          <w:szCs w:val="26"/>
        </w:rPr>
        <w:t>Member – Experienced in insurance</w:t>
      </w:r>
      <w:r w:rsidR="003A59A2">
        <w:rPr>
          <w:rStyle w:val="Emphasis"/>
          <w:sz w:val="26"/>
          <w:szCs w:val="26"/>
        </w:rPr>
        <w:t xml:space="preserve"> matters</w:t>
      </w:r>
    </w:p>
    <w:p w14:paraId="7626E5E4" w14:textId="4DA4C889" w:rsidR="007E2369" w:rsidRDefault="006156C8" w:rsidP="006156C8">
      <w:pPr>
        <w:rPr>
          <w:lang w:val="en-US"/>
        </w:rPr>
      </w:pPr>
      <w:r w:rsidRPr="00EA4221">
        <w:rPr>
          <w:rStyle w:val="Strong"/>
          <w:lang w:val="en-US"/>
        </w:rPr>
        <w:lastRenderedPageBreak/>
        <w:t>Steven Burns</w:t>
      </w:r>
      <w:r w:rsidRPr="00EA4221">
        <w:rPr>
          <w:lang w:val="en-US"/>
        </w:rPr>
        <w:t xml:space="preserve"> was appointed a member of the </w:t>
      </w:r>
      <w:r w:rsidR="00C726B0">
        <w:rPr>
          <w:lang w:val="en-US"/>
        </w:rPr>
        <w:t>WorkCover WA</w:t>
      </w:r>
      <w:r w:rsidRPr="00EA4221">
        <w:rPr>
          <w:lang w:val="en-US"/>
        </w:rPr>
        <w:t xml:space="preserve"> Board </w:t>
      </w:r>
      <w:r w:rsidRPr="004D5253">
        <w:rPr>
          <w:lang w:val="en-US"/>
        </w:rPr>
        <w:t>on 1 Octo</w:t>
      </w:r>
      <w:r w:rsidR="00B10799">
        <w:rPr>
          <w:lang w:val="en-US"/>
        </w:rPr>
        <w:t xml:space="preserve">ber 2013, for a three year term. </w:t>
      </w:r>
      <w:r>
        <w:rPr>
          <w:lang w:val="en-US"/>
        </w:rPr>
        <w:t>Mr Burns</w:t>
      </w:r>
      <w:r w:rsidRPr="004D5253">
        <w:rPr>
          <w:lang w:val="en-US"/>
        </w:rPr>
        <w:t xml:space="preserve"> is a member of QBE Australia’s national workers’ compensation leadership team</w:t>
      </w:r>
      <w:r>
        <w:rPr>
          <w:lang w:val="en-US"/>
        </w:rPr>
        <w:t>. Mr Burns</w:t>
      </w:r>
      <w:r w:rsidRPr="004D5253">
        <w:rPr>
          <w:lang w:val="en-US"/>
        </w:rPr>
        <w:t xml:space="preserve"> joined the insurance industry in 1993</w:t>
      </w:r>
      <w:r>
        <w:rPr>
          <w:lang w:val="en-US"/>
        </w:rPr>
        <w:t xml:space="preserve"> and has held</w:t>
      </w:r>
      <w:r w:rsidRPr="004D5253">
        <w:rPr>
          <w:lang w:val="en-US"/>
        </w:rPr>
        <w:t xml:space="preserve"> general management and product management responsibility in Tasmania, Northern Territory, Western Australia, ACT and New Zealand.</w:t>
      </w:r>
    </w:p>
    <w:p w14:paraId="0413D3C3" w14:textId="77777777" w:rsidR="00A83FAC" w:rsidRPr="002C4E0E" w:rsidRDefault="00A83FAC" w:rsidP="006156C8">
      <w:pPr>
        <w:rPr>
          <w:rStyle w:val="Emphasis"/>
          <w:sz w:val="26"/>
          <w:szCs w:val="26"/>
        </w:rPr>
      </w:pPr>
      <w:r w:rsidRPr="002C4E0E">
        <w:rPr>
          <w:rStyle w:val="Emphasis"/>
          <w:sz w:val="26"/>
          <w:szCs w:val="26"/>
        </w:rPr>
        <w:t>Member – Experienced in workers' interests</w:t>
      </w:r>
    </w:p>
    <w:p w14:paraId="51FF72B9" w14:textId="58048F59" w:rsidR="006156C8" w:rsidRPr="002E7B52" w:rsidRDefault="002E7B52" w:rsidP="006156C8">
      <w:pPr>
        <w:rPr>
          <w:lang w:val="en-US"/>
        </w:rPr>
      </w:pPr>
      <w:r w:rsidRPr="002E7B52">
        <w:rPr>
          <w:b/>
        </w:rPr>
        <w:t>Owen Whittle</w:t>
      </w:r>
      <w:r w:rsidRPr="002E7B52">
        <w:t xml:space="preserve"> was appointed to the </w:t>
      </w:r>
      <w:r w:rsidR="00C726B0">
        <w:t>WorkCover WA</w:t>
      </w:r>
      <w:r w:rsidRPr="002E7B52">
        <w:t xml:space="preserve"> Board on 4 January 2014, and was reappointed for three years on 30 December 2014. Mr Whittle is currently the Assistant Secretary of UnionsWA,</w:t>
      </w:r>
      <w:r w:rsidR="003E5D45">
        <w:t xml:space="preserve"> </w:t>
      </w:r>
      <w:r w:rsidR="003A59A2">
        <w:t>with responsibility for</w:t>
      </w:r>
      <w:r w:rsidRPr="002E7B52">
        <w:t xml:space="preserve"> </w:t>
      </w:r>
      <w:r w:rsidR="00C726B0">
        <w:t>w</w:t>
      </w:r>
      <w:r w:rsidRPr="002E7B52">
        <w:t xml:space="preserve">orkers’ </w:t>
      </w:r>
      <w:r w:rsidR="00C726B0">
        <w:t>c</w:t>
      </w:r>
      <w:r w:rsidRPr="002E7B52">
        <w:t xml:space="preserve">ompensation and </w:t>
      </w:r>
      <w:r w:rsidR="00C726B0">
        <w:t>o</w:t>
      </w:r>
      <w:r w:rsidRPr="002E7B52">
        <w:t xml:space="preserve">ccupational </w:t>
      </w:r>
      <w:r w:rsidR="00C726B0">
        <w:t>h</w:t>
      </w:r>
      <w:r w:rsidRPr="002E7B52">
        <w:t xml:space="preserve">ealth and </w:t>
      </w:r>
      <w:r w:rsidR="00C726B0">
        <w:t>s</w:t>
      </w:r>
      <w:r w:rsidRPr="002E7B52">
        <w:t>afety matters. Mr Whittle was previously employed by the Australian Manufacturing Workers’ Union and is a member of the ACTU’s Occupational Health and Safety Committee.</w:t>
      </w:r>
    </w:p>
    <w:p w14:paraId="43B3A2CA" w14:textId="77777777" w:rsidR="00A83FAC" w:rsidRPr="002C4E0E" w:rsidRDefault="00A83FAC" w:rsidP="006156C8">
      <w:pPr>
        <w:rPr>
          <w:rStyle w:val="Emphasis"/>
          <w:sz w:val="26"/>
          <w:szCs w:val="26"/>
        </w:rPr>
      </w:pPr>
      <w:r w:rsidRPr="002C4E0E">
        <w:rPr>
          <w:rStyle w:val="Emphasis"/>
          <w:sz w:val="26"/>
          <w:szCs w:val="26"/>
        </w:rPr>
        <w:t>Member – Experienced in accounting and financial management</w:t>
      </w:r>
    </w:p>
    <w:p w14:paraId="06463072" w14:textId="25DE53E8" w:rsidR="006A080B" w:rsidRDefault="006156C8" w:rsidP="006156C8">
      <w:pPr>
        <w:rPr>
          <w:lang w:val="en-US"/>
        </w:rPr>
      </w:pPr>
      <w:r w:rsidRPr="00EA4221">
        <w:rPr>
          <w:rStyle w:val="Strong"/>
          <w:lang w:val="en-US"/>
        </w:rPr>
        <w:t>Victoria Wilmot</w:t>
      </w:r>
      <w:r w:rsidRPr="00EA4221">
        <w:rPr>
          <w:lang w:val="en-US"/>
        </w:rPr>
        <w:t xml:space="preserve"> was appointed to </w:t>
      </w:r>
      <w:r w:rsidR="00C726B0">
        <w:rPr>
          <w:lang w:val="en-US"/>
        </w:rPr>
        <w:t>WorkCover WA</w:t>
      </w:r>
      <w:r w:rsidRPr="00EA4221">
        <w:rPr>
          <w:lang w:val="en-US"/>
        </w:rPr>
        <w:t xml:space="preserve">’s Board on 4 January 2005, </w:t>
      </w:r>
      <w:r>
        <w:rPr>
          <w:lang w:val="en-US"/>
        </w:rPr>
        <w:t xml:space="preserve">and was </w:t>
      </w:r>
      <w:r w:rsidRPr="00EA4221">
        <w:rPr>
          <w:lang w:val="en-US"/>
        </w:rPr>
        <w:t>reappointed for a further three year</w:t>
      </w:r>
      <w:r>
        <w:rPr>
          <w:lang w:val="en-US"/>
        </w:rPr>
        <w:t xml:space="preserve"> term</w:t>
      </w:r>
      <w:r w:rsidRPr="00EA4221">
        <w:rPr>
          <w:lang w:val="en-US"/>
        </w:rPr>
        <w:t xml:space="preserve"> from 4 January 2014. She is</w:t>
      </w:r>
      <w:r>
        <w:rPr>
          <w:lang w:val="en-US"/>
        </w:rPr>
        <w:t xml:space="preserve"> </w:t>
      </w:r>
      <w:r w:rsidRPr="00EA4221">
        <w:rPr>
          <w:lang w:val="en-US"/>
        </w:rPr>
        <w:t xml:space="preserve">Deputy Director Financial Services at the University of Western Australia. </w:t>
      </w:r>
      <w:r>
        <w:rPr>
          <w:lang w:val="en-US"/>
        </w:rPr>
        <w:t>M</w:t>
      </w:r>
      <w:r w:rsidR="005D0F98">
        <w:rPr>
          <w:lang w:val="en-US"/>
        </w:rPr>
        <w:t>s</w:t>
      </w:r>
      <w:r w:rsidR="00823004">
        <w:rPr>
          <w:lang w:val="en-US"/>
        </w:rPr>
        <w:t xml:space="preserve"> </w:t>
      </w:r>
      <w:r>
        <w:rPr>
          <w:lang w:val="en-US"/>
        </w:rPr>
        <w:t xml:space="preserve">Wilmot </w:t>
      </w:r>
      <w:r w:rsidRPr="00EA4221">
        <w:rPr>
          <w:lang w:val="en-US"/>
        </w:rPr>
        <w:t xml:space="preserve">is a member of the Institute of Chartered Accountants (CA) in Australia, a Fellow of the Financial Services Institute of Australasia and </w:t>
      </w:r>
      <w:r>
        <w:rPr>
          <w:lang w:val="en-US"/>
        </w:rPr>
        <w:t>a member of</w:t>
      </w:r>
      <w:r w:rsidRPr="00EA4221">
        <w:rPr>
          <w:lang w:val="en-US"/>
        </w:rPr>
        <w:t xml:space="preserve"> the Board of the University Credit Society Ltd.</w:t>
      </w:r>
    </w:p>
    <w:p w14:paraId="445A2332" w14:textId="5D45AD37" w:rsidR="006A080B" w:rsidRDefault="00546571">
      <w:pPr>
        <w:keepLines w:val="0"/>
        <w:spacing w:after="0" w:line="240" w:lineRule="auto"/>
        <w:rPr>
          <w:lang w:val="en-US"/>
        </w:rPr>
      </w:pPr>
      <w:r>
        <w:rPr>
          <w:noProof/>
          <w:lang w:eastAsia="en-AU"/>
        </w:rPr>
        <w:drawing>
          <wp:anchor distT="0" distB="0" distL="114300" distR="114300" simplePos="0" relativeHeight="251713536" behindDoc="0" locked="0" layoutInCell="1" allowOverlap="1" wp14:anchorId="370522C0" wp14:editId="0F4A36AD">
            <wp:simplePos x="0" y="0"/>
            <wp:positionH relativeFrom="column">
              <wp:posOffset>2364828</wp:posOffset>
            </wp:positionH>
            <wp:positionV relativeFrom="page">
              <wp:posOffset>6832359</wp:posOffset>
            </wp:positionV>
            <wp:extent cx="6416040" cy="2842260"/>
            <wp:effectExtent l="0" t="0" r="3810" b="0"/>
            <wp:wrapSquare wrapText="bothSides"/>
            <wp:docPr id="23" name="Picture 23"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17" cstate="print">
                      <a:extLst>
                        <a:ext uri="{28A0092B-C50C-407E-A947-70E740481C1C}">
                          <a14:useLocalDpi xmlns:a14="http://schemas.microsoft.com/office/drawing/2010/main" val="0"/>
                        </a:ext>
                      </a:extLst>
                    </a:blip>
                    <a:srcRect t="39269" b="29401"/>
                    <a:stretch/>
                  </pic:blipFill>
                  <pic:spPr bwMode="auto">
                    <a:xfrm>
                      <a:off x="0" y="0"/>
                      <a:ext cx="6416040"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080B">
        <w:rPr>
          <w:lang w:val="en-US"/>
        </w:rPr>
        <w:br w:type="page"/>
      </w:r>
    </w:p>
    <w:tbl>
      <w:tblPr>
        <w:tblStyle w:val="TableGrid"/>
        <w:tblW w:w="0" w:type="auto"/>
        <w:tblInd w:w="108"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7 Board meeting attendance"/>
        <w:tblDescription w:val="Table 7 outlines board members and the number of meetings they attended during the financial year"/>
      </w:tblPr>
      <w:tblGrid>
        <w:gridCol w:w="2906"/>
        <w:gridCol w:w="3001"/>
        <w:gridCol w:w="3001"/>
      </w:tblGrid>
      <w:tr w:rsidR="00B06A38" w:rsidRPr="00EA4C48" w14:paraId="715E7BED" w14:textId="77777777" w:rsidTr="001E4E36">
        <w:trPr>
          <w:tblHeader/>
        </w:trPr>
        <w:tc>
          <w:tcPr>
            <w:tcW w:w="8908" w:type="dxa"/>
            <w:gridSpan w:val="3"/>
            <w:shd w:val="clear" w:color="auto" w:fill="3D5C57" w:themeFill="accent1"/>
          </w:tcPr>
          <w:p w14:paraId="4DBD4720" w14:textId="77777777" w:rsidR="00B06A38" w:rsidRPr="002F4B2B" w:rsidRDefault="00B06A38" w:rsidP="00FB20CF">
            <w:pPr>
              <w:rPr>
                <w:rStyle w:val="Strong"/>
              </w:rPr>
            </w:pPr>
            <w:r w:rsidRPr="000606BB">
              <w:rPr>
                <w:rStyle w:val="Strong"/>
                <w:color w:val="FFFFFF" w:themeColor="background1"/>
              </w:rPr>
              <w:lastRenderedPageBreak/>
              <w:t xml:space="preserve">Table </w:t>
            </w:r>
            <w:r w:rsidR="00FB20CF" w:rsidRPr="000606BB">
              <w:rPr>
                <w:rStyle w:val="Strong"/>
                <w:color w:val="FFFFFF" w:themeColor="background1"/>
              </w:rPr>
              <w:t>7</w:t>
            </w:r>
            <w:r w:rsidRPr="000606BB">
              <w:rPr>
                <w:rStyle w:val="Strong"/>
                <w:color w:val="FFFFFF" w:themeColor="background1"/>
              </w:rPr>
              <w:t>: Board meeting attendance</w:t>
            </w:r>
            <w:r w:rsidRPr="002F4B2B">
              <w:rPr>
                <w:rStyle w:val="Strong"/>
                <w:color w:val="FFFFFF" w:themeColor="background1"/>
              </w:rPr>
              <w:t xml:space="preserve"> </w:t>
            </w:r>
          </w:p>
        </w:tc>
      </w:tr>
      <w:tr w:rsidR="00F8631A" w:rsidRPr="00EA4C48" w14:paraId="04752233" w14:textId="77777777" w:rsidTr="001E4E36">
        <w:trPr>
          <w:trHeight w:val="707"/>
        </w:trPr>
        <w:tc>
          <w:tcPr>
            <w:tcW w:w="2906" w:type="dxa"/>
            <w:tcBorders>
              <w:bottom w:val="single" w:sz="4" w:space="0" w:color="BAD0CD" w:themeColor="accent5" w:themeShade="E6"/>
            </w:tcBorders>
            <w:shd w:val="clear" w:color="auto" w:fill="CEDFDC" w:themeFill="accent2" w:themeFillTint="33"/>
            <w:vAlign w:val="center"/>
          </w:tcPr>
          <w:p w14:paraId="50C5231D" w14:textId="77777777" w:rsidR="00F8631A" w:rsidRPr="003458C8" w:rsidRDefault="00F8631A" w:rsidP="003458C8">
            <w:pPr>
              <w:rPr>
                <w:rStyle w:val="Strong"/>
              </w:rPr>
            </w:pPr>
            <w:r w:rsidRPr="003458C8">
              <w:rPr>
                <w:rStyle w:val="Strong"/>
              </w:rPr>
              <w:t>Member</w:t>
            </w:r>
          </w:p>
        </w:tc>
        <w:tc>
          <w:tcPr>
            <w:tcW w:w="3001" w:type="dxa"/>
            <w:tcBorders>
              <w:bottom w:val="single" w:sz="4" w:space="0" w:color="BAD0CD" w:themeColor="accent5" w:themeShade="E6"/>
            </w:tcBorders>
            <w:shd w:val="clear" w:color="auto" w:fill="CEDFDC" w:themeFill="accent2" w:themeFillTint="33"/>
            <w:vAlign w:val="center"/>
          </w:tcPr>
          <w:p w14:paraId="35E0FEA8" w14:textId="77777777" w:rsidR="00F8631A" w:rsidRPr="003458C8" w:rsidRDefault="00F8631A" w:rsidP="003458C8">
            <w:pPr>
              <w:rPr>
                <w:rStyle w:val="Strong"/>
              </w:rPr>
            </w:pPr>
            <w:r w:rsidRPr="003458C8">
              <w:rPr>
                <w:rStyle w:val="Strong"/>
              </w:rPr>
              <w:t>Number of meetings eligible to attend</w:t>
            </w:r>
          </w:p>
        </w:tc>
        <w:tc>
          <w:tcPr>
            <w:tcW w:w="3001" w:type="dxa"/>
            <w:tcBorders>
              <w:bottom w:val="single" w:sz="4" w:space="0" w:color="BAD0CD" w:themeColor="accent5" w:themeShade="E6"/>
            </w:tcBorders>
            <w:shd w:val="clear" w:color="auto" w:fill="CEDFDC" w:themeFill="accent2" w:themeFillTint="33"/>
            <w:vAlign w:val="center"/>
          </w:tcPr>
          <w:p w14:paraId="139634D2" w14:textId="77777777" w:rsidR="00F8631A" w:rsidRPr="003458C8" w:rsidRDefault="00F8631A" w:rsidP="003458C8">
            <w:pPr>
              <w:rPr>
                <w:rStyle w:val="Strong"/>
              </w:rPr>
            </w:pPr>
            <w:r w:rsidRPr="003458C8">
              <w:rPr>
                <w:rStyle w:val="Strong"/>
              </w:rPr>
              <w:t>Number of meetings attended</w:t>
            </w:r>
          </w:p>
        </w:tc>
      </w:tr>
      <w:tr w:rsidR="00F8631A" w:rsidRPr="00EA4C48" w14:paraId="764CFE7C" w14:textId="77777777" w:rsidTr="001E4E36">
        <w:tc>
          <w:tcPr>
            <w:tcW w:w="2906" w:type="dxa"/>
            <w:tcBorders>
              <w:bottom w:val="single" w:sz="4" w:space="0" w:color="BAD0CD" w:themeColor="accent5" w:themeShade="E6"/>
              <w:right w:val="single" w:sz="4" w:space="0" w:color="BAD0CD" w:themeColor="accent5" w:themeShade="E6"/>
            </w:tcBorders>
            <w:shd w:val="clear" w:color="auto" w:fill="CEDFDC" w:themeFill="accent2" w:themeFillTint="33"/>
            <w:vAlign w:val="center"/>
          </w:tcPr>
          <w:p w14:paraId="1CADC410" w14:textId="77777777" w:rsidR="00F8631A" w:rsidRPr="009F0C14" w:rsidRDefault="00A87BD3" w:rsidP="009F0C14">
            <w:r w:rsidRPr="009F0C14">
              <w:t xml:space="preserve">Greg Joyce </w:t>
            </w:r>
            <w:r w:rsidR="00F8631A" w:rsidRPr="009F0C14">
              <w:t>(Chairman)</w:t>
            </w:r>
          </w:p>
        </w:tc>
        <w:tc>
          <w:tcPr>
            <w:tcW w:w="3001"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514762DE" w14:textId="24B28A8A" w:rsidR="00F8631A" w:rsidRPr="00C1050D" w:rsidRDefault="00C1050D" w:rsidP="00C1050D">
            <w:pPr>
              <w:rPr>
                <w:lang w:val="en-US"/>
              </w:rPr>
            </w:pPr>
            <w:r w:rsidRPr="00C1050D">
              <w:rPr>
                <w:lang w:val="en-US"/>
              </w:rPr>
              <w:t>10</w:t>
            </w:r>
          </w:p>
        </w:tc>
        <w:tc>
          <w:tcPr>
            <w:tcW w:w="3001" w:type="dxa"/>
            <w:tcBorders>
              <w:left w:val="single" w:sz="4" w:space="0" w:color="BAD0CD" w:themeColor="accent5" w:themeShade="E6"/>
              <w:bottom w:val="single" w:sz="4" w:space="0" w:color="BAD0CD" w:themeColor="accent5" w:themeShade="E6"/>
            </w:tcBorders>
            <w:vAlign w:val="center"/>
          </w:tcPr>
          <w:p w14:paraId="3AA8BC4F" w14:textId="70798D0C" w:rsidR="00F8631A" w:rsidRPr="00C1050D" w:rsidRDefault="00C1050D" w:rsidP="00C1050D">
            <w:pPr>
              <w:rPr>
                <w:lang w:val="en-US"/>
              </w:rPr>
            </w:pPr>
            <w:r w:rsidRPr="00C1050D">
              <w:rPr>
                <w:lang w:val="en-US"/>
              </w:rPr>
              <w:t>10</w:t>
            </w:r>
          </w:p>
        </w:tc>
      </w:tr>
      <w:tr w:rsidR="005A396D" w:rsidRPr="00EA4C48" w14:paraId="215FF7F6" w14:textId="77777777" w:rsidTr="001E4E36">
        <w:tc>
          <w:tcPr>
            <w:tcW w:w="2906"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CEDFDC" w:themeFill="accent2" w:themeFillTint="33"/>
            <w:vAlign w:val="center"/>
          </w:tcPr>
          <w:p w14:paraId="02CBC872" w14:textId="77777777" w:rsidR="005A396D" w:rsidRPr="009F0C14" w:rsidRDefault="005A396D" w:rsidP="005A396D">
            <w:r w:rsidRPr="009F0C14">
              <w:t>Brian Bradley</w:t>
            </w:r>
          </w:p>
        </w:tc>
        <w:tc>
          <w:tcPr>
            <w:tcW w:w="3001"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5ED57862" w14:textId="3BD16A33" w:rsidR="005A396D" w:rsidRPr="00C1050D" w:rsidRDefault="00C1050D" w:rsidP="00C1050D">
            <w:pPr>
              <w:rPr>
                <w:lang w:val="en-US"/>
              </w:rPr>
            </w:pPr>
            <w:r w:rsidRPr="00C1050D">
              <w:rPr>
                <w:lang w:val="en-US"/>
              </w:rPr>
              <w:t>10</w:t>
            </w:r>
          </w:p>
        </w:tc>
        <w:tc>
          <w:tcPr>
            <w:tcW w:w="3001" w:type="dxa"/>
            <w:tcBorders>
              <w:left w:val="single" w:sz="4" w:space="0" w:color="BAD0CD" w:themeColor="accent5" w:themeShade="E6"/>
              <w:bottom w:val="single" w:sz="4" w:space="0" w:color="BAD0CD" w:themeColor="accent5" w:themeShade="E6"/>
            </w:tcBorders>
            <w:vAlign w:val="center"/>
          </w:tcPr>
          <w:p w14:paraId="3E781F92" w14:textId="6BE3FECA" w:rsidR="005A396D" w:rsidRPr="00C1050D" w:rsidRDefault="00C1050D" w:rsidP="00C1050D">
            <w:pPr>
              <w:rPr>
                <w:lang w:val="en-US"/>
              </w:rPr>
            </w:pPr>
            <w:r w:rsidRPr="00C1050D">
              <w:rPr>
                <w:lang w:val="en-US"/>
              </w:rPr>
              <w:t>7</w:t>
            </w:r>
          </w:p>
        </w:tc>
      </w:tr>
      <w:tr w:rsidR="005A396D" w:rsidRPr="00EA4C48" w14:paraId="77F9E2B6" w14:textId="77777777" w:rsidTr="001E4E36">
        <w:tc>
          <w:tcPr>
            <w:tcW w:w="2906"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CEDFDC" w:themeFill="accent2" w:themeFillTint="33"/>
            <w:vAlign w:val="center"/>
          </w:tcPr>
          <w:p w14:paraId="7697687A" w14:textId="77777777" w:rsidR="005A396D" w:rsidRPr="009F0C14" w:rsidRDefault="005A396D" w:rsidP="005A396D">
            <w:r w:rsidRPr="009F0C14">
              <w:t>Karin Lee</w:t>
            </w:r>
          </w:p>
        </w:tc>
        <w:tc>
          <w:tcPr>
            <w:tcW w:w="3001"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298FF76C" w14:textId="0097A075" w:rsidR="005A396D" w:rsidRPr="00C1050D" w:rsidRDefault="00C1050D" w:rsidP="00C1050D">
            <w:pPr>
              <w:rPr>
                <w:lang w:val="en-US"/>
              </w:rPr>
            </w:pPr>
            <w:r w:rsidRPr="00C1050D">
              <w:rPr>
                <w:lang w:val="en-US"/>
              </w:rPr>
              <w:t>10</w:t>
            </w:r>
          </w:p>
        </w:tc>
        <w:tc>
          <w:tcPr>
            <w:tcW w:w="3001" w:type="dxa"/>
            <w:tcBorders>
              <w:left w:val="single" w:sz="4" w:space="0" w:color="BAD0CD" w:themeColor="accent5" w:themeShade="E6"/>
              <w:bottom w:val="single" w:sz="4" w:space="0" w:color="BAD0CD" w:themeColor="accent5" w:themeShade="E6"/>
            </w:tcBorders>
            <w:vAlign w:val="center"/>
          </w:tcPr>
          <w:p w14:paraId="1313C1AE" w14:textId="53F3675E" w:rsidR="005A396D" w:rsidRPr="00C1050D" w:rsidRDefault="00C1050D" w:rsidP="00C1050D">
            <w:pPr>
              <w:rPr>
                <w:lang w:val="en-US"/>
              </w:rPr>
            </w:pPr>
            <w:r w:rsidRPr="00C1050D">
              <w:rPr>
                <w:lang w:val="en-US"/>
              </w:rPr>
              <w:t>10</w:t>
            </w:r>
          </w:p>
        </w:tc>
      </w:tr>
      <w:tr w:rsidR="005A396D" w:rsidRPr="00EA4C48" w14:paraId="70DC8AE4" w14:textId="77777777" w:rsidTr="001E4E36">
        <w:tc>
          <w:tcPr>
            <w:tcW w:w="2906"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CEDFDC" w:themeFill="accent2" w:themeFillTint="33"/>
            <w:vAlign w:val="center"/>
          </w:tcPr>
          <w:p w14:paraId="3AA3E95D" w14:textId="77777777" w:rsidR="005A396D" w:rsidRPr="009F0C14" w:rsidRDefault="005A396D" w:rsidP="005A396D">
            <w:r w:rsidRPr="009F0C14">
              <w:t>Victoria Wilmot</w:t>
            </w:r>
          </w:p>
        </w:tc>
        <w:tc>
          <w:tcPr>
            <w:tcW w:w="3001"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3D3C59CB" w14:textId="20075743" w:rsidR="005A396D" w:rsidRPr="00C1050D" w:rsidRDefault="00C1050D" w:rsidP="00C1050D">
            <w:pPr>
              <w:rPr>
                <w:lang w:val="en-US"/>
              </w:rPr>
            </w:pPr>
            <w:r w:rsidRPr="00C1050D">
              <w:rPr>
                <w:lang w:val="en-US"/>
              </w:rPr>
              <w:t>10</w:t>
            </w:r>
          </w:p>
        </w:tc>
        <w:tc>
          <w:tcPr>
            <w:tcW w:w="3001" w:type="dxa"/>
            <w:tcBorders>
              <w:left w:val="single" w:sz="4" w:space="0" w:color="BAD0CD" w:themeColor="accent5" w:themeShade="E6"/>
              <w:bottom w:val="single" w:sz="4" w:space="0" w:color="BAD0CD" w:themeColor="accent5" w:themeShade="E6"/>
            </w:tcBorders>
            <w:vAlign w:val="center"/>
          </w:tcPr>
          <w:p w14:paraId="4F4DA5C0" w14:textId="54AB55BE" w:rsidR="005A396D" w:rsidRPr="00C1050D" w:rsidRDefault="00C1050D" w:rsidP="00C1050D">
            <w:pPr>
              <w:rPr>
                <w:lang w:val="en-US"/>
              </w:rPr>
            </w:pPr>
            <w:r w:rsidRPr="00C1050D">
              <w:rPr>
                <w:lang w:val="en-US"/>
              </w:rPr>
              <w:t>10</w:t>
            </w:r>
          </w:p>
        </w:tc>
      </w:tr>
      <w:tr w:rsidR="005A396D" w:rsidRPr="00EA4C48" w14:paraId="6DBFFEB6" w14:textId="77777777" w:rsidTr="001E4E36">
        <w:tc>
          <w:tcPr>
            <w:tcW w:w="2906"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CEDFDC" w:themeFill="accent2" w:themeFillTint="33"/>
            <w:vAlign w:val="center"/>
          </w:tcPr>
          <w:p w14:paraId="57C94C5B" w14:textId="77777777" w:rsidR="005A396D" w:rsidRPr="009F0C14" w:rsidRDefault="005A396D" w:rsidP="005A396D">
            <w:r w:rsidRPr="009F0C14">
              <w:t>Owen Whittle</w:t>
            </w:r>
          </w:p>
        </w:tc>
        <w:tc>
          <w:tcPr>
            <w:tcW w:w="3001"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60831EE4" w14:textId="452E65E2" w:rsidR="005A396D" w:rsidRPr="00C1050D" w:rsidRDefault="00C1050D" w:rsidP="00C1050D">
            <w:pPr>
              <w:rPr>
                <w:lang w:val="en-US"/>
              </w:rPr>
            </w:pPr>
            <w:r w:rsidRPr="00C1050D">
              <w:rPr>
                <w:lang w:val="en-US"/>
              </w:rPr>
              <w:t>10</w:t>
            </w:r>
          </w:p>
        </w:tc>
        <w:tc>
          <w:tcPr>
            <w:tcW w:w="3001" w:type="dxa"/>
            <w:tcBorders>
              <w:left w:val="single" w:sz="4" w:space="0" w:color="BAD0CD" w:themeColor="accent5" w:themeShade="E6"/>
              <w:bottom w:val="single" w:sz="4" w:space="0" w:color="BAD0CD" w:themeColor="accent5" w:themeShade="E6"/>
            </w:tcBorders>
            <w:vAlign w:val="center"/>
          </w:tcPr>
          <w:p w14:paraId="2144F6E2" w14:textId="4C0540E6" w:rsidR="005A396D" w:rsidRPr="00C1050D" w:rsidRDefault="00C1050D" w:rsidP="00C1050D">
            <w:pPr>
              <w:rPr>
                <w:lang w:val="en-US"/>
              </w:rPr>
            </w:pPr>
            <w:r w:rsidRPr="00C1050D">
              <w:rPr>
                <w:lang w:val="en-US"/>
              </w:rPr>
              <w:t>10</w:t>
            </w:r>
          </w:p>
        </w:tc>
      </w:tr>
      <w:tr w:rsidR="005A396D" w:rsidRPr="00EA4C48" w14:paraId="4AD842EF" w14:textId="77777777" w:rsidTr="001E4E36">
        <w:tc>
          <w:tcPr>
            <w:tcW w:w="2906"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CEDFDC" w:themeFill="accent2" w:themeFillTint="33"/>
            <w:vAlign w:val="center"/>
          </w:tcPr>
          <w:p w14:paraId="799B784F" w14:textId="77777777" w:rsidR="005A396D" w:rsidRPr="009F0C14" w:rsidRDefault="005A396D" w:rsidP="005A396D">
            <w:r w:rsidRPr="009F0C14">
              <w:t>Steven Burns</w:t>
            </w:r>
          </w:p>
        </w:tc>
        <w:tc>
          <w:tcPr>
            <w:tcW w:w="3001"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5C6379FD" w14:textId="7CDCFEF8" w:rsidR="005A396D" w:rsidRPr="00C1050D" w:rsidRDefault="00C1050D" w:rsidP="00C1050D">
            <w:pPr>
              <w:rPr>
                <w:lang w:val="en-US"/>
              </w:rPr>
            </w:pPr>
            <w:r w:rsidRPr="00C1050D">
              <w:rPr>
                <w:lang w:val="en-US"/>
              </w:rPr>
              <w:t>10</w:t>
            </w:r>
          </w:p>
        </w:tc>
        <w:tc>
          <w:tcPr>
            <w:tcW w:w="3001" w:type="dxa"/>
            <w:tcBorders>
              <w:left w:val="single" w:sz="4" w:space="0" w:color="BAD0CD" w:themeColor="accent5" w:themeShade="E6"/>
              <w:bottom w:val="single" w:sz="4" w:space="0" w:color="BAD0CD" w:themeColor="accent5" w:themeShade="E6"/>
            </w:tcBorders>
            <w:vAlign w:val="center"/>
          </w:tcPr>
          <w:p w14:paraId="6F4BD286" w14:textId="5639A788" w:rsidR="005A396D" w:rsidRPr="00C1050D" w:rsidRDefault="00C1050D" w:rsidP="00C1050D">
            <w:pPr>
              <w:rPr>
                <w:lang w:val="en-US"/>
              </w:rPr>
            </w:pPr>
            <w:r w:rsidRPr="00C1050D">
              <w:rPr>
                <w:lang w:val="en-US"/>
              </w:rPr>
              <w:t>7</w:t>
            </w:r>
          </w:p>
        </w:tc>
      </w:tr>
      <w:tr w:rsidR="005A396D" w:rsidRPr="00EA4C48" w14:paraId="7D37F6DD" w14:textId="77777777" w:rsidTr="001E4E36">
        <w:tc>
          <w:tcPr>
            <w:tcW w:w="2906" w:type="dxa"/>
            <w:tcBorders>
              <w:top w:val="single" w:sz="4" w:space="0" w:color="BAD0CD" w:themeColor="accent5" w:themeShade="E6"/>
              <w:right w:val="single" w:sz="4" w:space="0" w:color="BAD0CD" w:themeColor="accent5" w:themeShade="E6"/>
            </w:tcBorders>
            <w:shd w:val="clear" w:color="auto" w:fill="CEDFDC" w:themeFill="accent2" w:themeFillTint="33"/>
            <w:vAlign w:val="center"/>
          </w:tcPr>
          <w:p w14:paraId="658CA629" w14:textId="77777777" w:rsidR="005A396D" w:rsidRDefault="005A396D" w:rsidP="005A396D">
            <w:r w:rsidRPr="009F0C14">
              <w:t>Chris White</w:t>
            </w:r>
          </w:p>
          <w:p w14:paraId="5FCF5CD7" w14:textId="77777777" w:rsidR="005A396D" w:rsidRPr="009F0C14" w:rsidRDefault="005A396D" w:rsidP="005A396D">
            <w:r>
              <w:t>Michelle Reynolds</w:t>
            </w:r>
          </w:p>
        </w:tc>
        <w:tc>
          <w:tcPr>
            <w:tcW w:w="3001"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66077A68" w14:textId="77777777" w:rsidR="005A396D" w:rsidRPr="00C1050D" w:rsidRDefault="00C1050D" w:rsidP="00C1050D">
            <w:pPr>
              <w:rPr>
                <w:lang w:val="en-US"/>
              </w:rPr>
            </w:pPr>
            <w:r w:rsidRPr="00C1050D">
              <w:rPr>
                <w:lang w:val="en-US"/>
              </w:rPr>
              <w:t>2</w:t>
            </w:r>
          </w:p>
          <w:p w14:paraId="31299E2A" w14:textId="47EFD135" w:rsidR="00C1050D" w:rsidRPr="00C1050D" w:rsidRDefault="00C1050D" w:rsidP="00C1050D">
            <w:pPr>
              <w:rPr>
                <w:lang w:val="en-US"/>
              </w:rPr>
            </w:pPr>
            <w:r w:rsidRPr="00C1050D">
              <w:rPr>
                <w:lang w:val="en-US"/>
              </w:rPr>
              <w:t>8</w:t>
            </w:r>
          </w:p>
        </w:tc>
        <w:tc>
          <w:tcPr>
            <w:tcW w:w="3001" w:type="dxa"/>
            <w:tcBorders>
              <w:left w:val="single" w:sz="4" w:space="0" w:color="BAD0CD" w:themeColor="accent5" w:themeShade="E6"/>
              <w:bottom w:val="single" w:sz="4" w:space="0" w:color="BAD0CD" w:themeColor="accent5" w:themeShade="E6"/>
            </w:tcBorders>
            <w:vAlign w:val="center"/>
          </w:tcPr>
          <w:p w14:paraId="6D58F03D" w14:textId="77777777" w:rsidR="005A396D" w:rsidRPr="00C1050D" w:rsidRDefault="00C1050D" w:rsidP="00C1050D">
            <w:pPr>
              <w:rPr>
                <w:lang w:val="en-US"/>
              </w:rPr>
            </w:pPr>
            <w:r w:rsidRPr="00C1050D">
              <w:rPr>
                <w:lang w:val="en-US"/>
              </w:rPr>
              <w:t>2</w:t>
            </w:r>
          </w:p>
          <w:p w14:paraId="24A586FA" w14:textId="4BD92FB1" w:rsidR="00C1050D" w:rsidRPr="00C1050D" w:rsidRDefault="00C1050D" w:rsidP="00C1050D">
            <w:pPr>
              <w:rPr>
                <w:lang w:val="en-US"/>
              </w:rPr>
            </w:pPr>
            <w:r w:rsidRPr="00C1050D">
              <w:rPr>
                <w:lang w:val="en-US"/>
              </w:rPr>
              <w:t>8</w:t>
            </w:r>
          </w:p>
        </w:tc>
      </w:tr>
    </w:tbl>
    <w:p w14:paraId="7E4A4015" w14:textId="68660589" w:rsidR="00AE191E" w:rsidRDefault="00AE191E" w:rsidP="00774708">
      <w:pPr>
        <w:pStyle w:val="Heading2nonumber"/>
        <w:rPr>
          <w:lang w:val="en-US"/>
        </w:rPr>
      </w:pPr>
      <w:bookmarkStart w:id="80" w:name="_Toc399316922"/>
      <w:bookmarkStart w:id="81" w:name="_Toc426617413"/>
      <w:bookmarkStart w:id="82" w:name="_Toc430091135"/>
      <w:r>
        <w:rPr>
          <w:lang w:val="en-US"/>
        </w:rPr>
        <w:t>Senior Officers</w:t>
      </w:r>
      <w:bookmarkEnd w:id="80"/>
      <w:bookmarkEnd w:id="81"/>
      <w:bookmarkEnd w:id="82"/>
    </w:p>
    <w:p w14:paraId="0189678F" w14:textId="28D7E046" w:rsidR="00F31107" w:rsidRPr="00F31107" w:rsidRDefault="007950ED" w:rsidP="00F31107">
      <w:pPr>
        <w:rPr>
          <w:lang w:val="en-US"/>
        </w:rPr>
      </w:pPr>
      <w:r w:rsidRPr="00BE4B6A">
        <w:t xml:space="preserve">The Corporate Executive is </w:t>
      </w:r>
      <w:r w:rsidR="00C726B0">
        <w:t>WorkCover WA</w:t>
      </w:r>
      <w:r w:rsidRPr="00BE4B6A">
        <w:t>’s senior management team. The Corporate Executive team met monthly during 2014/15</w:t>
      </w:r>
      <w:r w:rsidR="00384DDD">
        <w:t>.</w:t>
      </w:r>
    </w:p>
    <w:p w14:paraId="0F568B3B" w14:textId="77777777" w:rsidR="00F87538" w:rsidRPr="00F04B90" w:rsidRDefault="007950ED" w:rsidP="00664937">
      <w:pPr>
        <w:pStyle w:val="Heading4colour"/>
      </w:pPr>
      <w:r w:rsidRPr="00F04B90">
        <w:t>Chief Executive Officer *</w:t>
      </w:r>
    </w:p>
    <w:p w14:paraId="06280558" w14:textId="022E6E2B" w:rsidR="00F87538" w:rsidRDefault="007950ED" w:rsidP="00F87538">
      <w:r w:rsidRPr="007950ED">
        <w:rPr>
          <w:b/>
        </w:rPr>
        <w:t>Michelle Reynolds</w:t>
      </w:r>
      <w:r w:rsidRPr="004234A5">
        <w:t xml:space="preserve"> has been successful in delivering a legislative reform agenda which has resulted in the aboli</w:t>
      </w:r>
      <w:r w:rsidR="00A05E86">
        <w:t xml:space="preserve">tion of age restrictions in the Act </w:t>
      </w:r>
      <w:r w:rsidRPr="004234A5">
        <w:t>along with other progressive changes. M</w:t>
      </w:r>
      <w:r w:rsidR="00823004">
        <w:t xml:space="preserve">s Reynolds </w:t>
      </w:r>
      <w:r w:rsidRPr="004234A5">
        <w:t xml:space="preserve">has </w:t>
      </w:r>
      <w:r w:rsidR="009243E9">
        <w:t>30 years</w:t>
      </w:r>
      <w:r w:rsidR="009243E9" w:rsidRPr="004234A5">
        <w:t>’ experience</w:t>
      </w:r>
      <w:r w:rsidRPr="004234A5">
        <w:t xml:space="preserve"> in the Western Australian public sector, the past 1</w:t>
      </w:r>
      <w:r w:rsidR="009243E9">
        <w:t>4</w:t>
      </w:r>
      <w:r w:rsidRPr="004234A5">
        <w:t xml:space="preserve"> years in senior executive roles. M</w:t>
      </w:r>
      <w:r w:rsidR="00823004">
        <w:t xml:space="preserve">s Reynolds </w:t>
      </w:r>
      <w:r w:rsidRPr="004234A5">
        <w:t>has a Bachelor of Arts and a Mast</w:t>
      </w:r>
      <w:r w:rsidR="00CF60D5">
        <w:t xml:space="preserve">ers of Business Administration from </w:t>
      </w:r>
      <w:r w:rsidRPr="004234A5">
        <w:t>University of Western Austra</w:t>
      </w:r>
      <w:r w:rsidR="00CF60D5">
        <w:t>lia.</w:t>
      </w:r>
    </w:p>
    <w:p w14:paraId="675E5AA2" w14:textId="2E852004" w:rsidR="007950ED" w:rsidRDefault="007950ED" w:rsidP="003A59A2">
      <w:pPr>
        <w:pStyle w:val="BasicParagraph"/>
        <w:suppressAutoHyphens/>
        <w:ind w:right="113"/>
        <w:rPr>
          <w:rFonts w:ascii="Arial" w:hAnsi="Arial" w:cs="Arial"/>
          <w:color w:val="auto"/>
        </w:rPr>
      </w:pPr>
      <w:r w:rsidRPr="00823004">
        <w:rPr>
          <w:rFonts w:ascii="Arial" w:hAnsi="Arial" w:cs="Arial"/>
        </w:rPr>
        <w:t xml:space="preserve">*Mr Chris White was </w:t>
      </w:r>
      <w:r w:rsidR="00B10799">
        <w:rPr>
          <w:rFonts w:ascii="Arial" w:hAnsi="Arial" w:cs="Arial"/>
        </w:rPr>
        <w:t xml:space="preserve">the </w:t>
      </w:r>
      <w:r w:rsidRPr="00823004">
        <w:rPr>
          <w:rFonts w:ascii="Arial" w:hAnsi="Arial" w:cs="Arial"/>
        </w:rPr>
        <w:t xml:space="preserve">Acting Chief Executive Officer from 1 July 2014 to </w:t>
      </w:r>
      <w:r w:rsidR="002C4E0E">
        <w:rPr>
          <w:rFonts w:ascii="Arial" w:hAnsi="Arial" w:cs="Arial"/>
          <w:color w:val="auto"/>
        </w:rPr>
        <w:t>11 </w:t>
      </w:r>
      <w:r w:rsidR="00A84639" w:rsidRPr="00823004">
        <w:rPr>
          <w:rFonts w:ascii="Arial" w:hAnsi="Arial" w:cs="Arial"/>
          <w:color w:val="auto"/>
        </w:rPr>
        <w:t>October 2014</w:t>
      </w:r>
      <w:r w:rsidRPr="00823004">
        <w:rPr>
          <w:rFonts w:ascii="Arial" w:hAnsi="Arial" w:cs="Arial"/>
          <w:color w:val="auto"/>
        </w:rPr>
        <w:t>.</w:t>
      </w:r>
    </w:p>
    <w:p w14:paraId="0EBF6598" w14:textId="77777777" w:rsidR="003A59A2" w:rsidRPr="003A59A2" w:rsidRDefault="003A59A2" w:rsidP="003A59A2">
      <w:pPr>
        <w:pStyle w:val="BasicParagraph"/>
        <w:suppressAutoHyphens/>
        <w:ind w:right="113"/>
        <w:rPr>
          <w:rFonts w:ascii="Arial" w:hAnsi="Arial" w:cs="Arial"/>
        </w:rPr>
      </w:pPr>
    </w:p>
    <w:p w14:paraId="29C7D6F7" w14:textId="77777777" w:rsidR="00BF436B" w:rsidRDefault="00BF436B" w:rsidP="00664937">
      <w:pPr>
        <w:pStyle w:val="Heading4colour"/>
      </w:pPr>
      <w:r w:rsidRPr="000E179D">
        <w:t xml:space="preserve">General Manager, </w:t>
      </w:r>
      <w:r>
        <w:t>Legislation and Scheme Information</w:t>
      </w:r>
    </w:p>
    <w:p w14:paraId="728E7A99" w14:textId="3C3B50F4" w:rsidR="00BF436B" w:rsidRDefault="00BF436B" w:rsidP="00BF436B">
      <w:r w:rsidRPr="00BF436B">
        <w:rPr>
          <w:b/>
        </w:rPr>
        <w:t>Chris White</w:t>
      </w:r>
      <w:r w:rsidRPr="00367BDE">
        <w:t xml:space="preserve"> is General Manager Legislation and Scheme Information and has more than 30 years’ experience in WA’s workers’ compensation and occupational safety and health policy. Mr White has held senior policy and management roles at both </w:t>
      </w:r>
      <w:r w:rsidR="00C726B0">
        <w:t>WorkCover WA</w:t>
      </w:r>
      <w:r w:rsidRPr="00367BDE">
        <w:t xml:space="preserve"> and WorkSafe. Mr White holds a Master of Arts (Public Policy) from Murdoch University.</w:t>
      </w:r>
    </w:p>
    <w:p w14:paraId="5F023A9D" w14:textId="6233B412" w:rsidR="00F87538" w:rsidRPr="000E179D" w:rsidRDefault="00F87538" w:rsidP="00664937">
      <w:pPr>
        <w:pStyle w:val="Heading4colour"/>
      </w:pPr>
      <w:r w:rsidRPr="000E179D">
        <w:lastRenderedPageBreak/>
        <w:t>General Manager, Conciliation and Arbitration Services; Director,</w:t>
      </w:r>
      <w:r w:rsidR="005A396D">
        <w:t xml:space="preserve"> Conciliation</w:t>
      </w:r>
      <w:r w:rsidRPr="000E179D">
        <w:t>*</w:t>
      </w:r>
    </w:p>
    <w:p w14:paraId="738F7CC3" w14:textId="174DFF67" w:rsidR="00F31107" w:rsidRPr="00F31107" w:rsidRDefault="00F70E4F" w:rsidP="00F31107">
      <w:pPr>
        <w:rPr>
          <w:lang w:val="en-US"/>
        </w:rPr>
      </w:pPr>
      <w:r>
        <w:rPr>
          <w:rStyle w:val="Strong"/>
        </w:rPr>
        <w:t>Harley White</w:t>
      </w:r>
      <w:r w:rsidR="00F31107" w:rsidRPr="00F31107">
        <w:rPr>
          <w:lang w:val="en-US"/>
        </w:rPr>
        <w:t xml:space="preserve"> </w:t>
      </w:r>
      <w:r w:rsidRPr="000E4C66">
        <w:rPr>
          <w:rFonts w:cs="Arial"/>
        </w:rPr>
        <w:t xml:space="preserve">is General Manager, </w:t>
      </w:r>
      <w:r>
        <w:rPr>
          <w:rFonts w:cs="Arial"/>
        </w:rPr>
        <w:t>Conciliation and Arbitration</w:t>
      </w:r>
      <w:r w:rsidRPr="000E4C66">
        <w:rPr>
          <w:rFonts w:cs="Arial"/>
        </w:rPr>
        <w:t xml:space="preserve"> Services. He has been employed in workers’ compensation and related fields since 1994, and has held positions in a number of areas within </w:t>
      </w:r>
      <w:r w:rsidR="00C726B0">
        <w:rPr>
          <w:rFonts w:cs="Arial"/>
        </w:rPr>
        <w:t>WorkCover WA</w:t>
      </w:r>
      <w:r w:rsidRPr="000E4C66">
        <w:rPr>
          <w:rFonts w:cs="Arial"/>
        </w:rPr>
        <w:t xml:space="preserve"> including dispute resolution, policy and legislation, and regulation. He is a career public sector employee, having joined the sector in 1978 and hold</w:t>
      </w:r>
      <w:r>
        <w:rPr>
          <w:rFonts w:cs="Arial"/>
        </w:rPr>
        <w:t>s a Diploma in Legal Studies.</w:t>
      </w:r>
    </w:p>
    <w:p w14:paraId="62B23BF9" w14:textId="408A9343" w:rsidR="00F70E4F" w:rsidRDefault="00134A68" w:rsidP="00F31107">
      <w:pPr>
        <w:rPr>
          <w:rFonts w:cs="Arial"/>
        </w:rPr>
      </w:pPr>
      <w:r>
        <w:rPr>
          <w:rFonts w:cs="Arial"/>
        </w:rPr>
        <w:t>*During the reporting period</w:t>
      </w:r>
      <w:r w:rsidR="00F70E4F">
        <w:rPr>
          <w:rFonts w:cs="Arial"/>
        </w:rPr>
        <w:t xml:space="preserve"> </w:t>
      </w:r>
      <w:r w:rsidR="00F70E4F" w:rsidRPr="00F70E4F">
        <w:rPr>
          <w:rFonts w:cs="Arial"/>
          <w:b/>
        </w:rPr>
        <w:t>Ross Paparone</w:t>
      </w:r>
      <w:r w:rsidR="00F70E4F">
        <w:rPr>
          <w:rFonts w:cs="Arial"/>
        </w:rPr>
        <w:t xml:space="preserve">, </w:t>
      </w:r>
      <w:r w:rsidR="00F70E4F" w:rsidRPr="00F70E4F">
        <w:rPr>
          <w:rFonts w:cs="Arial"/>
          <w:b/>
        </w:rPr>
        <w:t>Wendy Attenborough</w:t>
      </w:r>
      <w:r w:rsidR="00F70E4F">
        <w:rPr>
          <w:rFonts w:cs="Arial"/>
        </w:rPr>
        <w:t xml:space="preserve"> and </w:t>
      </w:r>
      <w:r w:rsidR="00823004">
        <w:rPr>
          <w:rFonts w:cs="Arial"/>
          <w:b/>
        </w:rPr>
        <w:t>Christine </w:t>
      </w:r>
      <w:r w:rsidR="00F70E4F" w:rsidRPr="00F70E4F">
        <w:rPr>
          <w:rFonts w:cs="Arial"/>
          <w:b/>
        </w:rPr>
        <w:t>Kain</w:t>
      </w:r>
      <w:r w:rsidR="00F70E4F">
        <w:rPr>
          <w:rFonts w:cs="Arial"/>
        </w:rPr>
        <w:t xml:space="preserve"> also undertook the role of the</w:t>
      </w:r>
      <w:r w:rsidR="00F70E4F" w:rsidRPr="00511D0B">
        <w:rPr>
          <w:rFonts w:cs="Arial"/>
        </w:rPr>
        <w:t xml:space="preserve"> General Manager Conciliation and Arbitration Services; Director</w:t>
      </w:r>
      <w:r w:rsidR="00F61D43">
        <w:rPr>
          <w:rFonts w:cs="Arial"/>
        </w:rPr>
        <w:t xml:space="preserve">, Conciliation. </w:t>
      </w:r>
    </w:p>
    <w:p w14:paraId="6AB3B877" w14:textId="77777777" w:rsidR="000E179D" w:rsidRPr="000E179D" w:rsidRDefault="000E179D" w:rsidP="00664937">
      <w:pPr>
        <w:pStyle w:val="Heading4colour"/>
      </w:pPr>
      <w:r w:rsidRPr="000E179D">
        <w:t>General Manager, Corporate Resources</w:t>
      </w:r>
    </w:p>
    <w:p w14:paraId="0BB8947C" w14:textId="6DAB2D7C" w:rsidR="00F31107" w:rsidRPr="00F31107" w:rsidRDefault="00F31107" w:rsidP="00F31107">
      <w:pPr>
        <w:rPr>
          <w:lang w:val="en-US"/>
        </w:rPr>
      </w:pPr>
      <w:r w:rsidRPr="00676255">
        <w:rPr>
          <w:rStyle w:val="Strong"/>
        </w:rPr>
        <w:t>Ron de Blank</w:t>
      </w:r>
      <w:r w:rsidRPr="00F31107">
        <w:rPr>
          <w:lang w:val="en-US"/>
        </w:rPr>
        <w:t xml:space="preserve"> </w:t>
      </w:r>
      <w:r w:rsidR="006A7B71" w:rsidRPr="00077DB5">
        <w:rPr>
          <w:rFonts w:cs="Arial"/>
        </w:rPr>
        <w:t xml:space="preserve">commenced at </w:t>
      </w:r>
      <w:r w:rsidR="00C726B0">
        <w:rPr>
          <w:rFonts w:cs="Arial"/>
        </w:rPr>
        <w:t>WorkCover WA</w:t>
      </w:r>
      <w:r w:rsidR="006A7B71" w:rsidRPr="00077DB5">
        <w:rPr>
          <w:rFonts w:cs="Arial"/>
        </w:rPr>
        <w:t xml:space="preserve"> as acting General Manager, Corporate Resources in May 2014. Mr de Blank is seconded from the Department of the Premier and Cabinet and brings significant senior experience working in the </w:t>
      </w:r>
      <w:r w:rsidR="00CF60D5">
        <w:rPr>
          <w:rFonts w:cs="Arial"/>
        </w:rPr>
        <w:t>WA</w:t>
      </w:r>
      <w:r w:rsidR="006A7B71" w:rsidRPr="00077DB5">
        <w:rPr>
          <w:rFonts w:cs="Arial"/>
        </w:rPr>
        <w:t xml:space="preserve"> public sector and as a management consultant in areas including labour relations, human resource management and strategic policy. He holds a Bachelor of Economics with Honours from the University of Western Australia.</w:t>
      </w:r>
    </w:p>
    <w:p w14:paraId="43251810" w14:textId="748FF88B" w:rsidR="000E179D" w:rsidRPr="000E179D" w:rsidRDefault="000E179D" w:rsidP="00664937">
      <w:pPr>
        <w:pStyle w:val="Heading4colour"/>
      </w:pPr>
      <w:r w:rsidRPr="000E179D">
        <w:t>General Manager, Regulatory Services</w:t>
      </w:r>
      <w:r w:rsidR="005A396D">
        <w:t>*</w:t>
      </w:r>
    </w:p>
    <w:p w14:paraId="0118EE71" w14:textId="284409F9" w:rsidR="00F70E4F" w:rsidRPr="00F31107" w:rsidRDefault="00F70E4F" w:rsidP="00F70E4F">
      <w:pPr>
        <w:rPr>
          <w:lang w:val="en-US"/>
        </w:rPr>
      </w:pPr>
      <w:r w:rsidRPr="003458C8">
        <w:rPr>
          <w:rStyle w:val="Strong"/>
        </w:rPr>
        <w:t>Wendy Attenborough</w:t>
      </w:r>
      <w:r w:rsidRPr="00F31107">
        <w:rPr>
          <w:lang w:val="en-US"/>
        </w:rPr>
        <w:t xml:space="preserve"> joined </w:t>
      </w:r>
      <w:r w:rsidR="00C726B0">
        <w:rPr>
          <w:lang w:val="en-US"/>
        </w:rPr>
        <w:t>WorkCover WA</w:t>
      </w:r>
      <w:r w:rsidRPr="00F31107">
        <w:rPr>
          <w:lang w:val="en-US"/>
        </w:rPr>
        <w:t xml:space="preserve"> in July 2008</w:t>
      </w:r>
      <w:r w:rsidR="0083008A">
        <w:rPr>
          <w:lang w:val="en-US"/>
        </w:rPr>
        <w:t xml:space="preserve">. She has since </w:t>
      </w:r>
      <w:r w:rsidR="007A3539">
        <w:rPr>
          <w:lang w:val="en-US"/>
        </w:rPr>
        <w:t xml:space="preserve">undertaken a number of </w:t>
      </w:r>
      <w:r w:rsidR="0083008A">
        <w:rPr>
          <w:lang w:val="en-US"/>
        </w:rPr>
        <w:t xml:space="preserve">Corporate Executive roles within </w:t>
      </w:r>
      <w:r w:rsidR="00C726B0">
        <w:rPr>
          <w:lang w:val="en-US"/>
        </w:rPr>
        <w:t>WorkCover WA</w:t>
      </w:r>
      <w:r w:rsidR="0083008A">
        <w:rPr>
          <w:lang w:val="en-US"/>
        </w:rPr>
        <w:t>, including</w:t>
      </w:r>
      <w:r w:rsidRPr="00F31107">
        <w:rPr>
          <w:lang w:val="en-US"/>
        </w:rPr>
        <w:t xml:space="preserve"> General Manager Scheme Development and</w:t>
      </w:r>
      <w:r w:rsidR="0083008A">
        <w:rPr>
          <w:lang w:val="en-US"/>
        </w:rPr>
        <w:t xml:space="preserve"> General Manager Conciliation and Arbi</w:t>
      </w:r>
      <w:r w:rsidR="0051729A">
        <w:rPr>
          <w:lang w:val="en-US"/>
        </w:rPr>
        <w:t>tration Services. Ms Attenborough</w:t>
      </w:r>
      <w:r w:rsidR="00F61D43">
        <w:rPr>
          <w:lang w:val="en-US"/>
        </w:rPr>
        <w:t xml:space="preserve"> assumed</w:t>
      </w:r>
      <w:r w:rsidR="0083008A">
        <w:rPr>
          <w:lang w:val="en-US"/>
        </w:rPr>
        <w:t xml:space="preserve"> the responsibility of General Manager Regulatory Services in February 2015.</w:t>
      </w:r>
      <w:r w:rsidRPr="00F31107">
        <w:rPr>
          <w:lang w:val="en-US"/>
        </w:rPr>
        <w:t xml:space="preserve"> Prior to joining </w:t>
      </w:r>
      <w:r w:rsidR="00C726B0">
        <w:rPr>
          <w:lang w:val="en-US"/>
        </w:rPr>
        <w:t>WorkCover WA</w:t>
      </w:r>
      <w:r w:rsidR="0051729A">
        <w:rPr>
          <w:lang w:val="en-US"/>
        </w:rPr>
        <w:t>, Ms Attenborough</w:t>
      </w:r>
      <w:r w:rsidRPr="00F31107">
        <w:rPr>
          <w:lang w:val="en-US"/>
        </w:rPr>
        <w:t xml:space="preserve"> was employed in a number of senior policy roles within the Western Australian Department of the Premier and Cabinet, including the Intergovernmental Relations Unit. </w:t>
      </w:r>
      <w:r>
        <w:rPr>
          <w:lang w:val="en-US"/>
        </w:rPr>
        <w:t>Ms Attenborough</w:t>
      </w:r>
      <w:r w:rsidRPr="00F31107">
        <w:rPr>
          <w:lang w:val="en-US"/>
        </w:rPr>
        <w:t xml:space="preserve"> holds a Bachelor of Arts from the University of Western Australia.</w:t>
      </w:r>
    </w:p>
    <w:p w14:paraId="3480033F" w14:textId="6C9AC66E" w:rsidR="00F70E4F" w:rsidRDefault="00823004" w:rsidP="00F70E4F">
      <w:pPr>
        <w:rPr>
          <w:rFonts w:cs="Arial"/>
        </w:rPr>
      </w:pPr>
      <w:r>
        <w:rPr>
          <w:rFonts w:cs="Arial"/>
        </w:rPr>
        <w:t>*</w:t>
      </w:r>
      <w:r w:rsidR="00F70E4F">
        <w:rPr>
          <w:rFonts w:cs="Arial"/>
        </w:rPr>
        <w:t xml:space="preserve">During the reporting period </w:t>
      </w:r>
      <w:r w:rsidR="00F70E4F">
        <w:rPr>
          <w:rFonts w:cs="Arial"/>
          <w:b/>
        </w:rPr>
        <w:t>H</w:t>
      </w:r>
      <w:r w:rsidR="00F70E4F" w:rsidRPr="00F70E4F">
        <w:rPr>
          <w:rFonts w:cs="Arial"/>
          <w:b/>
        </w:rPr>
        <w:t>arley White</w:t>
      </w:r>
      <w:r w:rsidR="00F70E4F">
        <w:rPr>
          <w:rFonts w:cs="Arial"/>
        </w:rPr>
        <w:t xml:space="preserve"> also undertook the role of the</w:t>
      </w:r>
      <w:r w:rsidR="00F70E4F" w:rsidRPr="00511D0B">
        <w:rPr>
          <w:rFonts w:cs="Arial"/>
        </w:rPr>
        <w:t xml:space="preserve"> General Manager </w:t>
      </w:r>
      <w:r w:rsidR="00F70E4F">
        <w:rPr>
          <w:rFonts w:cs="Arial"/>
        </w:rPr>
        <w:t>Regulatory Services.</w:t>
      </w:r>
    </w:p>
    <w:p w14:paraId="2E096972" w14:textId="77777777" w:rsidR="000E179D" w:rsidRPr="000E179D" w:rsidRDefault="000E179D" w:rsidP="00664937">
      <w:pPr>
        <w:pStyle w:val="Heading4colour"/>
      </w:pPr>
      <w:r w:rsidRPr="000E179D">
        <w:t>Registrar, Arbitration</w:t>
      </w:r>
    </w:p>
    <w:p w14:paraId="3A1F0C6C" w14:textId="4E37F041" w:rsidR="000E179D" w:rsidRDefault="000E179D" w:rsidP="007C647A">
      <w:pPr>
        <w:rPr>
          <w:lang w:val="en-US"/>
        </w:rPr>
      </w:pPr>
      <w:r w:rsidRPr="00F603B7">
        <w:rPr>
          <w:rStyle w:val="Strong"/>
        </w:rPr>
        <w:t>Shane Melville</w:t>
      </w:r>
      <w:r w:rsidRPr="000E179D">
        <w:rPr>
          <w:lang w:val="en-US"/>
        </w:rPr>
        <w:t xml:space="preserve"> </w:t>
      </w:r>
      <w:r w:rsidR="00BC7810" w:rsidRPr="000E179D">
        <w:rPr>
          <w:lang w:val="en-US"/>
        </w:rPr>
        <w:t xml:space="preserve">was appointed as Registrar, Arbitration, in December 2011 and previously </w:t>
      </w:r>
      <w:r w:rsidR="00BC7810">
        <w:rPr>
          <w:lang w:val="en-US"/>
        </w:rPr>
        <w:t>held</w:t>
      </w:r>
      <w:r w:rsidR="00BC7810" w:rsidRPr="000E179D">
        <w:rPr>
          <w:lang w:val="en-US"/>
        </w:rPr>
        <w:t xml:space="preserve"> the position of Director, Dispute Resolution Directorate. </w:t>
      </w:r>
      <w:r w:rsidR="00BC7810">
        <w:rPr>
          <w:lang w:val="en-US"/>
        </w:rPr>
        <w:t xml:space="preserve">Mr Melville </w:t>
      </w:r>
      <w:r w:rsidR="00BC7810" w:rsidRPr="000E179D">
        <w:rPr>
          <w:lang w:val="en-US"/>
        </w:rPr>
        <w:t xml:space="preserve">commenced at </w:t>
      </w:r>
      <w:r w:rsidR="00C726B0">
        <w:rPr>
          <w:lang w:val="en-US"/>
        </w:rPr>
        <w:t>WorkCover WA</w:t>
      </w:r>
      <w:r w:rsidR="00BC7810" w:rsidRPr="000E179D">
        <w:rPr>
          <w:lang w:val="en-US"/>
        </w:rPr>
        <w:t xml:space="preserve"> as an Arbitrator in the Dispute Resolution Directorate in November 2005. He holds the degrees of Bachelor of Jurisprudence and Bachelor of Laws from the University of Western Australia, accreditation from the Institute of Arbitrators and Mediators Australia and has more than 25 years </w:t>
      </w:r>
      <w:r w:rsidR="00BC7810">
        <w:rPr>
          <w:lang w:val="en-US"/>
        </w:rPr>
        <w:t xml:space="preserve">of </w:t>
      </w:r>
      <w:r w:rsidR="00BC7810" w:rsidRPr="000E179D">
        <w:rPr>
          <w:lang w:val="en-US"/>
        </w:rPr>
        <w:t>experience as a legal practitioner in w</w:t>
      </w:r>
      <w:r w:rsidR="00BC7810">
        <w:rPr>
          <w:lang w:val="en-US"/>
        </w:rPr>
        <w:t>orkers’ compensation litigation</w:t>
      </w:r>
      <w:r w:rsidR="00F70E4F">
        <w:rPr>
          <w:lang w:val="en-US"/>
        </w:rPr>
        <w:t>.</w:t>
      </w:r>
    </w:p>
    <w:p w14:paraId="59B6DFFB" w14:textId="37E22836" w:rsidR="008E71CD" w:rsidRDefault="007A3539" w:rsidP="00F70E4F">
      <w:pPr>
        <w:rPr>
          <w:lang w:val="en-US"/>
        </w:rPr>
      </w:pPr>
      <w:r>
        <w:rPr>
          <w:lang w:val="en-US"/>
        </w:rPr>
        <w:lastRenderedPageBreak/>
        <w:t>Mr Melville</w:t>
      </w:r>
      <w:r w:rsidR="00F70E4F">
        <w:rPr>
          <w:lang w:val="en-US"/>
        </w:rPr>
        <w:t xml:space="preserve"> re</w:t>
      </w:r>
      <w:r w:rsidR="008E71CD">
        <w:rPr>
          <w:lang w:val="en-US"/>
        </w:rPr>
        <w:t>signed</w:t>
      </w:r>
      <w:r w:rsidR="00F70E4F">
        <w:rPr>
          <w:lang w:val="en-US"/>
        </w:rPr>
        <w:t xml:space="preserve"> from </w:t>
      </w:r>
      <w:r w:rsidR="00C726B0">
        <w:rPr>
          <w:lang w:val="en-US"/>
        </w:rPr>
        <w:t>WorkCover WA</w:t>
      </w:r>
      <w:r w:rsidR="00F70E4F">
        <w:rPr>
          <w:lang w:val="en-US"/>
        </w:rPr>
        <w:t xml:space="preserve"> on </w:t>
      </w:r>
      <w:r w:rsidR="00A174C6" w:rsidRPr="00A174C6">
        <w:rPr>
          <w:lang w:val="en-US"/>
        </w:rPr>
        <w:t>4 December 2014</w:t>
      </w:r>
      <w:r w:rsidR="008E71CD" w:rsidRPr="009A4917">
        <w:rPr>
          <w:lang w:val="en-US"/>
        </w:rPr>
        <w:t xml:space="preserve"> </w:t>
      </w:r>
      <w:r w:rsidR="008E71CD" w:rsidRPr="008E71CD">
        <w:rPr>
          <w:lang w:val="en-US"/>
        </w:rPr>
        <w:t>to take up the position of Principal Registrar at the District Court of Western Australia</w:t>
      </w:r>
      <w:r w:rsidR="00F70E4F" w:rsidRPr="008E71CD">
        <w:rPr>
          <w:lang w:val="en-US"/>
        </w:rPr>
        <w:t>.</w:t>
      </w:r>
      <w:r w:rsidR="00F70E4F">
        <w:rPr>
          <w:lang w:val="en-US"/>
        </w:rPr>
        <w:t xml:space="preserve"> </w:t>
      </w:r>
    </w:p>
    <w:p w14:paraId="542C70CC" w14:textId="6C6D0C6E" w:rsidR="00F70E4F" w:rsidRPr="00F70E4F" w:rsidRDefault="008E71CD" w:rsidP="00F70E4F">
      <w:pPr>
        <w:rPr>
          <w:lang w:val="en-US"/>
        </w:rPr>
      </w:pPr>
      <w:r>
        <w:rPr>
          <w:lang w:val="en-US"/>
        </w:rPr>
        <w:t xml:space="preserve">In June 2015 </w:t>
      </w:r>
      <w:r w:rsidRPr="008E71CD">
        <w:rPr>
          <w:b/>
          <w:lang w:val="en-US"/>
        </w:rPr>
        <w:t>Nilan Ekanayake</w:t>
      </w:r>
      <w:r w:rsidRPr="008E71CD">
        <w:rPr>
          <w:lang w:val="en-US"/>
        </w:rPr>
        <w:t xml:space="preserve"> </w:t>
      </w:r>
      <w:r>
        <w:rPr>
          <w:lang w:val="en-US"/>
        </w:rPr>
        <w:t>was appointed to the role of Registrar</w:t>
      </w:r>
      <w:r w:rsidR="007A3539">
        <w:rPr>
          <w:lang w:val="en-US"/>
        </w:rPr>
        <w:t>, Arbitration</w:t>
      </w:r>
      <w:r>
        <w:rPr>
          <w:lang w:val="en-US"/>
        </w:rPr>
        <w:t xml:space="preserve">. Mr Ekanayake joined </w:t>
      </w:r>
      <w:r w:rsidR="00C726B0">
        <w:rPr>
          <w:lang w:val="en-US"/>
        </w:rPr>
        <w:t>WorkCover WA</w:t>
      </w:r>
      <w:r>
        <w:rPr>
          <w:lang w:val="en-US"/>
        </w:rPr>
        <w:t xml:space="preserve"> </w:t>
      </w:r>
      <w:r w:rsidRPr="007545F7">
        <w:rPr>
          <w:lang w:val="en-US"/>
        </w:rPr>
        <w:t>from the independent Bar.</w:t>
      </w:r>
      <w:r>
        <w:rPr>
          <w:lang w:val="en-US"/>
        </w:rPr>
        <w:t xml:space="preserve"> He holds a Bachelor of Laws and a Bachelor of Arts from the Victoria University of Wellington.  </w:t>
      </w:r>
    </w:p>
    <w:p w14:paraId="65863BBE" w14:textId="77777777" w:rsidR="000E179D" w:rsidRPr="000E179D" w:rsidRDefault="000E179D" w:rsidP="00664937">
      <w:pPr>
        <w:pStyle w:val="Heading4colour"/>
      </w:pPr>
      <w:r w:rsidRPr="000E179D">
        <w:t>Chief Finance Officer</w:t>
      </w:r>
    </w:p>
    <w:p w14:paraId="74CAF95A" w14:textId="0D7CDF0D" w:rsidR="00ED5179" w:rsidRPr="00230433" w:rsidRDefault="00533FD0" w:rsidP="00230433">
      <w:pPr>
        <w:rPr>
          <w:lang w:val="en-US"/>
        </w:rPr>
      </w:pPr>
      <w:r>
        <w:rPr>
          <w:rStyle w:val="Strong"/>
        </w:rPr>
        <w:t>J</w:t>
      </w:r>
      <w:r w:rsidR="000E179D" w:rsidRPr="00F603B7">
        <w:rPr>
          <w:rStyle w:val="Strong"/>
        </w:rPr>
        <w:t>ohn Hull</w:t>
      </w:r>
      <w:r w:rsidR="000E179D" w:rsidRPr="000E179D">
        <w:rPr>
          <w:lang w:val="en-US"/>
        </w:rPr>
        <w:t xml:space="preserve"> </w:t>
      </w:r>
      <w:r w:rsidR="00F31107" w:rsidRPr="000E179D">
        <w:rPr>
          <w:lang w:val="en-US"/>
        </w:rPr>
        <w:t xml:space="preserve">commenced with </w:t>
      </w:r>
      <w:r w:rsidR="00C726B0">
        <w:rPr>
          <w:lang w:val="en-US"/>
        </w:rPr>
        <w:t>WorkCover WA</w:t>
      </w:r>
      <w:r w:rsidR="007A3539">
        <w:rPr>
          <w:lang w:val="en-US"/>
        </w:rPr>
        <w:t xml:space="preserve"> as</w:t>
      </w:r>
      <w:r w:rsidR="00F31107" w:rsidRPr="000E179D">
        <w:rPr>
          <w:lang w:val="en-US"/>
        </w:rPr>
        <w:t xml:space="preserve"> Chief Finance Officer in July 2010. He has extensive public sector experience and has undertaken senior finance, compliance and corporate management roles across a range of agencies including the Department of Treasury and Finance and the Office of the Auditor General. </w:t>
      </w:r>
      <w:r w:rsidR="00011446">
        <w:rPr>
          <w:lang w:val="en-US"/>
        </w:rPr>
        <w:t>Mr </w:t>
      </w:r>
      <w:r w:rsidR="00274883">
        <w:rPr>
          <w:lang w:val="en-US"/>
        </w:rPr>
        <w:t xml:space="preserve">Hull </w:t>
      </w:r>
      <w:r w:rsidR="00F31107" w:rsidRPr="000E179D">
        <w:rPr>
          <w:lang w:val="en-US"/>
        </w:rPr>
        <w:t>is a CPA and has a Bachelor of Business in Finance and Accounting</w:t>
      </w:r>
      <w:r w:rsidR="00FB342F">
        <w:rPr>
          <w:lang w:val="en-US"/>
        </w:rPr>
        <w:t>.</w:t>
      </w:r>
    </w:p>
    <w:p w14:paraId="29CCF6C5" w14:textId="113FC609" w:rsidR="00C343F3" w:rsidRPr="002C2058" w:rsidRDefault="005B14DC" w:rsidP="002C2058">
      <w:pPr>
        <w:pStyle w:val="Heading1nonumber"/>
      </w:pPr>
      <w:bookmarkStart w:id="83" w:name="_Toc399316923"/>
      <w:bookmarkStart w:id="84" w:name="_Toc426617414"/>
      <w:bookmarkStart w:id="85" w:name="_Toc430091136"/>
      <w:r w:rsidRPr="002C2058">
        <w:t>People</w:t>
      </w:r>
      <w:bookmarkEnd w:id="83"/>
      <w:bookmarkEnd w:id="84"/>
      <w:bookmarkEnd w:id="85"/>
    </w:p>
    <w:p w14:paraId="3723ADD2" w14:textId="569D08FB" w:rsidR="00577015" w:rsidRPr="00FD672E" w:rsidRDefault="00577015" w:rsidP="00FD672E">
      <w:pPr>
        <w:pStyle w:val="Heading2nonumber"/>
      </w:pPr>
      <w:bookmarkStart w:id="86" w:name="_Toc399316924"/>
      <w:bookmarkStart w:id="87" w:name="_Toc426617415"/>
      <w:bookmarkStart w:id="88" w:name="_Toc430091137"/>
      <w:r w:rsidRPr="00FD672E">
        <w:t xml:space="preserve">Workforce </w:t>
      </w:r>
      <w:r w:rsidR="00537E41" w:rsidRPr="00FD672E">
        <w:t>p</w:t>
      </w:r>
      <w:r w:rsidRPr="00FD672E">
        <w:t>rofile</w:t>
      </w:r>
      <w:bookmarkEnd w:id="86"/>
      <w:bookmarkEnd w:id="87"/>
      <w:bookmarkEnd w:id="88"/>
    </w:p>
    <w:p w14:paraId="431C0246" w14:textId="21D0E01C" w:rsidR="006A080B" w:rsidRDefault="00F31107" w:rsidP="002C2058">
      <w:pPr>
        <w:rPr>
          <w:rStyle w:val="Emphasis"/>
        </w:rPr>
      </w:pPr>
      <w:r w:rsidRPr="005A396D">
        <w:t>The following fig</w:t>
      </w:r>
      <w:r w:rsidR="00532F30" w:rsidRPr="005A396D">
        <w:t>ures summarise the Agency’s 2014/15</w:t>
      </w:r>
      <w:r w:rsidRPr="005A396D">
        <w:t xml:space="preserve"> workforce profile. </w:t>
      </w:r>
      <w:r w:rsidR="00C726B0">
        <w:t>WorkCover WA</w:t>
      </w:r>
      <w:r w:rsidRPr="005A396D">
        <w:t xml:space="preserve">’s complete FTE profile is disclosed on </w:t>
      </w:r>
      <w:r w:rsidRPr="00510DC0">
        <w:t>page</w:t>
      </w:r>
      <w:r w:rsidR="00604369" w:rsidRPr="00510DC0">
        <w:t xml:space="preserve"> 11</w:t>
      </w:r>
      <w:r w:rsidR="00510DC0" w:rsidRPr="00510DC0">
        <w:t>8</w:t>
      </w:r>
      <w:r w:rsidR="008F280E" w:rsidRPr="00510DC0">
        <w:t xml:space="preserve"> </w:t>
      </w:r>
      <w:r w:rsidR="008F280E" w:rsidRPr="005A396D">
        <w:t>under ‘Employment and industrial r</w:t>
      </w:r>
      <w:r w:rsidRPr="005A396D">
        <w:t xml:space="preserve">elations’ in </w:t>
      </w:r>
      <w:r w:rsidRPr="005A396D">
        <w:rPr>
          <w:rStyle w:val="Emphasis"/>
        </w:rPr>
        <w:t>Se</w:t>
      </w:r>
      <w:r w:rsidR="00CD301C">
        <w:rPr>
          <w:rStyle w:val="Emphasis"/>
        </w:rPr>
        <w:t>ction 5: Disclosures and legal c</w:t>
      </w:r>
      <w:r w:rsidRPr="005A396D">
        <w:rPr>
          <w:rStyle w:val="Emphasis"/>
        </w:rPr>
        <w:t>ompliance.</w:t>
      </w:r>
    </w:p>
    <w:p w14:paraId="74A50EDD" w14:textId="77777777" w:rsidR="006A080B" w:rsidRDefault="006A080B">
      <w:pPr>
        <w:keepLines w:val="0"/>
        <w:spacing w:after="0" w:line="240" w:lineRule="auto"/>
        <w:rPr>
          <w:rStyle w:val="Emphasis"/>
        </w:rPr>
      </w:pPr>
      <w:r>
        <w:rPr>
          <w:rStyle w:val="Emphasis"/>
        </w:rPr>
        <w:br w:type="page"/>
      </w:r>
    </w:p>
    <w:p w14:paraId="24900488" w14:textId="77777777" w:rsidR="00E4056E" w:rsidRPr="002C2058" w:rsidRDefault="00E4056E" w:rsidP="009516EE">
      <w:pPr>
        <w:rPr>
          <w:rStyle w:val="Strong"/>
        </w:rPr>
      </w:pPr>
      <w:r w:rsidRPr="002C2058">
        <w:rPr>
          <w:rStyle w:val="Strong"/>
        </w:rPr>
        <w:lastRenderedPageBreak/>
        <w:t>Staff by FTE</w:t>
      </w: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8 Staff by FTE"/>
        <w:tblDescription w:val="Table 8 details the employment type in 2014/15"/>
      </w:tblPr>
      <w:tblGrid>
        <w:gridCol w:w="4536"/>
        <w:gridCol w:w="1956"/>
      </w:tblGrid>
      <w:tr w:rsidR="00FB20CF" w:rsidRPr="00053DD5" w14:paraId="686ABBA2" w14:textId="77777777" w:rsidTr="005A396D">
        <w:trPr>
          <w:tblHeader/>
        </w:trPr>
        <w:tc>
          <w:tcPr>
            <w:tcW w:w="6492" w:type="dxa"/>
            <w:gridSpan w:val="2"/>
            <w:tcBorders>
              <w:bottom w:val="single" w:sz="4" w:space="0" w:color="BAD0CD" w:themeColor="accent5" w:themeShade="E6"/>
            </w:tcBorders>
            <w:shd w:val="clear" w:color="auto" w:fill="2D4541" w:themeFill="accent2"/>
          </w:tcPr>
          <w:p w14:paraId="440AABB9" w14:textId="77777777" w:rsidR="00FB20CF" w:rsidRPr="00775007" w:rsidRDefault="00FB20CF" w:rsidP="00FB20CF">
            <w:pPr>
              <w:rPr>
                <w:rStyle w:val="Strong"/>
                <w:color w:val="FFFFFF" w:themeColor="background1"/>
              </w:rPr>
            </w:pPr>
            <w:r>
              <w:rPr>
                <w:rStyle w:val="Strong"/>
                <w:color w:val="FFFFFF" w:themeColor="background1"/>
              </w:rPr>
              <w:t>Table 8: Staff by FTE</w:t>
            </w:r>
          </w:p>
        </w:tc>
      </w:tr>
      <w:tr w:rsidR="00FB20CF" w:rsidRPr="00053DD5" w14:paraId="31682FCA" w14:textId="77777777" w:rsidTr="009A4917">
        <w:trPr>
          <w:trHeight w:val="455"/>
        </w:trPr>
        <w:tc>
          <w:tcPr>
            <w:tcW w:w="4536" w:type="dxa"/>
            <w:tcBorders>
              <w:bottom w:val="single" w:sz="8" w:space="0" w:color="BAD0CD" w:themeColor="accent5" w:themeShade="E6"/>
            </w:tcBorders>
            <w:shd w:val="clear" w:color="auto" w:fill="CEDFDC" w:themeFill="accent2" w:themeFillTint="33"/>
            <w:vAlign w:val="center"/>
          </w:tcPr>
          <w:p w14:paraId="61AD377A" w14:textId="77777777" w:rsidR="00FB20CF" w:rsidRPr="009516EE" w:rsidRDefault="00FB20CF" w:rsidP="003F1FD2">
            <w:pPr>
              <w:rPr>
                <w:rStyle w:val="Strong"/>
              </w:rPr>
            </w:pPr>
            <w:r w:rsidRPr="009516EE">
              <w:rPr>
                <w:rStyle w:val="Strong"/>
              </w:rPr>
              <w:t>Employment type</w:t>
            </w:r>
          </w:p>
        </w:tc>
        <w:tc>
          <w:tcPr>
            <w:tcW w:w="1956" w:type="dxa"/>
            <w:tcBorders>
              <w:bottom w:val="single" w:sz="8" w:space="0" w:color="BAD0CD" w:themeColor="accent5" w:themeShade="E6"/>
            </w:tcBorders>
            <w:shd w:val="clear" w:color="auto" w:fill="CEDFDC" w:themeFill="accent2" w:themeFillTint="33"/>
            <w:vAlign w:val="center"/>
          </w:tcPr>
          <w:p w14:paraId="4D36264D" w14:textId="77777777" w:rsidR="00FB20CF" w:rsidRPr="009516EE" w:rsidRDefault="00532F30" w:rsidP="003F1FD2">
            <w:pPr>
              <w:rPr>
                <w:rStyle w:val="Strong"/>
              </w:rPr>
            </w:pPr>
            <w:r>
              <w:rPr>
                <w:rStyle w:val="Strong"/>
              </w:rPr>
              <w:t>2014/15</w:t>
            </w:r>
          </w:p>
        </w:tc>
      </w:tr>
      <w:tr w:rsidR="00BB3A5F" w:rsidRPr="00053DD5" w14:paraId="29843F31" w14:textId="77777777" w:rsidTr="00BB3A5F">
        <w:tc>
          <w:tcPr>
            <w:tcW w:w="4536" w:type="dxa"/>
            <w:tcBorders>
              <w:top w:val="single" w:sz="8" w:space="0" w:color="BAD0CD" w:themeColor="accent5" w:themeShade="E6"/>
            </w:tcBorders>
            <w:shd w:val="clear" w:color="auto" w:fill="D4E2E0" w:themeFill="accent5"/>
            <w:vAlign w:val="center"/>
          </w:tcPr>
          <w:p w14:paraId="04FE2DBB" w14:textId="77777777" w:rsidR="00BB3A5F" w:rsidRPr="009516EE" w:rsidRDefault="00BB3A5F" w:rsidP="00BB3A5F">
            <w:r w:rsidRPr="009516EE">
              <w:br/>
              <w:t>Full-time permanent</w:t>
            </w:r>
          </w:p>
        </w:tc>
        <w:tc>
          <w:tcPr>
            <w:tcW w:w="1956" w:type="dxa"/>
            <w:tcBorders>
              <w:top w:val="single" w:sz="8" w:space="0" w:color="BAD0CD" w:themeColor="accent5" w:themeShade="E6"/>
            </w:tcBorders>
            <w:vAlign w:val="center"/>
          </w:tcPr>
          <w:p w14:paraId="262D0E24" w14:textId="145D50AB" w:rsidR="00BB3A5F" w:rsidRPr="009A4917" w:rsidRDefault="00BB3A5F" w:rsidP="00BB3A5F">
            <w:pPr>
              <w:rPr>
                <w:rFonts w:cs="Arial"/>
              </w:rPr>
            </w:pPr>
            <w:r w:rsidRPr="009A4917">
              <w:t>112</w:t>
            </w:r>
          </w:p>
        </w:tc>
      </w:tr>
      <w:tr w:rsidR="00BB3A5F" w:rsidRPr="00053DD5" w14:paraId="4D58A163" w14:textId="77777777" w:rsidTr="00BB3A5F">
        <w:tc>
          <w:tcPr>
            <w:tcW w:w="4536" w:type="dxa"/>
            <w:shd w:val="clear" w:color="auto" w:fill="D4E2E0" w:themeFill="accent5"/>
            <w:vAlign w:val="center"/>
          </w:tcPr>
          <w:p w14:paraId="5178F28C" w14:textId="77777777" w:rsidR="00BB3A5F" w:rsidRPr="009516EE" w:rsidRDefault="00BB3A5F" w:rsidP="00BB3A5F">
            <w:r w:rsidRPr="009516EE">
              <w:br/>
              <w:t>Full-time contract</w:t>
            </w:r>
          </w:p>
        </w:tc>
        <w:tc>
          <w:tcPr>
            <w:tcW w:w="1956" w:type="dxa"/>
            <w:vAlign w:val="center"/>
          </w:tcPr>
          <w:p w14:paraId="27FDC418" w14:textId="5AEC5FB3" w:rsidR="00BB3A5F" w:rsidRPr="009A4917" w:rsidRDefault="00BB3A5F" w:rsidP="00BB3A5F">
            <w:pPr>
              <w:rPr>
                <w:rFonts w:cs="Arial"/>
                <w:highlight w:val="yellow"/>
              </w:rPr>
            </w:pPr>
            <w:r w:rsidRPr="009A4917">
              <w:t>10</w:t>
            </w:r>
          </w:p>
        </w:tc>
      </w:tr>
      <w:tr w:rsidR="00BB3A5F" w:rsidRPr="00053DD5" w14:paraId="33539667" w14:textId="77777777" w:rsidTr="00BB3A5F">
        <w:tc>
          <w:tcPr>
            <w:tcW w:w="4536" w:type="dxa"/>
            <w:shd w:val="clear" w:color="auto" w:fill="D4E2E0" w:themeFill="accent5"/>
            <w:vAlign w:val="center"/>
          </w:tcPr>
          <w:p w14:paraId="5C34368B" w14:textId="77777777" w:rsidR="00BB3A5F" w:rsidRPr="009516EE" w:rsidRDefault="00BB3A5F" w:rsidP="00BB3A5F">
            <w:r w:rsidRPr="009516EE">
              <w:br/>
              <w:t xml:space="preserve">Part-time </w:t>
            </w:r>
            <w:r>
              <w:t>(FTE)</w:t>
            </w:r>
          </w:p>
        </w:tc>
        <w:tc>
          <w:tcPr>
            <w:tcW w:w="1956" w:type="dxa"/>
            <w:vAlign w:val="center"/>
          </w:tcPr>
          <w:p w14:paraId="5A1D5BB2" w14:textId="39203CFB" w:rsidR="00BB3A5F" w:rsidRPr="009A4917" w:rsidRDefault="00BB3A5F" w:rsidP="00BB3A5F">
            <w:pPr>
              <w:rPr>
                <w:rFonts w:cs="Arial"/>
                <w:highlight w:val="yellow"/>
              </w:rPr>
            </w:pPr>
            <w:r w:rsidRPr="009A4917">
              <w:t>10.0</w:t>
            </w:r>
          </w:p>
        </w:tc>
      </w:tr>
      <w:tr w:rsidR="00BB3A5F" w:rsidRPr="00053DD5" w14:paraId="485E5DB3" w14:textId="77777777" w:rsidTr="00BB3A5F">
        <w:tc>
          <w:tcPr>
            <w:tcW w:w="4536" w:type="dxa"/>
            <w:shd w:val="clear" w:color="auto" w:fill="D4E2E0" w:themeFill="accent5"/>
            <w:vAlign w:val="center"/>
          </w:tcPr>
          <w:p w14:paraId="422F9F62" w14:textId="28AEE006" w:rsidR="00BB3A5F" w:rsidRPr="009516EE" w:rsidRDefault="00BB3A5F" w:rsidP="00BB3A5F">
            <w:r w:rsidRPr="00BB3A5F">
              <w:t>Part-time contract (FTE)</w:t>
            </w:r>
          </w:p>
        </w:tc>
        <w:tc>
          <w:tcPr>
            <w:tcW w:w="1956" w:type="dxa"/>
            <w:vAlign w:val="center"/>
          </w:tcPr>
          <w:p w14:paraId="38023956" w14:textId="24D032B1" w:rsidR="00BB3A5F" w:rsidRPr="009A4917" w:rsidRDefault="00BB3A5F" w:rsidP="00BB3A5F">
            <w:pPr>
              <w:rPr>
                <w:rFonts w:cs="Arial"/>
                <w:highlight w:val="yellow"/>
              </w:rPr>
            </w:pPr>
            <w:r w:rsidRPr="009A4917">
              <w:t>3.4</w:t>
            </w:r>
          </w:p>
        </w:tc>
      </w:tr>
      <w:tr w:rsidR="00BB3A5F" w:rsidRPr="00053DD5" w14:paraId="1082B18E" w14:textId="77777777" w:rsidTr="00BB3A5F">
        <w:tc>
          <w:tcPr>
            <w:tcW w:w="4536" w:type="dxa"/>
            <w:shd w:val="clear" w:color="auto" w:fill="D4E2E0" w:themeFill="accent5"/>
            <w:vAlign w:val="center"/>
          </w:tcPr>
          <w:p w14:paraId="28BDC5FC" w14:textId="77777777" w:rsidR="00BB3A5F" w:rsidRPr="009516EE" w:rsidRDefault="00BB3A5F" w:rsidP="00BB3A5F">
            <w:pPr>
              <w:rPr>
                <w:rStyle w:val="Strong"/>
              </w:rPr>
            </w:pPr>
            <w:r w:rsidRPr="009516EE">
              <w:rPr>
                <w:rStyle w:val="Strong"/>
              </w:rPr>
              <w:br/>
              <w:t>Total</w:t>
            </w:r>
            <w:r>
              <w:rPr>
                <w:rStyle w:val="Strong"/>
              </w:rPr>
              <w:t xml:space="preserve"> (FTE)</w:t>
            </w:r>
          </w:p>
        </w:tc>
        <w:tc>
          <w:tcPr>
            <w:tcW w:w="1956" w:type="dxa"/>
            <w:shd w:val="clear" w:color="auto" w:fill="D4E2E0" w:themeFill="accent5"/>
            <w:vAlign w:val="center"/>
          </w:tcPr>
          <w:p w14:paraId="136122DA" w14:textId="62356B0B" w:rsidR="00BB3A5F" w:rsidRPr="009A4917" w:rsidRDefault="00BB3A5F" w:rsidP="00BB3A5F">
            <w:pPr>
              <w:rPr>
                <w:rStyle w:val="Strong"/>
              </w:rPr>
            </w:pPr>
            <w:r w:rsidRPr="009A4917">
              <w:t>135.4</w:t>
            </w:r>
          </w:p>
        </w:tc>
      </w:tr>
      <w:tr w:rsidR="00BB3A5F" w:rsidRPr="00053DD5" w14:paraId="557373B2" w14:textId="77777777" w:rsidTr="00BB3A5F">
        <w:tc>
          <w:tcPr>
            <w:tcW w:w="4536" w:type="dxa"/>
            <w:shd w:val="clear" w:color="auto" w:fill="D4E2E0" w:themeFill="accent5"/>
            <w:vAlign w:val="center"/>
          </w:tcPr>
          <w:p w14:paraId="00E25C72" w14:textId="77777777" w:rsidR="00BB3A5F" w:rsidRPr="009516EE" w:rsidRDefault="00BB3A5F" w:rsidP="00BB3A5F">
            <w:r w:rsidRPr="009516EE">
              <w:br/>
              <w:t>Staff on secondment</w:t>
            </w:r>
          </w:p>
        </w:tc>
        <w:tc>
          <w:tcPr>
            <w:tcW w:w="1956" w:type="dxa"/>
            <w:vAlign w:val="center"/>
          </w:tcPr>
          <w:p w14:paraId="07013C50" w14:textId="36586E6C" w:rsidR="00BB3A5F" w:rsidRPr="009A4917" w:rsidRDefault="00BB3A5F" w:rsidP="00BB3A5F">
            <w:pPr>
              <w:rPr>
                <w:rFonts w:cs="Arial"/>
                <w:highlight w:val="yellow"/>
              </w:rPr>
            </w:pPr>
            <w:r w:rsidRPr="009A4917">
              <w:t>2</w:t>
            </w:r>
          </w:p>
        </w:tc>
      </w:tr>
      <w:tr w:rsidR="00BB3A5F" w:rsidRPr="00053DD5" w14:paraId="728290A6" w14:textId="77777777" w:rsidTr="00BB3A5F">
        <w:tc>
          <w:tcPr>
            <w:tcW w:w="4536" w:type="dxa"/>
            <w:shd w:val="clear" w:color="auto" w:fill="D4E2E0" w:themeFill="accent5"/>
            <w:vAlign w:val="center"/>
          </w:tcPr>
          <w:p w14:paraId="492A6691" w14:textId="77777777" w:rsidR="00BB3A5F" w:rsidRPr="009516EE" w:rsidRDefault="00BB3A5F" w:rsidP="00BB3A5F">
            <w:r w:rsidRPr="009516EE">
              <w:br/>
              <w:t>Staff on traineeship</w:t>
            </w:r>
          </w:p>
        </w:tc>
        <w:tc>
          <w:tcPr>
            <w:tcW w:w="1956" w:type="dxa"/>
            <w:shd w:val="clear" w:color="auto" w:fill="auto"/>
            <w:vAlign w:val="center"/>
          </w:tcPr>
          <w:p w14:paraId="7AADA43C" w14:textId="7990EE83" w:rsidR="00BB3A5F" w:rsidRPr="009A4917" w:rsidRDefault="00BB3A5F" w:rsidP="00BB3A5F">
            <w:pPr>
              <w:rPr>
                <w:rFonts w:cs="Arial"/>
                <w:highlight w:val="yellow"/>
              </w:rPr>
            </w:pPr>
            <w:r w:rsidRPr="009A4917">
              <w:t>1</w:t>
            </w:r>
          </w:p>
        </w:tc>
      </w:tr>
      <w:tr w:rsidR="00BB3A5F" w:rsidRPr="00053DD5" w14:paraId="1DB5BBB7" w14:textId="77777777" w:rsidTr="00BB3A5F">
        <w:tc>
          <w:tcPr>
            <w:tcW w:w="4536" w:type="dxa"/>
            <w:shd w:val="clear" w:color="auto" w:fill="D4E2E0" w:themeFill="accent5"/>
            <w:vAlign w:val="center"/>
          </w:tcPr>
          <w:p w14:paraId="15F41E14" w14:textId="77777777" w:rsidR="00BB3A5F" w:rsidRPr="009516EE" w:rsidRDefault="00BB3A5F" w:rsidP="00BB3A5F">
            <w:pPr>
              <w:spacing w:before="120" w:after="120"/>
            </w:pPr>
            <w:r>
              <w:t>Staff in graduate program</w:t>
            </w:r>
          </w:p>
        </w:tc>
        <w:tc>
          <w:tcPr>
            <w:tcW w:w="1956" w:type="dxa"/>
            <w:shd w:val="clear" w:color="auto" w:fill="auto"/>
            <w:vAlign w:val="center"/>
          </w:tcPr>
          <w:p w14:paraId="51329CC9" w14:textId="481B0A28" w:rsidR="00BB3A5F" w:rsidRPr="009A4917" w:rsidRDefault="00BB3A5F" w:rsidP="00BB3A5F">
            <w:pPr>
              <w:spacing w:before="120" w:after="120"/>
              <w:rPr>
                <w:rFonts w:cs="Arial"/>
                <w:highlight w:val="yellow"/>
              </w:rPr>
            </w:pPr>
            <w:r w:rsidRPr="009A4917">
              <w:t>2</w:t>
            </w:r>
          </w:p>
        </w:tc>
      </w:tr>
    </w:tbl>
    <w:p w14:paraId="30D1360F" w14:textId="72E0D1EA" w:rsidR="006E3D5B" w:rsidRPr="00A83FAC" w:rsidRDefault="006E3D5B" w:rsidP="00A83FAC">
      <w:pPr>
        <w:keepLines w:val="0"/>
        <w:spacing w:after="0" w:line="240" w:lineRule="auto"/>
        <w:rPr>
          <w:b/>
          <w:bCs/>
        </w:rPr>
      </w:pPr>
    </w:p>
    <w:p w14:paraId="6513AF45" w14:textId="63F80710" w:rsidR="00577015" w:rsidRDefault="00577015" w:rsidP="002C2058">
      <w:pPr>
        <w:pStyle w:val="Heading2nonumber"/>
      </w:pPr>
      <w:bookmarkStart w:id="89" w:name="_Toc399316925"/>
      <w:bookmarkStart w:id="90" w:name="_Toc426617416"/>
      <w:bookmarkStart w:id="91" w:name="_Toc430091138"/>
      <w:r w:rsidRPr="00577015">
        <w:t xml:space="preserve">Workforce </w:t>
      </w:r>
      <w:r w:rsidR="00537E41">
        <w:t>p</w:t>
      </w:r>
      <w:r w:rsidRPr="00577015">
        <w:t>olicies</w:t>
      </w:r>
      <w:bookmarkEnd w:id="89"/>
      <w:bookmarkEnd w:id="90"/>
      <w:bookmarkEnd w:id="91"/>
    </w:p>
    <w:p w14:paraId="3F37D165" w14:textId="06A116C9" w:rsidR="00F31107" w:rsidRPr="00F31107" w:rsidRDefault="00C726B0" w:rsidP="002C2058">
      <w:r>
        <w:t>WorkCover WA</w:t>
      </w:r>
      <w:r w:rsidR="00F31107" w:rsidRPr="00532F30">
        <w:t>’s workforce policies are o</w:t>
      </w:r>
      <w:r w:rsidR="00CD301C">
        <w:t>utlined under ‘Opportunity and a</w:t>
      </w:r>
      <w:r w:rsidR="00F31107" w:rsidRPr="00532F30">
        <w:t xml:space="preserve">ccessibility’ in </w:t>
      </w:r>
      <w:r w:rsidR="00CD301C">
        <w:rPr>
          <w:rStyle w:val="Emphasis"/>
        </w:rPr>
        <w:t>Section 4: Opportunities and c</w:t>
      </w:r>
      <w:r w:rsidR="00F31107" w:rsidRPr="00A25982">
        <w:rPr>
          <w:rStyle w:val="Emphasis"/>
        </w:rPr>
        <w:t>hallenges</w:t>
      </w:r>
      <w:r w:rsidR="00F31107" w:rsidRPr="00532F30">
        <w:t xml:space="preserve">, and the entries disclosed </w:t>
      </w:r>
      <w:r w:rsidR="00CD301C">
        <w:t>under ‘Legal c</w:t>
      </w:r>
      <w:r w:rsidR="00F31107" w:rsidRPr="009C76F9">
        <w:t xml:space="preserve">ompliance’ in </w:t>
      </w:r>
      <w:r w:rsidR="00CD301C">
        <w:rPr>
          <w:rStyle w:val="Emphasis"/>
        </w:rPr>
        <w:t>Section 5: Disclosures and legal c</w:t>
      </w:r>
      <w:r w:rsidR="00F31107" w:rsidRPr="009C76F9">
        <w:rPr>
          <w:rStyle w:val="Emphasis"/>
        </w:rPr>
        <w:t>ompliance</w:t>
      </w:r>
      <w:r w:rsidR="00F31107" w:rsidRPr="009C76F9">
        <w:t>.</w:t>
      </w:r>
    </w:p>
    <w:p w14:paraId="1FDFF077" w14:textId="77777777" w:rsidR="007B07F8" w:rsidRDefault="007B07F8">
      <w:pPr>
        <w:keepLines w:val="0"/>
        <w:spacing w:after="0" w:line="240" w:lineRule="auto"/>
        <w:rPr>
          <w:rFonts w:eastAsiaTheme="majorEastAsia" w:cs="Arial"/>
          <w:b/>
          <w:bCs/>
          <w:iCs/>
          <w:color w:val="205352"/>
          <w:sz w:val="30"/>
          <w:szCs w:val="30"/>
        </w:rPr>
      </w:pPr>
      <w:bookmarkStart w:id="92" w:name="_Toc426617417"/>
      <w:r>
        <w:br w:type="page"/>
      </w:r>
    </w:p>
    <w:p w14:paraId="22478BF3" w14:textId="2DB5508D" w:rsidR="005B696E" w:rsidRPr="002C2058" w:rsidRDefault="005B696E" w:rsidP="002C2058">
      <w:pPr>
        <w:pStyle w:val="Heading2nonumber"/>
      </w:pPr>
      <w:bookmarkStart w:id="93" w:name="_Toc430091139"/>
      <w:r w:rsidRPr="002C2058">
        <w:lastRenderedPageBreak/>
        <w:t>Staff perceptions</w:t>
      </w:r>
      <w:bookmarkEnd w:id="92"/>
      <w:bookmarkEnd w:id="93"/>
    </w:p>
    <w:p w14:paraId="2DD0BBA0" w14:textId="1C415F99" w:rsidR="005B696E" w:rsidRDefault="00733054" w:rsidP="002C2058">
      <w:pPr>
        <w:rPr>
          <w:rFonts w:eastAsia="+mn-ea"/>
        </w:rPr>
      </w:pPr>
      <w:r>
        <w:rPr>
          <w:rFonts w:eastAsia="+mn-ea"/>
        </w:rPr>
        <w:t>WorkCover WA</w:t>
      </w:r>
      <w:r w:rsidR="005B696E" w:rsidRPr="00C8445B">
        <w:rPr>
          <w:rFonts w:eastAsia="+mn-ea"/>
        </w:rPr>
        <w:t xml:space="preserve"> completed the </w:t>
      </w:r>
      <w:r w:rsidR="00384DDD">
        <w:rPr>
          <w:rFonts w:eastAsia="+mn-ea"/>
        </w:rPr>
        <w:t>P</w:t>
      </w:r>
      <w:r w:rsidR="000C5A71">
        <w:rPr>
          <w:rFonts w:eastAsia="+mn-ea"/>
        </w:rPr>
        <w:t>ublic Sector Commission’s (PSC</w:t>
      </w:r>
      <w:r w:rsidR="00384DDD">
        <w:rPr>
          <w:rFonts w:eastAsia="+mn-ea"/>
        </w:rPr>
        <w:t xml:space="preserve">) </w:t>
      </w:r>
      <w:r w:rsidR="005B696E" w:rsidRPr="00C8445B">
        <w:rPr>
          <w:rFonts w:eastAsia="+mn-ea"/>
        </w:rPr>
        <w:t>Pu</w:t>
      </w:r>
      <w:r w:rsidR="00B03431">
        <w:rPr>
          <w:rFonts w:eastAsia="+mn-ea"/>
        </w:rPr>
        <w:t>blic Sector Employee Perception</w:t>
      </w:r>
      <w:r w:rsidR="005B696E" w:rsidRPr="00C8445B">
        <w:rPr>
          <w:rFonts w:eastAsia="+mn-ea"/>
        </w:rPr>
        <w:t xml:space="preserve"> Survey</w:t>
      </w:r>
      <w:r w:rsidR="005B696E">
        <w:rPr>
          <w:rFonts w:eastAsia="+mn-ea"/>
        </w:rPr>
        <w:t xml:space="preserve"> in April 2014. </w:t>
      </w:r>
      <w:r w:rsidR="005B696E" w:rsidRPr="00C8445B">
        <w:rPr>
          <w:rFonts w:eastAsia="+mn-ea"/>
        </w:rPr>
        <w:t>The survey responses were made available in September 2014</w:t>
      </w:r>
      <w:r w:rsidR="005B696E">
        <w:rPr>
          <w:rFonts w:eastAsia="+mn-ea"/>
        </w:rPr>
        <w:t>, indicating:</w:t>
      </w:r>
    </w:p>
    <w:p w14:paraId="487557D1" w14:textId="74D482FB" w:rsidR="005B696E" w:rsidRPr="002C2058" w:rsidRDefault="00C726B0" w:rsidP="002C2058">
      <w:pPr>
        <w:pStyle w:val="BulletListLevel1"/>
      </w:pPr>
      <w:r w:rsidRPr="002C2058">
        <w:t>WorkCover WA</w:t>
      </w:r>
      <w:r w:rsidR="005B696E" w:rsidRPr="002C2058">
        <w:t xml:space="preserve"> achieved a significantly higher ‘strong satisfaction rating’ against the majority of questions than other public sector agencies.</w:t>
      </w:r>
    </w:p>
    <w:p w14:paraId="5B68D5AC" w14:textId="575D3489" w:rsidR="00867CF7" w:rsidRPr="002C2058" w:rsidRDefault="00C726B0" w:rsidP="002C2058">
      <w:pPr>
        <w:pStyle w:val="BulletListLevel1"/>
        <w:rPr>
          <w:b/>
          <w:iCs/>
        </w:rPr>
      </w:pPr>
      <w:r w:rsidRPr="002C2058">
        <w:t>WorkCover WA</w:t>
      </w:r>
      <w:r w:rsidR="005B696E" w:rsidRPr="002C2058">
        <w:t xml:space="preserve"> staff have an excellent understanding and awareness of </w:t>
      </w:r>
      <w:r w:rsidR="00733054" w:rsidRPr="002C2058">
        <w:t>a</w:t>
      </w:r>
      <w:r w:rsidR="005B696E" w:rsidRPr="002C2058">
        <w:t>gency and public sector standards and policies</w:t>
      </w:r>
      <w:r w:rsidR="005B696E" w:rsidRPr="005B696E">
        <w:rPr>
          <w:rFonts w:eastAsia="+mn-ea"/>
        </w:rPr>
        <w:t>.</w:t>
      </w:r>
    </w:p>
    <w:p w14:paraId="5FDA1A59" w14:textId="15863808" w:rsidR="00577015" w:rsidRDefault="00577015" w:rsidP="00774708">
      <w:pPr>
        <w:pStyle w:val="Heading1nonumber"/>
      </w:pPr>
      <w:bookmarkStart w:id="94" w:name="_Toc399316926"/>
      <w:bookmarkStart w:id="95" w:name="_Toc426617418"/>
      <w:bookmarkStart w:id="96" w:name="_Toc430091140"/>
      <w:r>
        <w:t xml:space="preserve">Enabling </w:t>
      </w:r>
      <w:r w:rsidR="00854400">
        <w:t>l</w:t>
      </w:r>
      <w:r>
        <w:t>egislation</w:t>
      </w:r>
      <w:bookmarkEnd w:id="94"/>
      <w:bookmarkEnd w:id="95"/>
      <w:bookmarkEnd w:id="96"/>
    </w:p>
    <w:p w14:paraId="4D31B3A1" w14:textId="156BCF84" w:rsidR="00F31107" w:rsidRPr="00F31107" w:rsidRDefault="005C02A0" w:rsidP="00F31107">
      <w:r w:rsidRPr="00276ACB">
        <w:rPr>
          <w:rFonts w:cs="Arial"/>
        </w:rPr>
        <w:t xml:space="preserve">The WorkCover Western Australia Authority is constituted under section 94 of the Act. </w:t>
      </w:r>
      <w:r w:rsidR="00C726B0">
        <w:rPr>
          <w:rFonts w:cs="Arial"/>
        </w:rPr>
        <w:t>WorkCover WA</w:t>
      </w:r>
      <w:r w:rsidRPr="00276ACB">
        <w:rPr>
          <w:rFonts w:cs="Arial"/>
        </w:rPr>
        <w:t>’s functions and powers are detailed in sections 100 and 101 of the Act. The objectives and constitution of the Conciliation and Arbitration Services are contained within sections 177, 181 and 182ZO of the Act.</w:t>
      </w:r>
    </w:p>
    <w:p w14:paraId="06C50587" w14:textId="5920396F" w:rsidR="00577015" w:rsidRDefault="00577015" w:rsidP="00774708">
      <w:pPr>
        <w:pStyle w:val="Heading2nonumber"/>
      </w:pPr>
      <w:bookmarkStart w:id="97" w:name="_Toc399316927"/>
      <w:bookmarkStart w:id="98" w:name="_Toc426617419"/>
      <w:bookmarkStart w:id="99" w:name="_Toc430091141"/>
      <w:r>
        <w:t>Legislation administered</w:t>
      </w:r>
      <w:bookmarkEnd w:id="97"/>
      <w:bookmarkEnd w:id="98"/>
      <w:bookmarkEnd w:id="99"/>
    </w:p>
    <w:p w14:paraId="6526F774" w14:textId="6EF91DC7" w:rsidR="009E0910" w:rsidRPr="00276ACB" w:rsidRDefault="005C02A0" w:rsidP="005C02A0">
      <w:pPr>
        <w:shd w:val="clear" w:color="auto" w:fill="FFFFFF" w:themeFill="background1"/>
        <w:spacing w:before="120" w:after="0"/>
        <w:rPr>
          <w:rFonts w:cs="Arial"/>
        </w:rPr>
      </w:pPr>
      <w:r w:rsidRPr="00276ACB">
        <w:rPr>
          <w:rFonts w:cs="Arial"/>
        </w:rPr>
        <w:t xml:space="preserve">In the performance of its functions, </w:t>
      </w:r>
      <w:r w:rsidR="00C726B0">
        <w:rPr>
          <w:rFonts w:cs="Arial"/>
        </w:rPr>
        <w:t>WorkCover WA</w:t>
      </w:r>
      <w:r w:rsidRPr="00276ACB">
        <w:rPr>
          <w:rFonts w:cs="Arial"/>
        </w:rPr>
        <w:t xml:space="preserve"> administers the following legislation:</w:t>
      </w:r>
      <w:r w:rsidR="009E0910">
        <w:rPr>
          <w:rFonts w:cs="Arial"/>
        </w:rPr>
        <w:br/>
      </w:r>
    </w:p>
    <w:p w14:paraId="5990C5B4" w14:textId="77777777" w:rsidR="005C02A0" w:rsidRPr="005C02A0" w:rsidRDefault="005C02A0" w:rsidP="005C02A0">
      <w:pPr>
        <w:pStyle w:val="BulletListLevel1"/>
        <w:rPr>
          <w:b/>
          <w:i/>
        </w:rPr>
      </w:pPr>
      <w:r w:rsidRPr="005C02A0">
        <w:rPr>
          <w:i/>
        </w:rPr>
        <w:t>Workers’ Compensation and Injury Management Act 1981</w:t>
      </w:r>
    </w:p>
    <w:p w14:paraId="21FD6D99" w14:textId="77777777" w:rsidR="005C02A0" w:rsidRPr="005C02A0" w:rsidRDefault="005C02A0" w:rsidP="005C02A0">
      <w:pPr>
        <w:pStyle w:val="BulletListLevel1"/>
        <w:rPr>
          <w:b/>
          <w:i/>
        </w:rPr>
      </w:pPr>
      <w:r w:rsidRPr="005C02A0">
        <w:rPr>
          <w:i/>
        </w:rPr>
        <w:t>Employers’ Indemnity Supplementation Fund Act 1980</w:t>
      </w:r>
    </w:p>
    <w:p w14:paraId="12624CF1" w14:textId="77777777" w:rsidR="005C02A0" w:rsidRPr="005C02A0" w:rsidRDefault="005C02A0" w:rsidP="005C02A0">
      <w:pPr>
        <w:pStyle w:val="BulletListLevel1"/>
        <w:rPr>
          <w:b/>
          <w:i/>
        </w:rPr>
      </w:pPr>
      <w:r w:rsidRPr="005C02A0">
        <w:rPr>
          <w:i/>
        </w:rPr>
        <w:t>Workers’ Compensation and Injury Management (Acts of Terrorism) Act 2001</w:t>
      </w:r>
    </w:p>
    <w:p w14:paraId="602E8288" w14:textId="77777777" w:rsidR="005C02A0" w:rsidRPr="005C02A0" w:rsidRDefault="005C02A0" w:rsidP="005C02A0">
      <w:pPr>
        <w:pStyle w:val="BulletListLevel1"/>
        <w:rPr>
          <w:b/>
          <w:i/>
        </w:rPr>
      </w:pPr>
      <w:r w:rsidRPr="005C02A0">
        <w:rPr>
          <w:i/>
        </w:rPr>
        <w:t>Workers’ Compensation (Common Law Proceedings) Act 2004</w:t>
      </w:r>
    </w:p>
    <w:p w14:paraId="73527218" w14:textId="77777777" w:rsidR="005C02A0" w:rsidRPr="005C02A0" w:rsidRDefault="005C02A0" w:rsidP="005C02A0">
      <w:pPr>
        <w:pStyle w:val="BulletListLevel1"/>
        <w:rPr>
          <w:b/>
          <w:i/>
        </w:rPr>
      </w:pPr>
      <w:r w:rsidRPr="005C02A0">
        <w:rPr>
          <w:i/>
        </w:rPr>
        <w:t>Waterfront Workers’ (Compensation for Asbestos Related Diseases) Act 1986</w:t>
      </w:r>
    </w:p>
    <w:p w14:paraId="3CF008FE" w14:textId="0393F77E" w:rsidR="00455BF9" w:rsidRPr="00455BF9" w:rsidRDefault="005C02A0" w:rsidP="00105D1D">
      <w:pPr>
        <w:pStyle w:val="BulletListLevel1"/>
      </w:pPr>
      <w:r w:rsidRPr="00C06061">
        <w:rPr>
          <w:i/>
        </w:rPr>
        <w:t>Employers’ Indemnity Policies (Premium Rates) Act 1990</w:t>
      </w:r>
    </w:p>
    <w:p w14:paraId="6A333540" w14:textId="77777777" w:rsidR="007B07F8" w:rsidRDefault="007B07F8">
      <w:pPr>
        <w:keepLines w:val="0"/>
        <w:spacing w:after="0" w:line="240" w:lineRule="auto"/>
        <w:rPr>
          <w:rFonts w:cs="Arial"/>
          <w:b/>
          <w:bCs/>
          <w:szCs w:val="28"/>
          <w:lang w:val="en-US" w:eastAsia="en-AU"/>
        </w:rPr>
      </w:pPr>
      <w:r>
        <w:br w:type="page"/>
      </w:r>
    </w:p>
    <w:p w14:paraId="5F95BEEE" w14:textId="6D18C465" w:rsidR="00455BF9" w:rsidRPr="00ED5179" w:rsidRDefault="00455BF9" w:rsidP="00664937">
      <w:pPr>
        <w:pStyle w:val="Heading4"/>
        <w:rPr>
          <w:rFonts w:eastAsia="Times New Roman"/>
        </w:rPr>
      </w:pPr>
      <w:r w:rsidRPr="00455BF9">
        <w:rPr>
          <w:rFonts w:eastAsia="Times New Roman"/>
        </w:rPr>
        <w:lastRenderedPageBreak/>
        <w:t>Subsidiary legislation</w:t>
      </w:r>
    </w:p>
    <w:p w14:paraId="0ECA9551" w14:textId="77777777" w:rsidR="005C02A0" w:rsidRPr="005C02A0" w:rsidRDefault="005C02A0" w:rsidP="005C02A0">
      <w:pPr>
        <w:pStyle w:val="BulletListLevel1"/>
        <w:rPr>
          <w:b/>
          <w:i/>
        </w:rPr>
      </w:pPr>
      <w:r w:rsidRPr="005C02A0">
        <w:rPr>
          <w:i/>
        </w:rPr>
        <w:t>Workers’ Compensation and Injury Management Regulations 1982</w:t>
      </w:r>
    </w:p>
    <w:p w14:paraId="0CCF0AA3" w14:textId="77777777" w:rsidR="005C02A0" w:rsidRPr="005C02A0" w:rsidRDefault="005C02A0" w:rsidP="005C02A0">
      <w:pPr>
        <w:pStyle w:val="BulletListLevel1"/>
        <w:rPr>
          <w:b/>
          <w:i/>
        </w:rPr>
      </w:pPr>
      <w:r w:rsidRPr="005C02A0">
        <w:rPr>
          <w:i/>
        </w:rPr>
        <w:t>Workers’ Compensation Code of Practice (Injury Management) 2005</w:t>
      </w:r>
    </w:p>
    <w:p w14:paraId="7DD7CA41" w14:textId="77777777" w:rsidR="005C02A0" w:rsidRPr="005C02A0" w:rsidRDefault="005C02A0" w:rsidP="005C02A0">
      <w:pPr>
        <w:pStyle w:val="BulletListLevel1"/>
        <w:rPr>
          <w:b/>
          <w:i/>
        </w:rPr>
      </w:pPr>
      <w:r w:rsidRPr="005C02A0">
        <w:rPr>
          <w:i/>
        </w:rPr>
        <w:t>Workers’ Compensation and Injury Management (Scales of Fees) Regulations 1998</w:t>
      </w:r>
    </w:p>
    <w:p w14:paraId="5A7724E9" w14:textId="57F96ED3" w:rsidR="005C02A0" w:rsidRPr="005C02A0" w:rsidRDefault="005C02A0" w:rsidP="005C02A0">
      <w:pPr>
        <w:pStyle w:val="BulletListLevel1"/>
        <w:rPr>
          <w:b/>
          <w:i/>
        </w:rPr>
      </w:pPr>
      <w:r w:rsidRPr="005C02A0">
        <w:rPr>
          <w:i/>
        </w:rPr>
        <w:t>Workers’ Compensation (Legal Practitioners and Registered Agents) Costs Determination 201</w:t>
      </w:r>
      <w:r w:rsidR="008E71CD">
        <w:rPr>
          <w:i/>
        </w:rPr>
        <w:t>5</w:t>
      </w:r>
    </w:p>
    <w:p w14:paraId="27CFDDE1" w14:textId="77777777" w:rsidR="005C02A0" w:rsidRPr="005C02A0" w:rsidRDefault="005C02A0" w:rsidP="005C02A0">
      <w:pPr>
        <w:pStyle w:val="BulletListLevel1"/>
        <w:rPr>
          <w:b/>
          <w:i/>
        </w:rPr>
      </w:pPr>
      <w:r w:rsidRPr="005C02A0">
        <w:rPr>
          <w:i/>
        </w:rPr>
        <w:t>Workers’ Compensation and Rehabilitation (Acts of Terrorism) (Final Day) Regulations 2002</w:t>
      </w:r>
    </w:p>
    <w:p w14:paraId="6C7FD568" w14:textId="77777777" w:rsidR="005C02A0" w:rsidRPr="005C02A0" w:rsidRDefault="005C02A0" w:rsidP="005C02A0">
      <w:pPr>
        <w:pStyle w:val="BulletListLevel1"/>
        <w:rPr>
          <w:b/>
          <w:i/>
        </w:rPr>
      </w:pPr>
      <w:r w:rsidRPr="005C02A0">
        <w:rPr>
          <w:i/>
        </w:rPr>
        <w:t>WorkCover Western Australia Guides for the Evaluation of Permanent Impairment – Third Edition</w:t>
      </w:r>
    </w:p>
    <w:p w14:paraId="7F2ADA5C" w14:textId="77777777" w:rsidR="005C02A0" w:rsidRPr="005C02A0" w:rsidRDefault="005C02A0" w:rsidP="005C02A0">
      <w:pPr>
        <w:pStyle w:val="BulletListLevel1"/>
        <w:rPr>
          <w:b/>
          <w:i/>
        </w:rPr>
      </w:pPr>
      <w:r w:rsidRPr="005C02A0">
        <w:rPr>
          <w:i/>
        </w:rPr>
        <w:t>Workers’ Compensation and Injury Management Conciliation Rules 2011</w:t>
      </w:r>
    </w:p>
    <w:p w14:paraId="2A07E4B3" w14:textId="77777777" w:rsidR="00455BF9" w:rsidRPr="005C02A0" w:rsidRDefault="005C02A0" w:rsidP="005C02A0">
      <w:pPr>
        <w:pStyle w:val="BulletListLevel1"/>
        <w:rPr>
          <w:i/>
        </w:rPr>
      </w:pPr>
      <w:r w:rsidRPr="005C02A0">
        <w:rPr>
          <w:i/>
        </w:rPr>
        <w:t>Workers’ Compensation and Injury Management Arbitration Rules 2011</w:t>
      </w:r>
    </w:p>
    <w:p w14:paraId="0BDD6273" w14:textId="725E3D0E" w:rsidR="00455BF9" w:rsidRPr="00455BF9" w:rsidRDefault="00F31107" w:rsidP="00664937">
      <w:pPr>
        <w:pStyle w:val="Heading4"/>
      </w:pPr>
      <w:r w:rsidRPr="00F31107">
        <w:t xml:space="preserve">Key legislation impacting on </w:t>
      </w:r>
      <w:r w:rsidR="00C726B0">
        <w:t>WorkCover WA</w:t>
      </w:r>
      <w:r w:rsidRPr="00F31107">
        <w:t>’s activities</w:t>
      </w:r>
    </w:p>
    <w:p w14:paraId="47168AD4" w14:textId="77777777" w:rsidR="005C02A0" w:rsidRPr="005C02A0" w:rsidRDefault="005C02A0" w:rsidP="005C02A0">
      <w:pPr>
        <w:pStyle w:val="BulletListLevel1"/>
        <w:rPr>
          <w:b/>
          <w:i/>
        </w:rPr>
      </w:pPr>
      <w:r w:rsidRPr="005C02A0">
        <w:rPr>
          <w:i/>
        </w:rPr>
        <w:t>A New Tax System (Fringe Benefits Reporting) Act 1999 (Commonwealth)</w:t>
      </w:r>
    </w:p>
    <w:p w14:paraId="46D8B192" w14:textId="77777777" w:rsidR="005C02A0" w:rsidRPr="005C02A0" w:rsidRDefault="005C02A0" w:rsidP="005C02A0">
      <w:pPr>
        <w:pStyle w:val="BulletListLevel1"/>
        <w:rPr>
          <w:b/>
          <w:i/>
        </w:rPr>
      </w:pPr>
      <w:r w:rsidRPr="005C02A0">
        <w:rPr>
          <w:i/>
        </w:rPr>
        <w:t>A New Tax System (Goods and Services Tax) Act 1999 (Commonwealth)</w:t>
      </w:r>
    </w:p>
    <w:p w14:paraId="0220FD9E" w14:textId="77777777" w:rsidR="005C02A0" w:rsidRPr="005C02A0" w:rsidRDefault="005C02A0" w:rsidP="005C02A0">
      <w:pPr>
        <w:pStyle w:val="BulletListLevel1"/>
        <w:rPr>
          <w:b/>
          <w:i/>
        </w:rPr>
      </w:pPr>
      <w:r w:rsidRPr="005C02A0">
        <w:rPr>
          <w:i/>
        </w:rPr>
        <w:t>Auditor General Act 2006</w:t>
      </w:r>
    </w:p>
    <w:p w14:paraId="46AE4621" w14:textId="77777777" w:rsidR="005C02A0" w:rsidRPr="005C02A0" w:rsidRDefault="005C02A0" w:rsidP="005C02A0">
      <w:pPr>
        <w:pStyle w:val="BulletListLevel1"/>
        <w:rPr>
          <w:b/>
          <w:i/>
        </w:rPr>
      </w:pPr>
      <w:r w:rsidRPr="005C02A0">
        <w:rPr>
          <w:i/>
        </w:rPr>
        <w:t>Corruption and Crime Commission Act 2003</w:t>
      </w:r>
    </w:p>
    <w:p w14:paraId="26C52E84" w14:textId="77777777" w:rsidR="005C02A0" w:rsidRPr="005C02A0" w:rsidRDefault="005C02A0" w:rsidP="005C02A0">
      <w:pPr>
        <w:pStyle w:val="BulletListLevel1"/>
        <w:rPr>
          <w:b/>
          <w:i/>
        </w:rPr>
      </w:pPr>
      <w:r w:rsidRPr="005C02A0">
        <w:rPr>
          <w:i/>
        </w:rPr>
        <w:t>Disability Services Act 1993</w:t>
      </w:r>
    </w:p>
    <w:p w14:paraId="75965637" w14:textId="77777777" w:rsidR="005C02A0" w:rsidRPr="005C02A0" w:rsidRDefault="005C02A0" w:rsidP="005C02A0">
      <w:pPr>
        <w:pStyle w:val="BulletListLevel1"/>
        <w:rPr>
          <w:b/>
          <w:i/>
        </w:rPr>
      </w:pPr>
      <w:r w:rsidRPr="005C02A0">
        <w:rPr>
          <w:i/>
        </w:rPr>
        <w:t>Electoral Act 1907</w:t>
      </w:r>
    </w:p>
    <w:p w14:paraId="23767B23" w14:textId="77777777" w:rsidR="005C02A0" w:rsidRPr="005C02A0" w:rsidRDefault="005C02A0" w:rsidP="005C02A0">
      <w:pPr>
        <w:pStyle w:val="BulletListLevel1"/>
        <w:rPr>
          <w:b/>
          <w:i/>
        </w:rPr>
      </w:pPr>
      <w:r w:rsidRPr="005C02A0">
        <w:rPr>
          <w:i/>
        </w:rPr>
        <w:t>Electronic Transactions Act 2011</w:t>
      </w:r>
    </w:p>
    <w:p w14:paraId="135EAAA2" w14:textId="77777777" w:rsidR="005C02A0" w:rsidRPr="005C02A0" w:rsidRDefault="005C02A0" w:rsidP="005C02A0">
      <w:pPr>
        <w:pStyle w:val="BulletListLevel1"/>
        <w:rPr>
          <w:b/>
          <w:i/>
        </w:rPr>
      </w:pPr>
      <w:r w:rsidRPr="005C02A0">
        <w:rPr>
          <w:i/>
        </w:rPr>
        <w:t>Equal Opportunity Act 1984</w:t>
      </w:r>
    </w:p>
    <w:p w14:paraId="31C4D62E" w14:textId="77777777" w:rsidR="005C02A0" w:rsidRPr="005C02A0" w:rsidRDefault="005C02A0" w:rsidP="005C02A0">
      <w:pPr>
        <w:pStyle w:val="BulletListLevel1"/>
        <w:rPr>
          <w:b/>
          <w:i/>
        </w:rPr>
      </w:pPr>
      <w:r w:rsidRPr="005C02A0">
        <w:rPr>
          <w:i/>
        </w:rPr>
        <w:t>Financial Management Act 2006</w:t>
      </w:r>
    </w:p>
    <w:p w14:paraId="67596791" w14:textId="77777777" w:rsidR="005C02A0" w:rsidRPr="005C02A0" w:rsidRDefault="005C02A0" w:rsidP="005C02A0">
      <w:pPr>
        <w:pStyle w:val="BulletListLevel1"/>
        <w:rPr>
          <w:b/>
          <w:i/>
        </w:rPr>
      </w:pPr>
      <w:r w:rsidRPr="005C02A0">
        <w:rPr>
          <w:i/>
        </w:rPr>
        <w:t>Freedom of Information Act 1992</w:t>
      </w:r>
    </w:p>
    <w:p w14:paraId="6BE7231A" w14:textId="77777777" w:rsidR="005C02A0" w:rsidRPr="005C02A0" w:rsidRDefault="005C02A0" w:rsidP="005C02A0">
      <w:pPr>
        <w:pStyle w:val="BulletListLevel1"/>
        <w:rPr>
          <w:b/>
          <w:i/>
        </w:rPr>
      </w:pPr>
      <w:r w:rsidRPr="005C02A0">
        <w:rPr>
          <w:i/>
        </w:rPr>
        <w:t>Industrial Relations Act 1979</w:t>
      </w:r>
    </w:p>
    <w:p w14:paraId="1D3A9F33" w14:textId="77777777" w:rsidR="005C02A0" w:rsidRPr="005C02A0" w:rsidRDefault="005C02A0" w:rsidP="005C02A0">
      <w:pPr>
        <w:pStyle w:val="BulletListLevel1"/>
        <w:rPr>
          <w:b/>
          <w:i/>
        </w:rPr>
      </w:pPr>
      <w:r w:rsidRPr="005C02A0">
        <w:rPr>
          <w:i/>
        </w:rPr>
        <w:t>Minimum Conditions of Employment Act 1993</w:t>
      </w:r>
    </w:p>
    <w:p w14:paraId="6CFA19A7" w14:textId="77777777" w:rsidR="005C02A0" w:rsidRPr="005C02A0" w:rsidRDefault="005C02A0" w:rsidP="005C02A0">
      <w:pPr>
        <w:pStyle w:val="BulletListLevel1"/>
        <w:rPr>
          <w:b/>
          <w:i/>
        </w:rPr>
      </w:pPr>
      <w:r w:rsidRPr="005C02A0">
        <w:rPr>
          <w:i/>
        </w:rPr>
        <w:lastRenderedPageBreak/>
        <w:t>Occupational Safety and Health Act 1984</w:t>
      </w:r>
    </w:p>
    <w:p w14:paraId="51B7095D" w14:textId="77777777" w:rsidR="005C02A0" w:rsidRPr="005C02A0" w:rsidRDefault="005C02A0" w:rsidP="005C02A0">
      <w:pPr>
        <w:pStyle w:val="BulletListLevel1"/>
        <w:rPr>
          <w:b/>
          <w:i/>
        </w:rPr>
      </w:pPr>
      <w:r w:rsidRPr="005C02A0">
        <w:rPr>
          <w:i/>
        </w:rPr>
        <w:t>Occupiers’ Liability Act 1985</w:t>
      </w:r>
    </w:p>
    <w:p w14:paraId="75EF0BA0" w14:textId="77777777" w:rsidR="005C02A0" w:rsidRPr="005C02A0" w:rsidRDefault="005C02A0" w:rsidP="005C02A0">
      <w:pPr>
        <w:pStyle w:val="BulletListLevel1"/>
        <w:rPr>
          <w:b/>
          <w:i/>
        </w:rPr>
      </w:pPr>
      <w:r w:rsidRPr="005C02A0">
        <w:rPr>
          <w:i/>
        </w:rPr>
        <w:t>Public and Bank Holidays Act 1972</w:t>
      </w:r>
    </w:p>
    <w:p w14:paraId="6E9DE6F8" w14:textId="77777777" w:rsidR="005C02A0" w:rsidRPr="005C02A0" w:rsidRDefault="005C02A0" w:rsidP="005C02A0">
      <w:pPr>
        <w:pStyle w:val="BulletListLevel1"/>
        <w:rPr>
          <w:b/>
          <w:i/>
        </w:rPr>
      </w:pPr>
      <w:r w:rsidRPr="005C02A0">
        <w:rPr>
          <w:i/>
        </w:rPr>
        <w:t>Public Interest Disclosure Act 2003</w:t>
      </w:r>
    </w:p>
    <w:p w14:paraId="3AB29D06" w14:textId="77777777" w:rsidR="005C02A0" w:rsidRPr="005C02A0" w:rsidRDefault="005C02A0" w:rsidP="005C02A0">
      <w:pPr>
        <w:pStyle w:val="BulletListLevel1"/>
        <w:rPr>
          <w:b/>
          <w:i/>
        </w:rPr>
      </w:pPr>
      <w:r w:rsidRPr="005C02A0">
        <w:rPr>
          <w:i/>
        </w:rPr>
        <w:t>Public Sector Management Act 1994</w:t>
      </w:r>
    </w:p>
    <w:p w14:paraId="713EBC6E" w14:textId="77777777" w:rsidR="005C02A0" w:rsidRPr="005C02A0" w:rsidRDefault="005C02A0" w:rsidP="005C02A0">
      <w:pPr>
        <w:pStyle w:val="BulletListLevel1"/>
        <w:rPr>
          <w:b/>
          <w:i/>
        </w:rPr>
      </w:pPr>
      <w:r w:rsidRPr="005C02A0">
        <w:rPr>
          <w:i/>
        </w:rPr>
        <w:t>Public Sector Management (Redeployment and Redundancy) Regulations 1994</w:t>
      </w:r>
    </w:p>
    <w:p w14:paraId="0ECFAC38" w14:textId="77777777" w:rsidR="005C02A0" w:rsidRPr="005C02A0" w:rsidRDefault="005C02A0" w:rsidP="005C02A0">
      <w:pPr>
        <w:pStyle w:val="BulletListLevel1"/>
        <w:rPr>
          <w:b/>
          <w:i/>
        </w:rPr>
      </w:pPr>
      <w:r w:rsidRPr="005C02A0">
        <w:rPr>
          <w:i/>
        </w:rPr>
        <w:t>Salaries and Allowances Act 1975</w:t>
      </w:r>
    </w:p>
    <w:p w14:paraId="500E9551" w14:textId="77777777" w:rsidR="005C02A0" w:rsidRPr="005C02A0" w:rsidRDefault="005C02A0" w:rsidP="005C02A0">
      <w:pPr>
        <w:pStyle w:val="BulletListLevel1"/>
        <w:rPr>
          <w:b/>
          <w:i/>
        </w:rPr>
      </w:pPr>
      <w:r w:rsidRPr="005C02A0">
        <w:rPr>
          <w:i/>
        </w:rPr>
        <w:t>Superannuation Guarantee (Administration) Act 1992 (Commonwealth)</w:t>
      </w:r>
    </w:p>
    <w:p w14:paraId="5A832E60" w14:textId="77777777" w:rsidR="005C02A0" w:rsidRPr="005C02A0" w:rsidRDefault="005C02A0" w:rsidP="005C02A0">
      <w:pPr>
        <w:pStyle w:val="BulletListLevel1"/>
        <w:rPr>
          <w:b/>
          <w:i/>
        </w:rPr>
      </w:pPr>
      <w:r w:rsidRPr="005C02A0">
        <w:rPr>
          <w:i/>
        </w:rPr>
        <w:t>State Supply Commission Act 1991</w:t>
      </w:r>
    </w:p>
    <w:p w14:paraId="7596EC91" w14:textId="77777777" w:rsidR="00455BF9" w:rsidRPr="005C02A0" w:rsidRDefault="005C02A0" w:rsidP="005C02A0">
      <w:pPr>
        <w:pStyle w:val="BulletListLevel1"/>
        <w:rPr>
          <w:rStyle w:val="Emphasis"/>
        </w:rPr>
      </w:pPr>
      <w:r w:rsidRPr="005C02A0">
        <w:rPr>
          <w:i/>
        </w:rPr>
        <w:t>State Records Act 2000</w:t>
      </w:r>
    </w:p>
    <w:p w14:paraId="71854E85" w14:textId="0D5F9915" w:rsidR="00455BF9" w:rsidRDefault="00455BF9" w:rsidP="00664937">
      <w:pPr>
        <w:pStyle w:val="Heading4"/>
      </w:pPr>
      <w:r w:rsidRPr="00455BF9">
        <w:rPr>
          <w:rFonts w:eastAsia="Times New Roman"/>
        </w:rPr>
        <w:t xml:space="preserve">Other written laws impacting on </w:t>
      </w:r>
      <w:r w:rsidR="00C726B0">
        <w:rPr>
          <w:rFonts w:eastAsia="Times New Roman"/>
        </w:rPr>
        <w:t>WorkCover WA</w:t>
      </w:r>
      <w:r w:rsidRPr="00455BF9">
        <w:rPr>
          <w:rFonts w:eastAsia="Times New Roman"/>
        </w:rPr>
        <w:t>’s activities</w:t>
      </w:r>
    </w:p>
    <w:p w14:paraId="2222408D" w14:textId="77777777" w:rsidR="005C02A0" w:rsidRPr="005C02A0" w:rsidRDefault="005C02A0" w:rsidP="005C02A0">
      <w:pPr>
        <w:pStyle w:val="BulletListLevel1"/>
        <w:rPr>
          <w:b/>
          <w:i/>
        </w:rPr>
      </w:pPr>
      <w:r w:rsidRPr="005C02A0">
        <w:rPr>
          <w:i/>
        </w:rPr>
        <w:t>Competition Policy Reform (WA) Act 1996</w:t>
      </w:r>
    </w:p>
    <w:p w14:paraId="17131AFF" w14:textId="77777777" w:rsidR="005C02A0" w:rsidRPr="005C02A0" w:rsidRDefault="005C02A0" w:rsidP="005C02A0">
      <w:pPr>
        <w:pStyle w:val="BulletListLevel1"/>
        <w:rPr>
          <w:b/>
          <w:i/>
        </w:rPr>
      </w:pPr>
      <w:r w:rsidRPr="005C02A0">
        <w:rPr>
          <w:i/>
        </w:rPr>
        <w:t>Constitution Act 1889</w:t>
      </w:r>
    </w:p>
    <w:p w14:paraId="52FF5DD6" w14:textId="77777777" w:rsidR="005C02A0" w:rsidRPr="005C02A0" w:rsidRDefault="005C02A0" w:rsidP="005C02A0">
      <w:pPr>
        <w:pStyle w:val="BulletListLevel1"/>
        <w:rPr>
          <w:b/>
          <w:i/>
        </w:rPr>
      </w:pPr>
      <w:r w:rsidRPr="005C02A0">
        <w:rPr>
          <w:i/>
        </w:rPr>
        <w:t>Constitution Acts Amendment Act 1899</w:t>
      </w:r>
    </w:p>
    <w:p w14:paraId="29BFB33C" w14:textId="77777777" w:rsidR="005C02A0" w:rsidRPr="005C02A0" w:rsidRDefault="005C02A0" w:rsidP="005C02A0">
      <w:pPr>
        <w:pStyle w:val="BulletListLevel1"/>
        <w:rPr>
          <w:b/>
          <w:i/>
        </w:rPr>
      </w:pPr>
      <w:r w:rsidRPr="005C02A0">
        <w:rPr>
          <w:i/>
        </w:rPr>
        <w:t>Coroners’ Act 1996</w:t>
      </w:r>
    </w:p>
    <w:p w14:paraId="3A4BCC21" w14:textId="77777777" w:rsidR="005C02A0" w:rsidRPr="005C02A0" w:rsidRDefault="005C02A0" w:rsidP="005C02A0">
      <w:pPr>
        <w:pStyle w:val="BulletListLevel1"/>
        <w:rPr>
          <w:b/>
          <w:i/>
        </w:rPr>
      </w:pPr>
      <w:r w:rsidRPr="005C02A0">
        <w:rPr>
          <w:i/>
        </w:rPr>
        <w:t>Criminal Code Act Compilation Act 1913</w:t>
      </w:r>
    </w:p>
    <w:p w14:paraId="08E2E4D5" w14:textId="77777777" w:rsidR="005C02A0" w:rsidRPr="005C02A0" w:rsidRDefault="005C02A0" w:rsidP="005C02A0">
      <w:pPr>
        <w:pStyle w:val="BulletListLevel1"/>
        <w:rPr>
          <w:b/>
          <w:i/>
        </w:rPr>
      </w:pPr>
      <w:r w:rsidRPr="005C02A0">
        <w:rPr>
          <w:i/>
        </w:rPr>
        <w:t>Defence Act 1903 (Commonwealth)</w:t>
      </w:r>
    </w:p>
    <w:p w14:paraId="037186DD" w14:textId="77777777" w:rsidR="005C02A0" w:rsidRPr="005C02A0" w:rsidRDefault="005C02A0" w:rsidP="005C02A0">
      <w:pPr>
        <w:pStyle w:val="BulletListLevel1"/>
        <w:rPr>
          <w:b/>
          <w:i/>
        </w:rPr>
      </w:pPr>
      <w:r w:rsidRPr="005C02A0">
        <w:rPr>
          <w:i/>
        </w:rPr>
        <w:t>Evidence Act 1906</w:t>
      </w:r>
    </w:p>
    <w:p w14:paraId="354F8AB4" w14:textId="77777777" w:rsidR="005C02A0" w:rsidRPr="005C02A0" w:rsidRDefault="005C02A0" w:rsidP="005C02A0">
      <w:pPr>
        <w:pStyle w:val="BulletListLevel1"/>
        <w:rPr>
          <w:b/>
          <w:i/>
        </w:rPr>
      </w:pPr>
      <w:r w:rsidRPr="005C02A0">
        <w:rPr>
          <w:i/>
        </w:rPr>
        <w:t>Interpretation Act 1984</w:t>
      </w:r>
    </w:p>
    <w:p w14:paraId="4788DAA1" w14:textId="77777777" w:rsidR="005C02A0" w:rsidRPr="005C02A0" w:rsidRDefault="005C02A0" w:rsidP="005C02A0">
      <w:pPr>
        <w:pStyle w:val="BulletListLevel1"/>
        <w:rPr>
          <w:b/>
          <w:i/>
        </w:rPr>
      </w:pPr>
      <w:r w:rsidRPr="005C02A0">
        <w:rPr>
          <w:i/>
        </w:rPr>
        <w:t>State Administrative Tribunal Act 2004</w:t>
      </w:r>
    </w:p>
    <w:p w14:paraId="68383804" w14:textId="77777777" w:rsidR="00455BF9" w:rsidRPr="005C02A0" w:rsidRDefault="005C02A0" w:rsidP="005C02A0">
      <w:pPr>
        <w:pStyle w:val="BulletListLevel1"/>
        <w:rPr>
          <w:rStyle w:val="Emphasis"/>
          <w:i w:val="0"/>
        </w:rPr>
      </w:pPr>
      <w:r w:rsidRPr="005C02A0">
        <w:rPr>
          <w:i/>
        </w:rPr>
        <w:t>Statutory Corporations (Liability of Directors) Act 1996</w:t>
      </w:r>
    </w:p>
    <w:p w14:paraId="0C3DE5C6" w14:textId="5E8A46CF" w:rsidR="003F5AA9" w:rsidRDefault="003F5AA9" w:rsidP="00774708">
      <w:pPr>
        <w:pStyle w:val="Heading1nonumber"/>
      </w:pPr>
      <w:bookmarkStart w:id="100" w:name="_Toc399316928"/>
      <w:bookmarkStart w:id="101" w:name="_Toc426617420"/>
      <w:bookmarkStart w:id="102" w:name="_Toc430091142"/>
      <w:r>
        <w:lastRenderedPageBreak/>
        <w:t>Governance</w:t>
      </w:r>
      <w:bookmarkEnd w:id="100"/>
      <w:bookmarkEnd w:id="101"/>
      <w:bookmarkEnd w:id="102"/>
    </w:p>
    <w:p w14:paraId="3DA498DF" w14:textId="79CB4937" w:rsidR="003F5AA9" w:rsidRDefault="003F5AA9" w:rsidP="00774708">
      <w:pPr>
        <w:pStyle w:val="Heading2nonumber"/>
      </w:pPr>
      <w:bookmarkStart w:id="103" w:name="_Toc399316929"/>
      <w:bookmarkStart w:id="104" w:name="_Toc426617421"/>
      <w:bookmarkStart w:id="105" w:name="_Toc430091143"/>
      <w:r>
        <w:t>Delegation of authority</w:t>
      </w:r>
      <w:bookmarkEnd w:id="103"/>
      <w:bookmarkEnd w:id="104"/>
      <w:bookmarkEnd w:id="105"/>
    </w:p>
    <w:p w14:paraId="6E8988D6" w14:textId="5CF6C1BE" w:rsidR="003F5AA9" w:rsidRDefault="000C4D7E" w:rsidP="003F5AA9">
      <w:pPr>
        <w:rPr>
          <w:lang w:val="en-GB" w:eastAsia="en-AU"/>
        </w:rPr>
      </w:pPr>
      <w:r>
        <w:rPr>
          <w:lang w:val="en-GB" w:eastAsia="en-AU"/>
        </w:rPr>
        <w:t xml:space="preserve">To contribute to the effectiveness of the Board </w:t>
      </w:r>
      <w:r w:rsidR="003F5AA9">
        <w:rPr>
          <w:lang w:val="en-GB" w:eastAsia="en-AU"/>
        </w:rPr>
        <w:t xml:space="preserve">and to meet specific legislative </w:t>
      </w:r>
      <w:r w:rsidR="00230433">
        <w:rPr>
          <w:lang w:val="en-GB" w:eastAsia="en-AU"/>
        </w:rPr>
        <w:t>obligations</w:t>
      </w:r>
      <w:r w:rsidR="003F5AA9">
        <w:rPr>
          <w:lang w:val="en-GB" w:eastAsia="en-AU"/>
        </w:rPr>
        <w:t>, an Audit Committee, Costs Committee and Medical Committee are established to provide objective administration and management of cer</w:t>
      </w:r>
      <w:r w:rsidR="00900BA2">
        <w:rPr>
          <w:lang w:val="en-GB" w:eastAsia="en-AU"/>
        </w:rPr>
        <w:t>tain elements of the WA workers’</w:t>
      </w:r>
      <w:r w:rsidR="003F5AA9">
        <w:rPr>
          <w:lang w:val="en-GB" w:eastAsia="en-AU"/>
        </w:rPr>
        <w:t xml:space="preserve"> compensation and injury management scheme. Governance issues for the committees are included as a standing item at Board meetings.</w:t>
      </w:r>
    </w:p>
    <w:p w14:paraId="2D53742D" w14:textId="77777777" w:rsidR="003F5AA9" w:rsidRDefault="003F5AA9" w:rsidP="003F5AA9">
      <w:pPr>
        <w:rPr>
          <w:lang w:val="en-GB" w:eastAsia="en-AU"/>
        </w:rPr>
      </w:pPr>
      <w:r>
        <w:rPr>
          <w:lang w:val="en-GB" w:eastAsia="en-AU"/>
        </w:rPr>
        <w:t>As part of their governance practices these committees have:</w:t>
      </w:r>
    </w:p>
    <w:p w14:paraId="759CB4B1" w14:textId="77777777" w:rsidR="003F5AA9" w:rsidRDefault="003F5AA9" w:rsidP="003F5AA9">
      <w:pPr>
        <w:pStyle w:val="BulletListLevel1"/>
        <w:rPr>
          <w:lang w:val="en-GB" w:eastAsia="en-AU"/>
        </w:rPr>
      </w:pPr>
      <w:r>
        <w:rPr>
          <w:lang w:val="en-GB" w:eastAsia="en-AU"/>
        </w:rPr>
        <w:t>formal documented terms of reference</w:t>
      </w:r>
      <w:r w:rsidR="00113D25">
        <w:rPr>
          <w:lang w:val="en-GB" w:eastAsia="en-AU"/>
        </w:rPr>
        <w:t>/standing orders</w:t>
      </w:r>
    </w:p>
    <w:p w14:paraId="17CCDC0B" w14:textId="63FDB21A" w:rsidR="003F5AA9" w:rsidRDefault="003F5AA9" w:rsidP="003F5AA9">
      <w:pPr>
        <w:pStyle w:val="BulletListLevel1"/>
        <w:rPr>
          <w:lang w:val="en-GB" w:eastAsia="en-AU"/>
        </w:rPr>
      </w:pPr>
      <w:r>
        <w:rPr>
          <w:lang w:val="en-GB" w:eastAsia="en-AU"/>
        </w:rPr>
        <w:t>an appointed Chair</w:t>
      </w:r>
      <w:r w:rsidR="009C4AC8">
        <w:rPr>
          <w:lang w:val="en-GB" w:eastAsia="en-AU"/>
        </w:rPr>
        <w:t xml:space="preserve"> </w:t>
      </w:r>
      <w:r>
        <w:rPr>
          <w:lang w:val="en-GB" w:eastAsia="en-AU"/>
        </w:rPr>
        <w:t>who is also a Board member</w:t>
      </w:r>
    </w:p>
    <w:p w14:paraId="292261A6" w14:textId="3796D749" w:rsidR="003F5AA9" w:rsidRDefault="003F5AA9" w:rsidP="003F5AA9">
      <w:pPr>
        <w:pStyle w:val="BulletListLevel1"/>
        <w:rPr>
          <w:lang w:val="en-GB" w:eastAsia="en-AU"/>
        </w:rPr>
      </w:pPr>
      <w:r>
        <w:rPr>
          <w:lang w:val="en-GB" w:eastAsia="en-AU"/>
        </w:rPr>
        <w:t xml:space="preserve">committee members with the expertise most relevant to </w:t>
      </w:r>
      <w:r w:rsidR="00230433">
        <w:rPr>
          <w:lang w:val="en-GB" w:eastAsia="en-AU"/>
        </w:rPr>
        <w:t>their res</w:t>
      </w:r>
      <w:r w:rsidR="00533CB1">
        <w:rPr>
          <w:lang w:val="en-GB" w:eastAsia="en-AU"/>
        </w:rPr>
        <w:t>pective roles</w:t>
      </w:r>
    </w:p>
    <w:p w14:paraId="2708D401" w14:textId="0F24B07C" w:rsidR="003F5AA9" w:rsidRDefault="003F5AA9" w:rsidP="003F5AA9">
      <w:pPr>
        <w:pStyle w:val="BulletListLevel1"/>
        <w:rPr>
          <w:lang w:val="en-GB" w:eastAsia="en-AU"/>
        </w:rPr>
      </w:pPr>
      <w:r>
        <w:rPr>
          <w:lang w:val="en-GB" w:eastAsia="en-AU"/>
        </w:rPr>
        <w:t>mechanism</w:t>
      </w:r>
      <w:r w:rsidR="00230433">
        <w:rPr>
          <w:lang w:val="en-GB" w:eastAsia="en-AU"/>
        </w:rPr>
        <w:t xml:space="preserve">s for regular reporting </w:t>
      </w:r>
      <w:r>
        <w:rPr>
          <w:lang w:val="en-GB" w:eastAsia="en-AU"/>
        </w:rPr>
        <w:t>to the Board</w:t>
      </w:r>
    </w:p>
    <w:p w14:paraId="48996A41" w14:textId="205597C0" w:rsidR="00EB0C9E" w:rsidRPr="00EB0C9E" w:rsidRDefault="003F5AA9" w:rsidP="00EB0C9E">
      <w:pPr>
        <w:pStyle w:val="BulletListLevel1"/>
        <w:rPr>
          <w:lang w:val="en-GB" w:eastAsia="en-AU"/>
        </w:rPr>
      </w:pPr>
      <w:r>
        <w:rPr>
          <w:lang w:val="en-GB" w:eastAsia="en-AU"/>
        </w:rPr>
        <w:t>appropriate administrative support.</w:t>
      </w:r>
    </w:p>
    <w:p w14:paraId="7F1F0839" w14:textId="77777777" w:rsidR="003F5AA9" w:rsidRPr="00FD672E" w:rsidRDefault="00C85A58" w:rsidP="00FD672E">
      <w:pPr>
        <w:pStyle w:val="Heading3nonumber"/>
      </w:pPr>
      <w:bookmarkStart w:id="106" w:name="_Toc426617422"/>
      <w:bookmarkStart w:id="107" w:name="_Toc430091144"/>
      <w:r w:rsidRPr="00FD672E">
        <w:t>Audit Committee</w:t>
      </w:r>
      <w:bookmarkEnd w:id="106"/>
      <w:bookmarkEnd w:id="107"/>
    </w:p>
    <w:p w14:paraId="648B66D8" w14:textId="48BF4BA3" w:rsidR="000C4D7E" w:rsidRDefault="000C4D7E" w:rsidP="000C4D7E">
      <w:r w:rsidRPr="000C4D7E">
        <w:t xml:space="preserve">The Audit Committee provides assurance and assistance to the Board on </w:t>
      </w:r>
      <w:r w:rsidR="00C726B0">
        <w:t>WorkCover WA</w:t>
      </w:r>
      <w:r w:rsidRPr="000C4D7E">
        <w:t>’s risk, control and compliance framework, and its external a</w:t>
      </w:r>
      <w:r w:rsidR="00533CB1">
        <w:t>ccountability responsibilities.</w:t>
      </w:r>
    </w:p>
    <w:p w14:paraId="7556C56B" w14:textId="77777777" w:rsidR="00477DEE" w:rsidRDefault="00423F01" w:rsidP="00C85A58">
      <w:r>
        <w:t>The Audit C</w:t>
      </w:r>
      <w:r w:rsidR="0030662B" w:rsidRPr="00DC723A">
        <w:t xml:space="preserve">ommittee is chaired by </w:t>
      </w:r>
      <w:r w:rsidR="00DC723A" w:rsidRPr="00DC723A">
        <w:t>a member of the Board.</w:t>
      </w:r>
      <w:r>
        <w:t xml:space="preserve"> </w:t>
      </w:r>
    </w:p>
    <w:p w14:paraId="3CD96740" w14:textId="5B6B020E" w:rsidR="00EB0C9E" w:rsidRPr="00423F01" w:rsidRDefault="00C85A58" w:rsidP="00C85A58">
      <w:r w:rsidRPr="00C85A58">
        <w:rPr>
          <w:color w:val="000000"/>
          <w:lang w:val="en-GB" w:eastAsia="en-AU"/>
        </w:rPr>
        <w:t xml:space="preserve">Refer </w:t>
      </w:r>
      <w:r w:rsidRPr="00BD5C7C">
        <w:rPr>
          <w:color w:val="000000"/>
          <w:lang w:val="en-GB" w:eastAsia="en-AU"/>
        </w:rPr>
        <w:t xml:space="preserve">to </w:t>
      </w:r>
      <w:r w:rsidRPr="00C56B94">
        <w:rPr>
          <w:lang w:val="en-GB" w:eastAsia="en-AU"/>
        </w:rPr>
        <w:t xml:space="preserve">page </w:t>
      </w:r>
      <w:r w:rsidR="00C56B94" w:rsidRPr="00C56B94">
        <w:rPr>
          <w:lang w:val="en-GB" w:eastAsia="en-AU"/>
        </w:rPr>
        <w:t>126</w:t>
      </w:r>
      <w:r w:rsidR="008F280E" w:rsidRPr="00C56B94">
        <w:rPr>
          <w:lang w:val="en-GB" w:eastAsia="en-AU"/>
        </w:rPr>
        <w:t xml:space="preserve"> </w:t>
      </w:r>
      <w:r w:rsidR="008F280E">
        <w:rPr>
          <w:color w:val="000000"/>
          <w:lang w:val="en-GB" w:eastAsia="en-AU"/>
        </w:rPr>
        <w:t>under ‘</w:t>
      </w:r>
      <w:r w:rsidR="00423F01">
        <w:rPr>
          <w:color w:val="000000"/>
          <w:lang w:val="en-GB" w:eastAsia="en-AU"/>
        </w:rPr>
        <w:t>Committees</w:t>
      </w:r>
      <w:r w:rsidRPr="009C76F9">
        <w:rPr>
          <w:lang w:val="en-GB" w:eastAsia="en-AU"/>
        </w:rPr>
        <w:t xml:space="preserve">’ in </w:t>
      </w:r>
      <w:r w:rsidRPr="009C76F9">
        <w:rPr>
          <w:rStyle w:val="Emphasis"/>
        </w:rPr>
        <w:t xml:space="preserve">Section 5: Disclosures and </w:t>
      </w:r>
      <w:r w:rsidR="001B6E70">
        <w:rPr>
          <w:rStyle w:val="Emphasis"/>
        </w:rPr>
        <w:t>legal c</w:t>
      </w:r>
      <w:r w:rsidRPr="009C76F9">
        <w:rPr>
          <w:rStyle w:val="Emphasis"/>
        </w:rPr>
        <w:t xml:space="preserve">ompliance </w:t>
      </w:r>
      <w:r w:rsidRPr="009C76F9">
        <w:rPr>
          <w:lang w:val="en-GB" w:eastAsia="en-AU"/>
        </w:rPr>
        <w:t>for full disclosures on this committee.</w:t>
      </w:r>
    </w:p>
    <w:p w14:paraId="29BBF229" w14:textId="77777777" w:rsidR="00C85A58" w:rsidRDefault="00C85A58" w:rsidP="00774708">
      <w:pPr>
        <w:pStyle w:val="Heading3nonumber"/>
      </w:pPr>
      <w:bookmarkStart w:id="108" w:name="_Toc426617423"/>
      <w:bookmarkStart w:id="109" w:name="_Toc430091145"/>
      <w:r>
        <w:t>Costs Committee</w:t>
      </w:r>
      <w:bookmarkEnd w:id="108"/>
      <w:bookmarkEnd w:id="109"/>
    </w:p>
    <w:p w14:paraId="2A45E54A" w14:textId="6FDEEEFB" w:rsidR="000C4D7E" w:rsidRDefault="000C4D7E" w:rsidP="00C85A58">
      <w:pPr>
        <w:rPr>
          <w:lang w:val="en-GB" w:eastAsia="en-AU"/>
        </w:rPr>
      </w:pPr>
      <w:r w:rsidRPr="00C85A58">
        <w:rPr>
          <w:lang w:val="en-GB" w:eastAsia="en-AU"/>
        </w:rPr>
        <w:t>The Costs Committee is an independent committee established under section 269 of the Act report</w:t>
      </w:r>
      <w:r>
        <w:rPr>
          <w:lang w:val="en-GB" w:eastAsia="en-AU"/>
        </w:rPr>
        <w:t>ing</w:t>
      </w:r>
      <w:r w:rsidRPr="00C85A58">
        <w:rPr>
          <w:lang w:val="en-GB" w:eastAsia="en-AU"/>
        </w:rPr>
        <w:t xml:space="preserve"> </w:t>
      </w:r>
      <w:r w:rsidR="005D0F98">
        <w:rPr>
          <w:lang w:val="en-GB" w:eastAsia="en-AU"/>
        </w:rPr>
        <w:t>directly to the Minister for</w:t>
      </w:r>
      <w:r w:rsidRPr="00C85A58">
        <w:rPr>
          <w:lang w:val="en-GB" w:eastAsia="en-AU"/>
        </w:rPr>
        <w:t xml:space="preserve"> Commerce. It is empowered to make, amend or revoke a determination fixing maximum costs for legal and registered agent services in relation to conciliation and arbitration.</w:t>
      </w:r>
    </w:p>
    <w:p w14:paraId="19EE1960" w14:textId="06A7072E" w:rsidR="0030662B" w:rsidRDefault="001B6E70" w:rsidP="00C85A58">
      <w:pPr>
        <w:rPr>
          <w:lang w:val="en-GB" w:eastAsia="en-AU"/>
        </w:rPr>
      </w:pPr>
      <w:r>
        <w:rPr>
          <w:lang w:val="en-GB" w:eastAsia="en-AU"/>
        </w:rPr>
        <w:t>The Costs C</w:t>
      </w:r>
      <w:r w:rsidR="0030662B">
        <w:rPr>
          <w:lang w:val="en-GB" w:eastAsia="en-AU"/>
        </w:rPr>
        <w:t>ommittee is chaired by the Agency CEO and meets every two years or as required.</w:t>
      </w:r>
    </w:p>
    <w:p w14:paraId="567A0BEB" w14:textId="6FC35257" w:rsidR="00C85A58" w:rsidRDefault="00C85A58" w:rsidP="00C85A58">
      <w:pPr>
        <w:rPr>
          <w:rFonts w:cs="Arial"/>
          <w:i/>
          <w:color w:val="000000"/>
          <w:szCs w:val="22"/>
        </w:rPr>
      </w:pPr>
      <w:r w:rsidRPr="00C85A58">
        <w:rPr>
          <w:rFonts w:cs="Arial"/>
          <w:color w:val="000000"/>
          <w:szCs w:val="22"/>
          <w:lang w:val="en-GB" w:eastAsia="en-AU"/>
        </w:rPr>
        <w:lastRenderedPageBreak/>
        <w:t xml:space="preserve">Refer to </w:t>
      </w:r>
      <w:r w:rsidRPr="00C56B94">
        <w:rPr>
          <w:rFonts w:cs="Arial"/>
          <w:szCs w:val="22"/>
          <w:lang w:val="en-GB" w:eastAsia="en-AU"/>
        </w:rPr>
        <w:t xml:space="preserve">page </w:t>
      </w:r>
      <w:r w:rsidR="009C76F9" w:rsidRPr="00C56B94">
        <w:rPr>
          <w:rFonts w:cs="Arial"/>
          <w:szCs w:val="22"/>
          <w:lang w:val="en-GB" w:eastAsia="en-AU"/>
        </w:rPr>
        <w:t>12</w:t>
      </w:r>
      <w:r w:rsidR="00C56B94" w:rsidRPr="00C56B94">
        <w:rPr>
          <w:rFonts w:cs="Arial"/>
          <w:szCs w:val="22"/>
          <w:lang w:val="en-GB" w:eastAsia="en-AU"/>
        </w:rPr>
        <w:t>6</w:t>
      </w:r>
      <w:r w:rsidR="008F280E" w:rsidRPr="00C56B94">
        <w:rPr>
          <w:rFonts w:cs="Arial"/>
          <w:szCs w:val="22"/>
          <w:lang w:val="en-GB" w:eastAsia="en-AU"/>
        </w:rPr>
        <w:t xml:space="preserve"> </w:t>
      </w:r>
      <w:r w:rsidR="008F280E">
        <w:rPr>
          <w:rFonts w:cs="Arial"/>
          <w:color w:val="000000"/>
          <w:szCs w:val="22"/>
          <w:lang w:val="en-GB" w:eastAsia="en-AU"/>
        </w:rPr>
        <w:t>under ‘</w:t>
      </w:r>
      <w:r w:rsidR="007229BD">
        <w:rPr>
          <w:rFonts w:cs="Arial"/>
          <w:color w:val="000000"/>
          <w:szCs w:val="22"/>
          <w:lang w:val="en-GB" w:eastAsia="en-AU"/>
        </w:rPr>
        <w:t>Committe</w:t>
      </w:r>
      <w:r w:rsidRPr="00C85A58">
        <w:rPr>
          <w:rFonts w:cs="Arial"/>
          <w:color w:val="000000"/>
          <w:szCs w:val="22"/>
          <w:lang w:val="en-GB" w:eastAsia="en-AU"/>
        </w:rPr>
        <w:t xml:space="preserve">es’ in </w:t>
      </w:r>
      <w:r w:rsidRPr="002F4B2B">
        <w:rPr>
          <w:rStyle w:val="Emphasis"/>
        </w:rPr>
        <w:t>Section 5: Disclosures and</w:t>
      </w:r>
      <w:r w:rsidR="001B6E70">
        <w:rPr>
          <w:rStyle w:val="Emphasis"/>
        </w:rPr>
        <w:t xml:space="preserve"> legal c</w:t>
      </w:r>
      <w:r w:rsidRPr="002F4B2B">
        <w:rPr>
          <w:rStyle w:val="Emphasis"/>
        </w:rPr>
        <w:t xml:space="preserve">ompliance </w:t>
      </w:r>
      <w:r w:rsidRPr="00C85A58">
        <w:rPr>
          <w:rFonts w:cs="Arial"/>
          <w:color w:val="000000"/>
          <w:szCs w:val="22"/>
          <w:lang w:val="en-GB" w:eastAsia="en-AU"/>
        </w:rPr>
        <w:t>for full disclosures on this committee.</w:t>
      </w:r>
    </w:p>
    <w:p w14:paraId="23280D84" w14:textId="77777777" w:rsidR="00C85A58" w:rsidRDefault="00C85A58" w:rsidP="00774708">
      <w:pPr>
        <w:pStyle w:val="Heading3nonumber"/>
      </w:pPr>
      <w:bookmarkStart w:id="110" w:name="_Toc426617424"/>
      <w:bookmarkStart w:id="111" w:name="_Toc430091146"/>
      <w:r>
        <w:t>Medical Committee</w:t>
      </w:r>
      <w:bookmarkEnd w:id="110"/>
      <w:bookmarkEnd w:id="111"/>
    </w:p>
    <w:p w14:paraId="529B3DF2" w14:textId="77777777" w:rsidR="000C4D7E" w:rsidRDefault="000C4D7E" w:rsidP="000C4D7E">
      <w:pPr>
        <w:rPr>
          <w:lang w:val="en-GB" w:eastAsia="en-AU"/>
        </w:rPr>
      </w:pPr>
      <w:r w:rsidRPr="000C4D7E">
        <w:rPr>
          <w:lang w:val="en-GB" w:eastAsia="en-AU"/>
        </w:rPr>
        <w:t xml:space="preserve">The Medical Committee is an advisory committee established under section 100A of the Act to </w:t>
      </w:r>
      <w:r w:rsidR="006D3E0B">
        <w:rPr>
          <w:lang w:val="en-GB" w:eastAsia="en-AU"/>
        </w:rPr>
        <w:t xml:space="preserve">primarily </w:t>
      </w:r>
      <w:r w:rsidRPr="000C4D7E">
        <w:rPr>
          <w:lang w:val="en-GB" w:eastAsia="en-AU"/>
        </w:rPr>
        <w:t xml:space="preserve">provide guidance on </w:t>
      </w:r>
      <w:r w:rsidR="006D3E0B">
        <w:rPr>
          <w:lang w:val="en-GB" w:eastAsia="en-AU"/>
        </w:rPr>
        <w:t xml:space="preserve">permanent impairment assessment </w:t>
      </w:r>
      <w:r w:rsidR="0032759B">
        <w:rPr>
          <w:lang w:val="en-GB" w:eastAsia="en-AU"/>
        </w:rPr>
        <w:t>but</w:t>
      </w:r>
      <w:r w:rsidR="006D3E0B">
        <w:rPr>
          <w:lang w:val="en-GB" w:eastAsia="en-AU"/>
        </w:rPr>
        <w:t xml:space="preserve"> also other </w:t>
      </w:r>
      <w:r w:rsidRPr="000C4D7E">
        <w:rPr>
          <w:lang w:val="en-GB" w:eastAsia="en-AU"/>
        </w:rPr>
        <w:t>matters of a medical nature within the Western Australian workers’ compensation scheme.</w:t>
      </w:r>
    </w:p>
    <w:p w14:paraId="03624885" w14:textId="6DC58D18" w:rsidR="006777C0" w:rsidRPr="000C4D7E" w:rsidRDefault="006777C0" w:rsidP="000C4D7E">
      <w:pPr>
        <w:rPr>
          <w:lang w:val="en-GB" w:eastAsia="en-AU"/>
        </w:rPr>
      </w:pPr>
      <w:r>
        <w:rPr>
          <w:lang w:val="en-GB" w:eastAsia="en-AU"/>
        </w:rPr>
        <w:t xml:space="preserve">The </w:t>
      </w:r>
      <w:r w:rsidR="0030662B">
        <w:rPr>
          <w:lang w:val="en-GB" w:eastAsia="en-AU"/>
        </w:rPr>
        <w:t>Medical Committee is chaired by the Agency CEO and meet</w:t>
      </w:r>
      <w:r w:rsidR="00715291">
        <w:rPr>
          <w:lang w:val="en-GB" w:eastAsia="en-AU"/>
        </w:rPr>
        <w:t>s</w:t>
      </w:r>
      <w:r w:rsidR="0030662B">
        <w:rPr>
          <w:lang w:val="en-GB" w:eastAsia="en-AU"/>
        </w:rPr>
        <w:t xml:space="preserve"> as required.</w:t>
      </w:r>
    </w:p>
    <w:p w14:paraId="28A44136" w14:textId="7232E580" w:rsidR="0054737A" w:rsidRPr="004640D9" w:rsidRDefault="0054737A" w:rsidP="0054737A">
      <w:pPr>
        <w:rPr>
          <w:lang w:val="en-GB" w:eastAsia="en-AU"/>
        </w:rPr>
      </w:pPr>
      <w:r w:rsidRPr="00BD5C7C">
        <w:rPr>
          <w:lang w:val="en-GB" w:eastAsia="en-AU"/>
        </w:rPr>
        <w:t xml:space="preserve">Refer to </w:t>
      </w:r>
      <w:r w:rsidRPr="00C56B94">
        <w:rPr>
          <w:lang w:val="en-GB" w:eastAsia="en-AU"/>
        </w:rPr>
        <w:t xml:space="preserve">page </w:t>
      </w:r>
      <w:r w:rsidR="009C76F9" w:rsidRPr="00C56B94">
        <w:rPr>
          <w:lang w:val="en-GB" w:eastAsia="en-AU"/>
        </w:rPr>
        <w:t>12</w:t>
      </w:r>
      <w:r w:rsidR="00C56B94" w:rsidRPr="00C56B94">
        <w:rPr>
          <w:lang w:val="en-GB" w:eastAsia="en-AU"/>
        </w:rPr>
        <w:t>7</w:t>
      </w:r>
      <w:r w:rsidR="008F280E" w:rsidRPr="00C56B94">
        <w:rPr>
          <w:lang w:val="en-GB" w:eastAsia="en-AU"/>
        </w:rPr>
        <w:t xml:space="preserve"> </w:t>
      </w:r>
      <w:r w:rsidR="008F280E" w:rsidRPr="00BD5C7C">
        <w:rPr>
          <w:lang w:val="en-GB" w:eastAsia="en-AU"/>
        </w:rPr>
        <w:t>under ‘</w:t>
      </w:r>
      <w:r w:rsidR="007229BD">
        <w:rPr>
          <w:lang w:val="en-GB" w:eastAsia="en-AU"/>
        </w:rPr>
        <w:t>Committee</w:t>
      </w:r>
      <w:r w:rsidRPr="00BD5C7C">
        <w:rPr>
          <w:lang w:val="en-GB" w:eastAsia="en-AU"/>
        </w:rPr>
        <w:t xml:space="preserve">s’ in </w:t>
      </w:r>
      <w:r w:rsidRPr="00BD5C7C">
        <w:rPr>
          <w:i/>
          <w:iCs/>
          <w:lang w:val="en-GB" w:eastAsia="en-AU"/>
        </w:rPr>
        <w:t>Section 5</w:t>
      </w:r>
      <w:r w:rsidRPr="00BD5C7C">
        <w:rPr>
          <w:rStyle w:val="Emphasis"/>
        </w:rPr>
        <w:t xml:space="preserve">: Disclosures and </w:t>
      </w:r>
      <w:r w:rsidR="001B6E70">
        <w:rPr>
          <w:rStyle w:val="Emphasis"/>
        </w:rPr>
        <w:t>legal c</w:t>
      </w:r>
      <w:r w:rsidRPr="00BD5C7C">
        <w:rPr>
          <w:rStyle w:val="Emphasis"/>
        </w:rPr>
        <w:t xml:space="preserve">ompliance </w:t>
      </w:r>
      <w:r w:rsidRPr="00BD5C7C">
        <w:rPr>
          <w:lang w:val="en-GB" w:eastAsia="en-AU"/>
        </w:rPr>
        <w:t>for full disclosures on this committee.</w:t>
      </w:r>
    </w:p>
    <w:p w14:paraId="4066755B" w14:textId="77777777" w:rsidR="00C85A58" w:rsidRDefault="000A5BCC" w:rsidP="00774708">
      <w:pPr>
        <w:pStyle w:val="Heading2nonumber"/>
      </w:pPr>
      <w:bookmarkStart w:id="112" w:name="_Toc399316930"/>
      <w:bookmarkStart w:id="113" w:name="_Toc426617425"/>
      <w:bookmarkStart w:id="114" w:name="_Toc430091147"/>
      <w:r>
        <w:t xml:space="preserve">Workplace </w:t>
      </w:r>
      <w:r w:rsidR="00537E41">
        <w:t>c</w:t>
      </w:r>
      <w:r>
        <w:t>onsultation</w:t>
      </w:r>
      <w:bookmarkEnd w:id="112"/>
      <w:bookmarkEnd w:id="113"/>
      <w:bookmarkEnd w:id="114"/>
    </w:p>
    <w:p w14:paraId="6DD3B48A" w14:textId="499AD958" w:rsidR="00EB0C9E" w:rsidRDefault="00121B9A" w:rsidP="00121B9A">
      <w:r w:rsidRPr="00116797">
        <w:t xml:space="preserve">WorkCover WA has a number of </w:t>
      </w:r>
      <w:r w:rsidR="00FC4A12">
        <w:t xml:space="preserve">internal </w:t>
      </w:r>
      <w:r w:rsidR="00682CA9">
        <w:t>c</w:t>
      </w:r>
      <w:r w:rsidRPr="00116797">
        <w:t>ommittees which are all chaired by an Agency General Manager on a rotation</w:t>
      </w:r>
      <w:r w:rsidR="00116797">
        <w:t>al</w:t>
      </w:r>
      <w:r w:rsidRPr="00116797">
        <w:t xml:space="preserve"> basis. This level of participation reinforces t</w:t>
      </w:r>
      <w:r w:rsidR="00682CA9">
        <w:t>he Agency’s commitment to each c</w:t>
      </w:r>
      <w:r w:rsidRPr="00116797">
        <w:t>ommittee from an executive level.</w:t>
      </w:r>
    </w:p>
    <w:p w14:paraId="1BF0A86A" w14:textId="77777777" w:rsidR="000A5BCC" w:rsidRDefault="000A5BCC" w:rsidP="00774708">
      <w:pPr>
        <w:pStyle w:val="Heading3nonumber"/>
      </w:pPr>
      <w:bookmarkStart w:id="115" w:name="_Toc426617426"/>
      <w:bookmarkStart w:id="116" w:name="_Toc430091148"/>
      <w:r>
        <w:t>Equity and Diversity Committee</w:t>
      </w:r>
      <w:bookmarkEnd w:id="115"/>
      <w:bookmarkEnd w:id="116"/>
    </w:p>
    <w:p w14:paraId="7A79B8A8" w14:textId="1301C6DA" w:rsidR="005D6BDD" w:rsidRPr="008F3A83" w:rsidRDefault="005D6BDD" w:rsidP="005D6BDD">
      <w:r w:rsidRPr="008F3A83">
        <w:t xml:space="preserve">The </w:t>
      </w:r>
      <w:r w:rsidR="00C726B0">
        <w:t>WorkCover WA</w:t>
      </w:r>
      <w:r w:rsidRPr="008F3A83">
        <w:t xml:space="preserve"> Equity and Diversity Committee supports the delivery of the Agency’s commitment to develop a workplace culture </w:t>
      </w:r>
      <w:r w:rsidR="00230433">
        <w:t xml:space="preserve">compliant with and committed to </w:t>
      </w:r>
      <w:r w:rsidRPr="008F3A83">
        <w:t>equal employment opportunity and diversity principles, in which all people are treated with fairness, dignity and respect</w:t>
      </w:r>
      <w:r w:rsidR="008A6719">
        <w:t>.</w:t>
      </w:r>
    </w:p>
    <w:p w14:paraId="1747CB3A" w14:textId="77777777" w:rsidR="0030662B" w:rsidRDefault="00B03431" w:rsidP="005D6BDD">
      <w:r w:rsidRPr="008F3A83">
        <w:t xml:space="preserve">The </w:t>
      </w:r>
      <w:r w:rsidR="0030662B">
        <w:t xml:space="preserve">Equity and Diversity </w:t>
      </w:r>
      <w:r w:rsidRPr="008F3A83">
        <w:t>Committee</w:t>
      </w:r>
      <w:r>
        <w:t xml:space="preserve"> is chaired by a me</w:t>
      </w:r>
      <w:r w:rsidR="0030662B">
        <w:t xml:space="preserve">mber of the Corporate Executive </w:t>
      </w:r>
      <w:r>
        <w:t xml:space="preserve">and </w:t>
      </w:r>
      <w:r w:rsidRPr="008F3A83">
        <w:t>meets quarterly</w:t>
      </w:r>
      <w:r>
        <w:t xml:space="preserve">. </w:t>
      </w:r>
    </w:p>
    <w:p w14:paraId="2AADF02E" w14:textId="319A2D38" w:rsidR="005D6BDD" w:rsidRDefault="00B03431" w:rsidP="005D6BDD">
      <w:r>
        <w:t xml:space="preserve">It </w:t>
      </w:r>
      <w:r w:rsidRPr="008F3A83">
        <w:t>monitor</w:t>
      </w:r>
      <w:r>
        <w:t>s</w:t>
      </w:r>
      <w:r w:rsidRPr="008F3A83">
        <w:t xml:space="preserve"> policies relating to equal employment opportunity, </w:t>
      </w:r>
      <w:r w:rsidRPr="007E3277">
        <w:t xml:space="preserve">disability and indigenous </w:t>
      </w:r>
      <w:r w:rsidR="007E3277">
        <w:t>matters</w:t>
      </w:r>
      <w:r w:rsidRPr="007E3277">
        <w:t>,</w:t>
      </w:r>
      <w:r w:rsidRPr="008F3A83">
        <w:t xml:space="preserve"> and associated action plans</w:t>
      </w:r>
      <w:r>
        <w:t xml:space="preserve">. </w:t>
      </w:r>
      <w:r w:rsidR="005D6BDD" w:rsidRPr="008F3A83">
        <w:t xml:space="preserve">This includes the development of initiatives to raise staff awareness and understanding of equity and diversity; matters affecting people with disabilities; and employment strategies supporting diversity at </w:t>
      </w:r>
      <w:r w:rsidR="00C726B0">
        <w:t>WorkCover WA</w:t>
      </w:r>
      <w:r w:rsidR="005D6BDD" w:rsidRPr="008F3A83">
        <w:t>.</w:t>
      </w:r>
    </w:p>
    <w:p w14:paraId="6DE3E4F5" w14:textId="1B600F2F" w:rsidR="005D6BDD" w:rsidRDefault="005D6BDD" w:rsidP="005D6BDD">
      <w:r>
        <w:t>In 2014/15, the Committee</w:t>
      </w:r>
      <w:r w:rsidR="0003731F">
        <w:t>:</w:t>
      </w:r>
    </w:p>
    <w:p w14:paraId="5AD37972" w14:textId="3483CF37" w:rsidR="005D6BDD" w:rsidRDefault="0003731F" w:rsidP="005D6BDD">
      <w:pPr>
        <w:pStyle w:val="BulletListLevel1"/>
      </w:pPr>
      <w:r>
        <w:t>developed the Agency’s</w:t>
      </w:r>
      <w:r w:rsidR="005D6BDD">
        <w:t xml:space="preserve"> Reconciliation Action Plan (RAP) </w:t>
      </w:r>
      <w:r>
        <w:t xml:space="preserve">for approval </w:t>
      </w:r>
      <w:r w:rsidR="005D6BDD">
        <w:t xml:space="preserve">by </w:t>
      </w:r>
      <w:r w:rsidR="00A83FAC">
        <w:t>Reconciliation Australia</w:t>
      </w:r>
    </w:p>
    <w:p w14:paraId="7DE700B9" w14:textId="425D4AE9" w:rsidR="005D6BDD" w:rsidRDefault="00FC4A12" w:rsidP="005D6BDD">
      <w:pPr>
        <w:pStyle w:val="BulletListLevel1"/>
      </w:pPr>
      <w:r>
        <w:t>monitored</w:t>
      </w:r>
      <w:r w:rsidR="005D6BDD">
        <w:t xml:space="preserve"> the Agency’s progress against the </w:t>
      </w:r>
      <w:r w:rsidR="0003731F">
        <w:t xml:space="preserve">Agency’s </w:t>
      </w:r>
      <w:r w:rsidR="005D6BDD">
        <w:t>Disability Access and Inclusion Plan</w:t>
      </w:r>
    </w:p>
    <w:p w14:paraId="38FE298A" w14:textId="53CA973E" w:rsidR="00A83FAC" w:rsidRPr="00A83FAC" w:rsidRDefault="00FC4A12" w:rsidP="00A83FAC">
      <w:pPr>
        <w:pStyle w:val="BulletListLevel1"/>
      </w:pPr>
      <w:r>
        <w:lastRenderedPageBreak/>
        <w:t>raised</w:t>
      </w:r>
      <w:r w:rsidR="00230433">
        <w:t xml:space="preserve"> </w:t>
      </w:r>
      <w:r w:rsidR="00A83FAC" w:rsidRPr="00A83FAC">
        <w:t>staff awareness of broad cultural sensitivities through the development of an information sheet made available to all new and existing staff</w:t>
      </w:r>
    </w:p>
    <w:p w14:paraId="5A41DA8A" w14:textId="41BB70EE" w:rsidR="00A83FAC" w:rsidRPr="00A83FAC" w:rsidRDefault="00FC4A12" w:rsidP="00A83FAC">
      <w:pPr>
        <w:pStyle w:val="BulletListLevel1"/>
      </w:pPr>
      <w:r>
        <w:t>reviewed</w:t>
      </w:r>
      <w:r w:rsidR="00230433">
        <w:t xml:space="preserve"> </w:t>
      </w:r>
      <w:r w:rsidR="00A83FAC" w:rsidRPr="00A83FAC">
        <w:t xml:space="preserve">our premises and internal and external infrastructure to ensure </w:t>
      </w:r>
      <w:r w:rsidR="006D351E">
        <w:t xml:space="preserve">accessibility for people with a disability. </w:t>
      </w:r>
    </w:p>
    <w:p w14:paraId="40E245AA" w14:textId="7C7A3D57" w:rsidR="00EF25BE" w:rsidRDefault="00230433" w:rsidP="005D6BDD">
      <w:pPr>
        <w:pStyle w:val="BulletListLevel1"/>
      </w:pPr>
      <w:r>
        <w:t>ensur</w:t>
      </w:r>
      <w:r w:rsidR="00FC4A12">
        <w:t>ed</w:t>
      </w:r>
      <w:r w:rsidR="005D6BDD">
        <w:t xml:space="preserve"> all new </w:t>
      </w:r>
      <w:r w:rsidR="00C726B0">
        <w:t>WorkCover WA</w:t>
      </w:r>
      <w:r w:rsidR="005D6BDD">
        <w:t xml:space="preserve"> forms comply with accessibility guidelines.</w:t>
      </w:r>
    </w:p>
    <w:p w14:paraId="09BD4B72" w14:textId="77777777" w:rsidR="00121B9A" w:rsidRDefault="00121B9A" w:rsidP="00121B9A">
      <w:pPr>
        <w:pStyle w:val="Heading3nonumber"/>
      </w:pPr>
      <w:bookmarkStart w:id="117" w:name="_Toc426617427"/>
      <w:bookmarkStart w:id="118" w:name="_Toc430091149"/>
      <w:r>
        <w:t>Emergency Planning Committee</w:t>
      </w:r>
      <w:bookmarkEnd w:id="117"/>
      <w:bookmarkEnd w:id="118"/>
    </w:p>
    <w:p w14:paraId="70C8875A" w14:textId="7300F52A" w:rsidR="00DA738A" w:rsidRDefault="005A3445" w:rsidP="005A3445">
      <w:pPr>
        <w:shd w:val="clear" w:color="auto" w:fill="FFFFFF" w:themeFill="background1"/>
        <w:spacing w:before="120" w:after="0"/>
      </w:pPr>
      <w:r w:rsidRPr="005A3445">
        <w:rPr>
          <w:rFonts w:cs="Arial"/>
        </w:rPr>
        <w:t>The</w:t>
      </w:r>
      <w:r w:rsidR="0029240E">
        <w:rPr>
          <w:rFonts w:cs="Arial"/>
        </w:rPr>
        <w:t xml:space="preserve"> Emergency Planning</w:t>
      </w:r>
      <w:r w:rsidRPr="005A3445">
        <w:rPr>
          <w:rFonts w:cs="Arial"/>
        </w:rPr>
        <w:t xml:space="preserve"> Committee</w:t>
      </w:r>
      <w:r w:rsidR="008E4240">
        <w:rPr>
          <w:rFonts w:cs="Arial"/>
        </w:rPr>
        <w:t xml:space="preserve"> (EPC)</w:t>
      </w:r>
      <w:r w:rsidRPr="005A3445">
        <w:rPr>
          <w:rFonts w:cs="Arial"/>
        </w:rPr>
        <w:t>, in conjunction with the Emergency Control Organisation (ECO), is responsible for the development, implementation and maintenance of emergency plans, emergency response procedures and related trainin</w:t>
      </w:r>
      <w:r w:rsidR="00FC4A12">
        <w:rPr>
          <w:rFonts w:cs="Arial"/>
        </w:rPr>
        <w:t>g.</w:t>
      </w:r>
    </w:p>
    <w:p w14:paraId="71BBD025" w14:textId="77777777" w:rsidR="00FC4A12" w:rsidRDefault="00DA738A" w:rsidP="00FC4A12">
      <w:pPr>
        <w:shd w:val="clear" w:color="auto" w:fill="FFFFFF" w:themeFill="background1"/>
        <w:spacing w:before="120" w:after="0"/>
        <w:rPr>
          <w:rFonts w:cs="Arial"/>
        </w:rPr>
      </w:pPr>
      <w:r w:rsidRPr="0029240E">
        <w:t xml:space="preserve">The </w:t>
      </w:r>
      <w:r w:rsidR="0030662B">
        <w:t xml:space="preserve">Emergency Planning Committee </w:t>
      </w:r>
      <w:r w:rsidRPr="0029240E">
        <w:t>is chaired by a member of the Corporate Executive</w:t>
      </w:r>
      <w:r w:rsidR="0030662B">
        <w:t xml:space="preserve"> and</w:t>
      </w:r>
      <w:r w:rsidR="0030662B" w:rsidRPr="0030662B">
        <w:rPr>
          <w:rFonts w:cs="Arial"/>
        </w:rPr>
        <w:t xml:space="preserve"> meets quarterly or as required</w:t>
      </w:r>
      <w:r w:rsidR="0030662B">
        <w:rPr>
          <w:rFonts w:cs="Arial"/>
        </w:rPr>
        <w:t>.</w:t>
      </w:r>
    </w:p>
    <w:p w14:paraId="17D69059" w14:textId="4D2D0491" w:rsidR="005A3445" w:rsidRPr="005A3445" w:rsidRDefault="005A3445" w:rsidP="00FC4A12">
      <w:pPr>
        <w:shd w:val="clear" w:color="auto" w:fill="FFFFFF" w:themeFill="background1"/>
        <w:spacing w:before="120" w:after="0"/>
        <w:rPr>
          <w:rFonts w:cs="Arial"/>
        </w:rPr>
      </w:pPr>
      <w:r w:rsidRPr="005A3445">
        <w:rPr>
          <w:rFonts w:cs="Arial"/>
        </w:rPr>
        <w:t>During 2014/15 the EPC directed the ECO to conduct the required evacuation drill, specifically a scenario to address one of WorkCover WA’s most significant risks, a bush fire.</w:t>
      </w:r>
    </w:p>
    <w:p w14:paraId="1D6C61FA" w14:textId="77777777" w:rsidR="005A3445" w:rsidRPr="005A3445" w:rsidRDefault="005A3445" w:rsidP="005A3445">
      <w:pPr>
        <w:tabs>
          <w:tab w:val="left" w:pos="1275"/>
        </w:tabs>
        <w:rPr>
          <w:rFonts w:cs="Arial"/>
        </w:rPr>
      </w:pPr>
      <w:r w:rsidRPr="005A3445">
        <w:rPr>
          <w:rFonts w:cs="Arial"/>
        </w:rPr>
        <w:t>In response to a review of WorkCover WA’s security arrangements:</w:t>
      </w:r>
    </w:p>
    <w:p w14:paraId="61F77DC6" w14:textId="77777777" w:rsidR="005A3445" w:rsidRPr="005A3445" w:rsidRDefault="005A3445" w:rsidP="007E2369">
      <w:pPr>
        <w:pStyle w:val="BulletListLevel1"/>
      </w:pPr>
      <w:r w:rsidRPr="005A3445">
        <w:t>procedures for admitting visitors to the WorkCover WA building were updated</w:t>
      </w:r>
    </w:p>
    <w:p w14:paraId="6EA0F97B" w14:textId="77777777" w:rsidR="005A3445" w:rsidRPr="005A3445" w:rsidRDefault="005A3445" w:rsidP="007E2369">
      <w:pPr>
        <w:pStyle w:val="BulletListLevel1"/>
      </w:pPr>
      <w:r w:rsidRPr="005A3445">
        <w:t>photo identification of all staff has been introduced, and</w:t>
      </w:r>
    </w:p>
    <w:p w14:paraId="308FDABF" w14:textId="77777777" w:rsidR="005A3445" w:rsidRPr="00DA738A" w:rsidRDefault="005A3445" w:rsidP="007E2369">
      <w:pPr>
        <w:pStyle w:val="BulletListLevel1"/>
      </w:pPr>
      <w:r w:rsidRPr="005A3445">
        <w:t>procedures for dealing with difficult or threatening customers were updated.</w:t>
      </w:r>
    </w:p>
    <w:p w14:paraId="385E1253" w14:textId="77777777" w:rsidR="00DA738A" w:rsidRPr="005A3445" w:rsidRDefault="00DA738A" w:rsidP="00DA738A">
      <w:pPr>
        <w:tabs>
          <w:tab w:val="left" w:pos="1275"/>
        </w:tabs>
        <w:spacing w:line="240" w:lineRule="auto"/>
        <w:ind w:left="714"/>
        <w:contextualSpacing/>
        <w:rPr>
          <w:rFonts w:eastAsiaTheme="minorHAnsi" w:cs="Arial"/>
          <w:bCs/>
        </w:rPr>
      </w:pPr>
    </w:p>
    <w:p w14:paraId="19C79CFE" w14:textId="77777777" w:rsidR="005A3445" w:rsidRPr="005A3445" w:rsidRDefault="005A3445" w:rsidP="005A3445">
      <w:r w:rsidRPr="005A3445">
        <w:rPr>
          <w:rFonts w:cs="Arial"/>
        </w:rPr>
        <w:t>An SMS identification test, structured walkthrough and simulation tests were conducted. In response to these exercises all the business continuity documents were reviewed and updated.</w:t>
      </w:r>
    </w:p>
    <w:p w14:paraId="0A41CCF8" w14:textId="77777777" w:rsidR="00356269" w:rsidRDefault="00356269" w:rsidP="00356269">
      <w:pPr>
        <w:pStyle w:val="Heading3nonumber"/>
      </w:pPr>
      <w:bookmarkStart w:id="119" w:name="_Toc426617428"/>
      <w:bookmarkStart w:id="120" w:name="_Toc430091150"/>
      <w:r>
        <w:t xml:space="preserve">Innovation </w:t>
      </w:r>
      <w:r w:rsidR="00EC2BBB">
        <w:t xml:space="preserve">Support </w:t>
      </w:r>
      <w:r>
        <w:t>Committee</w:t>
      </w:r>
      <w:bookmarkEnd w:id="119"/>
      <w:bookmarkEnd w:id="120"/>
    </w:p>
    <w:p w14:paraId="34F18F07" w14:textId="77777777" w:rsidR="0029240E" w:rsidRDefault="00356269" w:rsidP="00356269">
      <w:r w:rsidRPr="008F3A83">
        <w:t xml:space="preserve">The Innovation </w:t>
      </w:r>
      <w:r w:rsidR="00EC2BBB">
        <w:t xml:space="preserve">Support </w:t>
      </w:r>
      <w:r w:rsidRPr="008F3A83">
        <w:t>Committee was established in January 2015 to promote and support</w:t>
      </w:r>
      <w:r w:rsidR="00EC2BBB">
        <w:t xml:space="preserve"> innovation </w:t>
      </w:r>
      <w:r w:rsidR="001511D2">
        <w:t xml:space="preserve">in </w:t>
      </w:r>
      <w:r w:rsidR="00EC2BBB">
        <w:t xml:space="preserve">the Agency. </w:t>
      </w:r>
    </w:p>
    <w:p w14:paraId="1961099B" w14:textId="565C1B73" w:rsidR="00356269" w:rsidRPr="008F3A83" w:rsidRDefault="0030662B" w:rsidP="00356269">
      <w:r>
        <w:t>The Innovation Support</w:t>
      </w:r>
      <w:r w:rsidR="00C01963">
        <w:t xml:space="preserve"> C</w:t>
      </w:r>
      <w:r w:rsidR="00EC2BBB">
        <w:t xml:space="preserve">ommittee </w:t>
      </w:r>
      <w:r>
        <w:t xml:space="preserve">is chaired by the CEO and members meet fortnightly. </w:t>
      </w:r>
      <w:r w:rsidR="00356269" w:rsidRPr="008F3A83">
        <w:t>T</w:t>
      </w:r>
      <w:r w:rsidR="00356269">
        <w:t xml:space="preserve">he </w:t>
      </w:r>
      <w:r w:rsidR="00B86EDC">
        <w:t>functions of the C</w:t>
      </w:r>
      <w:r w:rsidR="00EC2BBB">
        <w:t>ommittee are to</w:t>
      </w:r>
      <w:r w:rsidR="00356269">
        <w:t>:</w:t>
      </w:r>
    </w:p>
    <w:p w14:paraId="3ABA4C09" w14:textId="245FBE71" w:rsidR="00356269" w:rsidRPr="008F3A83" w:rsidRDefault="00207CF5" w:rsidP="007E2369">
      <w:pPr>
        <w:pStyle w:val="BulletListLevel1"/>
      </w:pPr>
      <w:r>
        <w:t>oversee</w:t>
      </w:r>
      <w:r w:rsidR="00356269" w:rsidRPr="008F3A83">
        <w:t xml:space="preserve"> the operation of </w:t>
      </w:r>
      <w:r w:rsidR="00C726B0">
        <w:t>WorkCover WA</w:t>
      </w:r>
      <w:r w:rsidR="00356269" w:rsidRPr="008F3A83">
        <w:t>’s Innovation Framework</w:t>
      </w:r>
    </w:p>
    <w:p w14:paraId="1803CF1C" w14:textId="77777777" w:rsidR="00356269" w:rsidRPr="008F3A83" w:rsidRDefault="00207CF5" w:rsidP="007E2369">
      <w:pPr>
        <w:pStyle w:val="BulletListLevel1"/>
      </w:pPr>
      <w:r>
        <w:lastRenderedPageBreak/>
        <w:t>promote</w:t>
      </w:r>
      <w:r w:rsidR="00356269" w:rsidRPr="008F3A83">
        <w:t xml:space="preserve"> innovation in the Agency</w:t>
      </w:r>
    </w:p>
    <w:p w14:paraId="652D36D7" w14:textId="77777777" w:rsidR="00356269" w:rsidRPr="008F3A83" w:rsidRDefault="00EC2BBB" w:rsidP="007E2369">
      <w:pPr>
        <w:pStyle w:val="BulletListLevel1"/>
      </w:pPr>
      <w:r>
        <w:t>assist</w:t>
      </w:r>
      <w:r w:rsidR="00356269" w:rsidRPr="008F3A83">
        <w:t xml:space="preserve"> staff with the development of their ideas</w:t>
      </w:r>
    </w:p>
    <w:p w14:paraId="129DD5DC" w14:textId="626C5204" w:rsidR="00356269" w:rsidRPr="008F3A83" w:rsidRDefault="00207CF5" w:rsidP="007E2369">
      <w:pPr>
        <w:pStyle w:val="BulletListLevel1"/>
      </w:pPr>
      <w:r>
        <w:t>review</w:t>
      </w:r>
      <w:r w:rsidR="00B86EDC">
        <w:t xml:space="preserve"> submissions and recommend</w:t>
      </w:r>
      <w:r w:rsidR="00356269" w:rsidRPr="008F3A83">
        <w:t xml:space="preserve"> </w:t>
      </w:r>
      <w:r w:rsidR="00C01963">
        <w:t>supported</w:t>
      </w:r>
      <w:r w:rsidR="00356269" w:rsidRPr="008F3A83">
        <w:t xml:space="preserve"> ideas to the relevant General</w:t>
      </w:r>
      <w:r w:rsidR="00EC2BBB">
        <w:t xml:space="preserve"> Manager for implementation</w:t>
      </w:r>
    </w:p>
    <w:p w14:paraId="4C222726" w14:textId="77777777" w:rsidR="00356269" w:rsidRPr="008F3A83" w:rsidRDefault="00356269" w:rsidP="007E2369">
      <w:pPr>
        <w:pStyle w:val="BulletListLevel1"/>
      </w:pPr>
      <w:r w:rsidRPr="008F3A83">
        <w:t>report on innovation and outcomes to the Corporate Executive.</w:t>
      </w:r>
    </w:p>
    <w:p w14:paraId="5544A88E" w14:textId="756AC839" w:rsidR="00356269" w:rsidRPr="008F3A83" w:rsidRDefault="00356269" w:rsidP="00356269">
      <w:r w:rsidRPr="008F3A83">
        <w:t xml:space="preserve">Since the Committee commenced in </w:t>
      </w:r>
      <w:r w:rsidRPr="00326340">
        <w:t xml:space="preserve">January 2015 it has met </w:t>
      </w:r>
      <w:r w:rsidR="00326340" w:rsidRPr="00326340">
        <w:t>11</w:t>
      </w:r>
      <w:r w:rsidRPr="00326340">
        <w:t xml:space="preserve"> times</w:t>
      </w:r>
      <w:r w:rsidR="00C01963" w:rsidRPr="00326340">
        <w:t>.</w:t>
      </w:r>
    </w:p>
    <w:p w14:paraId="460341ED" w14:textId="4CFED9D5" w:rsidR="00356269" w:rsidRPr="008F3A83" w:rsidRDefault="00B86EDC" w:rsidP="00356269">
      <w:r>
        <w:t>During the year</w:t>
      </w:r>
      <w:r w:rsidR="00356269">
        <w:t xml:space="preserve"> the</w:t>
      </w:r>
      <w:r w:rsidR="00356269" w:rsidRPr="008F3A83">
        <w:t xml:space="preserve"> Innovation </w:t>
      </w:r>
      <w:r w:rsidR="001422CA">
        <w:t xml:space="preserve">Support </w:t>
      </w:r>
      <w:r w:rsidR="00356269" w:rsidRPr="008F3A83">
        <w:t>Committee introduced Launchpad,</w:t>
      </w:r>
      <w:r w:rsidR="0003731F">
        <w:t xml:space="preserve"> an int</w:t>
      </w:r>
      <w:r w:rsidR="005A3445">
        <w:t>ernal web based idea</w:t>
      </w:r>
      <w:r w:rsidR="0003731F">
        <w:t xml:space="preserve"> management tool as </w:t>
      </w:r>
      <w:r w:rsidR="00356269">
        <w:t xml:space="preserve">a </w:t>
      </w:r>
      <w:r w:rsidR="00230433">
        <w:t>dedicated</w:t>
      </w:r>
      <w:r w:rsidR="00356269">
        <w:t xml:space="preserve"> forum</w:t>
      </w:r>
      <w:r w:rsidR="00715291">
        <w:t xml:space="preserve"> to raise and share ideas aimed at improving the Agency’s overall performance.</w:t>
      </w:r>
    </w:p>
    <w:p w14:paraId="0811D410" w14:textId="35822023" w:rsidR="00326340" w:rsidRDefault="00326340" w:rsidP="00326340">
      <w:pPr>
        <w:rPr>
          <w:sz w:val="22"/>
          <w:szCs w:val="22"/>
          <w:lang w:eastAsia="en-AU"/>
        </w:rPr>
      </w:pPr>
      <w:r w:rsidRPr="00326340">
        <w:t xml:space="preserve">Since the commencement of this Committee 30 ideas have been submitted and four ideas implemented. </w:t>
      </w:r>
      <w:r w:rsidR="00D9418D" w:rsidRPr="00D9418D">
        <w:rPr>
          <w:iCs/>
        </w:rPr>
        <w:t>In addition, two forums have been conducted where staff were invited to respond to a posed issue or problem</w:t>
      </w:r>
      <w:r w:rsidRPr="00D9418D">
        <w:t>.</w:t>
      </w:r>
      <w:r w:rsidRPr="00326340">
        <w:t xml:space="preserve"> WorkCover WA also</w:t>
      </w:r>
      <w:r w:rsidR="005A3445">
        <w:t xml:space="preserve"> developed</w:t>
      </w:r>
      <w:r w:rsidRPr="00326340">
        <w:t xml:space="preserve"> an Innovation Maturity Model based on Landgate’s Innovation Maturity M</w:t>
      </w:r>
      <w:r w:rsidR="005A3445">
        <w:t>odel</w:t>
      </w:r>
      <w:r w:rsidRPr="00326340">
        <w:t>. The model was developed to analyse the maturity of WorkCover WA’s innovation program and identify the steps required to lift the maturity of the program to the next level.</w:t>
      </w:r>
    </w:p>
    <w:p w14:paraId="0929CEB5" w14:textId="77777777" w:rsidR="000A5BCC" w:rsidRDefault="000A5BCC" w:rsidP="00774708">
      <w:pPr>
        <w:pStyle w:val="Heading3nonumber"/>
      </w:pPr>
      <w:bookmarkStart w:id="121" w:name="_Toc426617429"/>
      <w:bookmarkStart w:id="122" w:name="_Toc430091151"/>
      <w:r>
        <w:t>Joint Consultative Committee</w:t>
      </w:r>
      <w:bookmarkEnd w:id="121"/>
      <w:bookmarkEnd w:id="122"/>
    </w:p>
    <w:p w14:paraId="359F979B" w14:textId="77777777" w:rsidR="00FC4A12" w:rsidRDefault="00FC4A12" w:rsidP="00FC4A12">
      <w:r>
        <w:t>T</w:t>
      </w:r>
      <w:r w:rsidRPr="00ED3317">
        <w:t>he Joint Consultative Com</w:t>
      </w:r>
      <w:r>
        <w:t>mittee (JCC) is chaired by a member of the Corporate Executive and comprises WorkCover WA’s elected union delegates, the CEO and senior management representatives. The Committee meets quarterly</w:t>
      </w:r>
      <w:r w:rsidRPr="00ED3317">
        <w:t xml:space="preserve"> </w:t>
      </w:r>
      <w:r>
        <w:t>or as required</w:t>
      </w:r>
      <w:r w:rsidRPr="00ED3317">
        <w:t xml:space="preserve"> to ensure consultation occurs between staff and management on major issues affecting the working conditions of employees.</w:t>
      </w:r>
      <w:r w:rsidRPr="0029240E">
        <w:t xml:space="preserve"> </w:t>
      </w:r>
    </w:p>
    <w:p w14:paraId="1BBD13DD" w14:textId="77777777" w:rsidR="001F1FB7" w:rsidRDefault="001F1FB7" w:rsidP="002050D9">
      <w:pPr>
        <w:rPr>
          <w:rFonts w:cs="Arial"/>
        </w:rPr>
      </w:pPr>
      <w:r w:rsidRPr="008F7A75">
        <w:rPr>
          <w:rFonts w:cs="Arial"/>
        </w:rPr>
        <w:t>In 2014/15 the JCC mad</w:t>
      </w:r>
      <w:r>
        <w:rPr>
          <w:rFonts w:cs="Arial"/>
        </w:rPr>
        <w:t>e recommendations regarding the:</w:t>
      </w:r>
    </w:p>
    <w:p w14:paraId="7F4F2C33" w14:textId="77777777" w:rsidR="001F1FB7" w:rsidRPr="00A34F9E" w:rsidRDefault="001F1FB7" w:rsidP="001F1FB7">
      <w:pPr>
        <w:pStyle w:val="BulletListLevel1"/>
      </w:pPr>
      <w:r w:rsidRPr="00A34F9E">
        <w:t>implementation of initiatives arising from the Public Sector Commission’s Employee Perception Survey</w:t>
      </w:r>
    </w:p>
    <w:p w14:paraId="0D8DE7FF" w14:textId="7DF7B967" w:rsidR="001F1FB7" w:rsidRPr="00A34F9E" w:rsidRDefault="00900BA2" w:rsidP="001F1FB7">
      <w:pPr>
        <w:pStyle w:val="BulletListLevel1"/>
      </w:pPr>
      <w:r>
        <w:t>election of Safety and Health</w:t>
      </w:r>
      <w:r w:rsidR="001F1FB7" w:rsidRPr="00A34F9E">
        <w:t xml:space="preserve"> </w:t>
      </w:r>
      <w:r w:rsidR="00C01963" w:rsidRPr="00A34F9E">
        <w:t>r</w:t>
      </w:r>
      <w:r w:rsidR="001F1FB7" w:rsidRPr="00A34F9E">
        <w:t>epresentatives</w:t>
      </w:r>
    </w:p>
    <w:p w14:paraId="18FBA45F" w14:textId="1E6D47F0" w:rsidR="001F1FB7" w:rsidRPr="00A34F9E" w:rsidRDefault="001F1FB7" w:rsidP="001F1FB7">
      <w:pPr>
        <w:pStyle w:val="BulletListLevel1"/>
      </w:pPr>
      <w:r w:rsidRPr="00A34F9E">
        <w:t>the ‘Christmas/New Year closedown’</w:t>
      </w:r>
      <w:r w:rsidR="00FC4A12">
        <w:t xml:space="preserve"> period</w:t>
      </w:r>
    </w:p>
    <w:p w14:paraId="3CCAD812" w14:textId="77777777" w:rsidR="001F1FB7" w:rsidRPr="00A34F9E" w:rsidRDefault="001F1FB7" w:rsidP="001F1FB7">
      <w:pPr>
        <w:pStyle w:val="BulletListLevel1"/>
      </w:pPr>
      <w:r w:rsidRPr="00A34F9E">
        <w:t>amendments to the Performance Development Agreement process.</w:t>
      </w:r>
    </w:p>
    <w:p w14:paraId="506AD152" w14:textId="47991BD7" w:rsidR="00866399" w:rsidRPr="00A34F9E" w:rsidRDefault="001F1FB7" w:rsidP="001F1FB7">
      <w:r w:rsidRPr="00A34F9E">
        <w:t xml:space="preserve">The JCC also provided feedback on </w:t>
      </w:r>
      <w:r w:rsidR="00C01963" w:rsidRPr="00A34F9E">
        <w:t>the</w:t>
      </w:r>
      <w:r w:rsidRPr="00A34F9E">
        <w:t xml:space="preserve"> review of a range of corporate policies and procedures.</w:t>
      </w:r>
    </w:p>
    <w:p w14:paraId="2CED1666" w14:textId="77777777" w:rsidR="000A5BCC" w:rsidRDefault="000A5BCC" w:rsidP="00774708">
      <w:pPr>
        <w:pStyle w:val="Heading3nonumber"/>
      </w:pPr>
      <w:bookmarkStart w:id="123" w:name="_Toc426617430"/>
      <w:bookmarkStart w:id="124" w:name="_Toc430091152"/>
      <w:r>
        <w:lastRenderedPageBreak/>
        <w:t>Occupational Safety and Health Committee</w:t>
      </w:r>
      <w:bookmarkEnd w:id="123"/>
      <w:bookmarkEnd w:id="124"/>
    </w:p>
    <w:p w14:paraId="1BC9C0C6" w14:textId="191F074D" w:rsidR="00AA0CA2" w:rsidRDefault="00AA0CA2" w:rsidP="00AA0CA2">
      <w:pPr>
        <w:shd w:val="clear" w:color="auto" w:fill="FFFFFF" w:themeFill="background1"/>
        <w:spacing w:before="120" w:after="0"/>
        <w:rPr>
          <w:rFonts w:cs="Arial"/>
        </w:rPr>
      </w:pPr>
      <w:r w:rsidRPr="00D51C4B">
        <w:rPr>
          <w:rFonts w:cs="Arial"/>
        </w:rPr>
        <w:t xml:space="preserve">The Occupational Safety and Health (OSH) Committee facilitates consultation and cooperation </w:t>
      </w:r>
      <w:r w:rsidR="00B03431">
        <w:rPr>
          <w:rFonts w:cs="Arial"/>
        </w:rPr>
        <w:t>across</w:t>
      </w:r>
      <w:r w:rsidRPr="00D51C4B">
        <w:rPr>
          <w:rFonts w:cs="Arial"/>
        </w:rPr>
        <w:t xml:space="preserve"> </w:t>
      </w:r>
      <w:r w:rsidR="00C726B0">
        <w:rPr>
          <w:rFonts w:cs="Arial"/>
        </w:rPr>
        <w:t>WorkCover WA</w:t>
      </w:r>
      <w:r w:rsidRPr="00D51C4B">
        <w:rPr>
          <w:rFonts w:cs="Arial"/>
        </w:rPr>
        <w:t xml:space="preserve"> by examining issues affecting the health and wellbeing of staff, and developing and implementing measures to prevent workpla</w:t>
      </w:r>
      <w:r w:rsidR="00B56041">
        <w:rPr>
          <w:rFonts w:cs="Arial"/>
        </w:rPr>
        <w:t>ce accidents and injuries. The C</w:t>
      </w:r>
      <w:r w:rsidRPr="00D51C4B">
        <w:rPr>
          <w:rFonts w:cs="Arial"/>
        </w:rPr>
        <w:t xml:space="preserve">ommittee makes recommendations to both the </w:t>
      </w:r>
      <w:r w:rsidR="005A3445">
        <w:rPr>
          <w:rFonts w:cs="Arial"/>
        </w:rPr>
        <w:t>Agency</w:t>
      </w:r>
      <w:r w:rsidRPr="00D51C4B">
        <w:rPr>
          <w:rFonts w:cs="Arial"/>
        </w:rPr>
        <w:t xml:space="preserve"> and its employees regarding the establishment, maintenance and monitoring of programs, measures and procedures in the workplace relating to the safety and health of all employees.</w:t>
      </w:r>
    </w:p>
    <w:p w14:paraId="598A51DD" w14:textId="0C4DC1A0" w:rsidR="00F87771" w:rsidRDefault="00AA0CA2" w:rsidP="00AA0CA2">
      <w:pPr>
        <w:shd w:val="clear" w:color="auto" w:fill="FFFFFF" w:themeFill="background1"/>
        <w:spacing w:before="120" w:after="0"/>
        <w:rPr>
          <w:rFonts w:cs="Arial"/>
        </w:rPr>
      </w:pPr>
      <w:r w:rsidRPr="00D51C4B">
        <w:rPr>
          <w:rFonts w:cs="Arial"/>
        </w:rPr>
        <w:t>The OSH Committee is chaired by a member of the Corporate Executive and</w:t>
      </w:r>
      <w:r w:rsidR="00B86EDC">
        <w:rPr>
          <w:rFonts w:cs="Arial"/>
        </w:rPr>
        <w:t xml:space="preserve"> is</w:t>
      </w:r>
      <w:r>
        <w:rPr>
          <w:rFonts w:cs="Arial"/>
        </w:rPr>
        <w:t xml:space="preserve"> comprised of a Human Resources Officer</w:t>
      </w:r>
      <w:r w:rsidRPr="00D51C4B">
        <w:rPr>
          <w:rFonts w:cs="Arial"/>
        </w:rPr>
        <w:t>, the Administration Officer Business Services, and three elected</w:t>
      </w:r>
      <w:r w:rsidR="00B86EDC">
        <w:rPr>
          <w:rFonts w:cs="Arial"/>
        </w:rPr>
        <w:t xml:space="preserve"> employee representatives. The C</w:t>
      </w:r>
      <w:r w:rsidRPr="00D51C4B">
        <w:rPr>
          <w:rFonts w:cs="Arial"/>
        </w:rPr>
        <w:t>ommittee meets on a quarterly basis to address OSH issues, and review hazards and incident reports.</w:t>
      </w:r>
    </w:p>
    <w:p w14:paraId="2A90708E" w14:textId="40DFF158" w:rsidR="001054FE" w:rsidRPr="00AA0CA2" w:rsidRDefault="00AA0CA2" w:rsidP="001054FE">
      <w:r>
        <w:rPr>
          <w:highlight w:val="yellow"/>
        </w:rPr>
        <w:br/>
      </w:r>
      <w:r w:rsidRPr="00AA0CA2">
        <w:t>In 2014/15</w:t>
      </w:r>
      <w:r w:rsidR="001054FE" w:rsidRPr="00AA0CA2">
        <w:t>, the OSH Committee was involved with the following initiatives:</w:t>
      </w:r>
    </w:p>
    <w:p w14:paraId="76D801B8" w14:textId="3B4B68EE" w:rsidR="00AA0CA2" w:rsidRPr="00AA0CA2" w:rsidRDefault="00AA0CA2" w:rsidP="00AA0CA2">
      <w:pPr>
        <w:pStyle w:val="BulletListLevel1"/>
      </w:pPr>
      <w:r>
        <w:t>e</w:t>
      </w:r>
      <w:r w:rsidRPr="00AA0CA2">
        <w:t xml:space="preserve">lection of new </w:t>
      </w:r>
      <w:r w:rsidR="00B517E8">
        <w:t>Safety and Health</w:t>
      </w:r>
      <w:r w:rsidR="00B86EDC">
        <w:t xml:space="preserve"> </w:t>
      </w:r>
      <w:r w:rsidRPr="00AA0CA2">
        <w:t>Representatives</w:t>
      </w:r>
    </w:p>
    <w:p w14:paraId="57C6DB5D" w14:textId="794179FD" w:rsidR="00AA0CA2" w:rsidRPr="00AA0CA2" w:rsidRDefault="00AA0CA2" w:rsidP="00AA0CA2">
      <w:pPr>
        <w:pStyle w:val="BulletListLevel1"/>
      </w:pPr>
      <w:r>
        <w:t>o</w:t>
      </w:r>
      <w:r w:rsidRPr="00AA0CA2">
        <w:t>ng</w:t>
      </w:r>
      <w:r>
        <w:t>oing implementation of the 2013–20</w:t>
      </w:r>
      <w:r w:rsidRPr="00AA0CA2">
        <w:t>15 OSH Management Plan</w:t>
      </w:r>
    </w:p>
    <w:p w14:paraId="02DA71CE" w14:textId="6B66D01B" w:rsidR="00AA0CA2" w:rsidRPr="00AA0CA2" w:rsidRDefault="00AA0CA2" w:rsidP="00AA0CA2">
      <w:pPr>
        <w:pStyle w:val="BulletListLevel1"/>
      </w:pPr>
      <w:r>
        <w:t>c</w:t>
      </w:r>
      <w:r w:rsidRPr="00AA0CA2">
        <w:t>ontinuing provision of ergonomic workstation setups/</w:t>
      </w:r>
      <w:r>
        <w:t>assessments for</w:t>
      </w:r>
      <w:r w:rsidRPr="00AA0CA2">
        <w:t xml:space="preserve"> new employees</w:t>
      </w:r>
    </w:p>
    <w:p w14:paraId="114C9859" w14:textId="0E1EA97F" w:rsidR="00AA0CA2" w:rsidRPr="00AA0CA2" w:rsidRDefault="00AA0CA2" w:rsidP="00AA0CA2">
      <w:pPr>
        <w:pStyle w:val="BulletListLevel1"/>
      </w:pPr>
      <w:r>
        <w:t>i</w:t>
      </w:r>
      <w:r w:rsidR="00B56041">
        <w:t xml:space="preserve">mprovements </w:t>
      </w:r>
      <w:r w:rsidRPr="00AA0CA2">
        <w:t xml:space="preserve">to the online Hazard Management </w:t>
      </w:r>
      <w:r w:rsidR="00F05954">
        <w:t xml:space="preserve">Reporting </w:t>
      </w:r>
      <w:r w:rsidRPr="00AA0CA2">
        <w:t>System</w:t>
      </w:r>
    </w:p>
    <w:p w14:paraId="78B98F38" w14:textId="78776520" w:rsidR="00F05954" w:rsidRDefault="00AA0CA2" w:rsidP="00F05954">
      <w:pPr>
        <w:pStyle w:val="BulletListLevel1"/>
      </w:pPr>
      <w:r>
        <w:t>trial of</w:t>
      </w:r>
      <w:r w:rsidR="00FC4A12">
        <w:t xml:space="preserve"> an amended schedule for</w:t>
      </w:r>
      <w:r w:rsidRPr="00AA0CA2">
        <w:t xml:space="preserve"> regular OSH workplace inspections.</w:t>
      </w:r>
    </w:p>
    <w:p w14:paraId="22024193" w14:textId="3C6AA55E" w:rsidR="00A34F9E" w:rsidRPr="00847290" w:rsidRDefault="00A34F9E" w:rsidP="00847290">
      <w:pPr>
        <w:rPr>
          <w:rFonts w:eastAsiaTheme="minorHAnsi"/>
        </w:rPr>
      </w:pPr>
      <w:r w:rsidRPr="00847290">
        <w:rPr>
          <w:rFonts w:eastAsiaTheme="minorHAnsi"/>
        </w:rPr>
        <w:t xml:space="preserve">During 2014/15 WorkCover WA maintained its gold status under the </w:t>
      </w:r>
      <w:r w:rsidR="0088006F">
        <w:rPr>
          <w:rFonts w:eastAsiaTheme="minorHAnsi"/>
        </w:rPr>
        <w:t xml:space="preserve">WorkSafe Plan issued by the </w:t>
      </w:r>
      <w:r w:rsidRPr="00847290">
        <w:rPr>
          <w:rFonts w:eastAsiaTheme="minorHAnsi"/>
        </w:rPr>
        <w:t>Depart</w:t>
      </w:r>
      <w:r w:rsidR="0088006F">
        <w:rPr>
          <w:rFonts w:eastAsiaTheme="minorHAnsi"/>
        </w:rPr>
        <w:t>ment of Commerce</w:t>
      </w:r>
      <w:r w:rsidRPr="00847290">
        <w:rPr>
          <w:rFonts w:eastAsiaTheme="minorHAnsi"/>
        </w:rPr>
        <w:t>.</w:t>
      </w:r>
    </w:p>
    <w:p w14:paraId="3F822848" w14:textId="317943FD" w:rsidR="00A34F9E" w:rsidRPr="00847290" w:rsidRDefault="00A34F9E" w:rsidP="00847290">
      <w:pPr>
        <w:rPr>
          <w:rFonts w:eastAsiaTheme="minorHAnsi"/>
        </w:rPr>
      </w:pPr>
      <w:r w:rsidRPr="00847290">
        <w:rPr>
          <w:rFonts w:eastAsiaTheme="minorHAnsi"/>
        </w:rPr>
        <w:t xml:space="preserve">Occupational safety and health is a standing agenda item for all meetings of the </w:t>
      </w:r>
      <w:r w:rsidR="005A3445" w:rsidRPr="00847290">
        <w:rPr>
          <w:rFonts w:eastAsiaTheme="minorHAnsi"/>
        </w:rPr>
        <w:t>Agency</w:t>
      </w:r>
      <w:r w:rsidRPr="00847290">
        <w:rPr>
          <w:rFonts w:eastAsiaTheme="minorHAnsi"/>
        </w:rPr>
        <w:t>’s Corporate Executive.</w:t>
      </w:r>
    </w:p>
    <w:p w14:paraId="5022B1C7" w14:textId="7F5033C9" w:rsidR="000A5BCC" w:rsidRPr="007E3277" w:rsidRDefault="000A5BCC" w:rsidP="007E3277">
      <w:pPr>
        <w:pStyle w:val="Heading3nonumber"/>
      </w:pPr>
      <w:bookmarkStart w:id="125" w:name="_Toc426617431"/>
      <w:bookmarkStart w:id="126" w:name="_Toc430091153"/>
      <w:r w:rsidRPr="007E3277">
        <w:t>KPI Performance Reporting Committee</w:t>
      </w:r>
      <w:bookmarkEnd w:id="125"/>
      <w:bookmarkEnd w:id="126"/>
    </w:p>
    <w:p w14:paraId="070E6752" w14:textId="77777777" w:rsidR="0030662B" w:rsidRDefault="00F87771" w:rsidP="002C2058">
      <w:r w:rsidRPr="00F87771">
        <w:t>The KPI Performance Reporting Committee reviews and manages t</w:t>
      </w:r>
      <w:r w:rsidR="005D0F98">
        <w:t xml:space="preserve">he </w:t>
      </w:r>
      <w:r w:rsidR="005A3445">
        <w:t>Agency</w:t>
      </w:r>
      <w:r w:rsidR="005D0F98">
        <w:t xml:space="preserve">’s </w:t>
      </w:r>
      <w:r w:rsidRPr="00F87771">
        <w:t xml:space="preserve">Outcome Based Management (OBM) structure. </w:t>
      </w:r>
    </w:p>
    <w:p w14:paraId="5E0B014C" w14:textId="337920AE" w:rsidR="00207CF5" w:rsidRDefault="0030662B" w:rsidP="002C2058">
      <w:r>
        <w:t>The KPI Performance Reporting Committee is c</w:t>
      </w:r>
      <w:r w:rsidR="006777C0">
        <w:t>haired by the CEO and</w:t>
      </w:r>
      <w:r>
        <w:t xml:space="preserve"> members</w:t>
      </w:r>
      <w:r w:rsidR="006777C0">
        <w:t xml:space="preserve"> </w:t>
      </w:r>
      <w:r w:rsidR="00EC2BBB" w:rsidRPr="00F87771">
        <w:t xml:space="preserve">consisting of </w:t>
      </w:r>
      <w:r w:rsidR="00FB3214">
        <w:t xml:space="preserve">the </w:t>
      </w:r>
      <w:r w:rsidR="00EC2BBB" w:rsidRPr="00F87771">
        <w:t>Corporate Execut</w:t>
      </w:r>
      <w:r w:rsidR="00FB3214">
        <w:t xml:space="preserve">ive </w:t>
      </w:r>
      <w:r w:rsidR="006777C0">
        <w:t xml:space="preserve">and relevant </w:t>
      </w:r>
      <w:r w:rsidR="00FB3214">
        <w:t xml:space="preserve">staff </w:t>
      </w:r>
      <w:r w:rsidR="00EC2BBB" w:rsidRPr="00F87771">
        <w:t xml:space="preserve">meet </w:t>
      </w:r>
      <w:r w:rsidR="006777C0">
        <w:t>quarterly or as required.</w:t>
      </w:r>
      <w:r w:rsidR="00EC2BBB" w:rsidRPr="00F87771">
        <w:t xml:space="preserve"> </w:t>
      </w:r>
      <w:r w:rsidR="006777C0">
        <w:t>The C</w:t>
      </w:r>
      <w:r w:rsidR="00F87771" w:rsidRPr="00F87771">
        <w:t xml:space="preserve">ommittee </w:t>
      </w:r>
      <w:r w:rsidR="003011EB">
        <w:t xml:space="preserve">must </w:t>
      </w:r>
      <w:r w:rsidR="00F87771" w:rsidRPr="00F87771">
        <w:t>comply with relevant government directives, guidelines and legislation</w:t>
      </w:r>
      <w:r w:rsidR="00337972">
        <w:t xml:space="preserve"> in developing, </w:t>
      </w:r>
      <w:r w:rsidR="00F87771" w:rsidRPr="00F87771">
        <w:t>implement</w:t>
      </w:r>
      <w:r w:rsidR="00337972">
        <w:t>ing</w:t>
      </w:r>
      <w:r w:rsidR="00F87771" w:rsidRPr="00F87771">
        <w:t xml:space="preserve"> and monitor</w:t>
      </w:r>
      <w:r w:rsidR="00337972">
        <w:t>ing</w:t>
      </w:r>
      <w:r w:rsidR="00F87771" w:rsidRPr="00F87771">
        <w:t xml:space="preserve"> organisational performance outcomes.</w:t>
      </w:r>
    </w:p>
    <w:p w14:paraId="673DB0ED" w14:textId="03BA641A" w:rsidR="00207CF5" w:rsidRDefault="00207CF5" w:rsidP="002C2058">
      <w:r>
        <w:lastRenderedPageBreak/>
        <w:t xml:space="preserve">The KPI Performance Reporting Committee has </w:t>
      </w:r>
      <w:r w:rsidR="00337972">
        <w:t>integrated the</w:t>
      </w:r>
      <w:r w:rsidR="005047BF">
        <w:t xml:space="preserve"> </w:t>
      </w:r>
      <w:r w:rsidR="005A3445">
        <w:t>Agency</w:t>
      </w:r>
      <w:r w:rsidR="005047BF">
        <w:t xml:space="preserve">’s </w:t>
      </w:r>
      <w:r w:rsidR="005047BF" w:rsidRPr="005047BF">
        <w:t xml:space="preserve">KPIs with operational processes to ensure </w:t>
      </w:r>
      <w:r>
        <w:t xml:space="preserve">KPIs are </w:t>
      </w:r>
      <w:r w:rsidR="00337972">
        <w:t>regarded as</w:t>
      </w:r>
      <w:r>
        <w:t xml:space="preserve"> </w:t>
      </w:r>
      <w:r w:rsidR="00337972">
        <w:t>integral to the Agency’s reporting framework.</w:t>
      </w:r>
    </w:p>
    <w:p w14:paraId="44B958A7" w14:textId="35EC93C1" w:rsidR="00207CF5" w:rsidRPr="00207CF5" w:rsidRDefault="00F05954" w:rsidP="002C2058">
      <w:r>
        <w:t>The C</w:t>
      </w:r>
      <w:r w:rsidR="00207CF5">
        <w:t xml:space="preserve">ommittee met five times in 2014/15. During </w:t>
      </w:r>
      <w:r>
        <w:t>the</w:t>
      </w:r>
      <w:r w:rsidR="00207CF5">
        <w:t xml:space="preserve"> year, </w:t>
      </w:r>
      <w:r w:rsidR="00C726B0">
        <w:t>WorkCover WA</w:t>
      </w:r>
      <w:r w:rsidR="00207CF5">
        <w:t xml:space="preserve"> received a Best Practice </w:t>
      </w:r>
      <w:r w:rsidR="005047BF">
        <w:t>award</w:t>
      </w:r>
      <w:r w:rsidR="00207CF5">
        <w:t xml:space="preserve"> from the Auditor General for the management and reporting of its finances and KPIs in 2013/14. </w:t>
      </w:r>
      <w:r w:rsidR="00C726B0">
        <w:t>WorkCover WA</w:t>
      </w:r>
      <w:r w:rsidR="00207CF5">
        <w:t xml:space="preserve"> also received the CPA Australia Specialist Award for Performance Reporting at the</w:t>
      </w:r>
      <w:r>
        <w:t xml:space="preserve"> prestigious</w:t>
      </w:r>
      <w:r w:rsidR="00207CF5">
        <w:t xml:space="preserve"> IPAA W</w:t>
      </w:r>
      <w:r w:rsidR="00A83FAC">
        <w:t>.</w:t>
      </w:r>
      <w:r w:rsidR="00207CF5">
        <w:t>S</w:t>
      </w:r>
      <w:r w:rsidR="00A83FAC">
        <w:t>.</w:t>
      </w:r>
      <w:r w:rsidR="00207CF5">
        <w:t xml:space="preserve"> </w:t>
      </w:r>
      <w:r w:rsidR="00A83FAC" w:rsidRPr="00A83FAC">
        <w:t>Lonnie Awards which recognise excellence in annual reporting.</w:t>
      </w:r>
    </w:p>
    <w:p w14:paraId="158ACF5E" w14:textId="77777777" w:rsidR="000A5BCC" w:rsidRPr="007E3277" w:rsidRDefault="000A5BCC" w:rsidP="007E3277">
      <w:pPr>
        <w:pStyle w:val="Heading3nonumber"/>
      </w:pPr>
      <w:bookmarkStart w:id="127" w:name="_Toc426617432"/>
      <w:bookmarkStart w:id="128" w:name="_Toc430091154"/>
      <w:r w:rsidRPr="007E3277">
        <w:t xml:space="preserve">Risk Management </w:t>
      </w:r>
      <w:r w:rsidR="00B560E5" w:rsidRPr="007E3277">
        <w:t xml:space="preserve">Review </w:t>
      </w:r>
      <w:r w:rsidRPr="007E3277">
        <w:t>Group</w:t>
      </w:r>
      <w:bookmarkEnd w:id="127"/>
      <w:bookmarkEnd w:id="128"/>
    </w:p>
    <w:p w14:paraId="094214AE" w14:textId="76130011" w:rsidR="00356269" w:rsidRDefault="00356269" w:rsidP="002C2058">
      <w:r>
        <w:t xml:space="preserve">The Risk Management Review Group (RMRG) oversees </w:t>
      </w:r>
      <w:r w:rsidR="00C726B0">
        <w:t>WorkCover WA</w:t>
      </w:r>
      <w:r>
        <w:t>’s risk management processes and is responsible for maintaining the Agency’s risk</w:t>
      </w:r>
      <w:r w:rsidR="00F05954">
        <w:t xml:space="preserve"> management framework. The RMRG is chaire</w:t>
      </w:r>
      <w:r w:rsidR="00763C85">
        <w:t>d by a Corporate Executive member</w:t>
      </w:r>
      <w:r w:rsidR="00651C83">
        <w:t xml:space="preserve"> and</w:t>
      </w:r>
      <w:r w:rsidR="00F05954">
        <w:t>:</w:t>
      </w:r>
    </w:p>
    <w:p w14:paraId="47200E48" w14:textId="77777777" w:rsidR="00356269" w:rsidRPr="002C2058" w:rsidRDefault="00356269" w:rsidP="002C2058">
      <w:pPr>
        <w:pStyle w:val="BulletListLevel1"/>
      </w:pPr>
      <w:r w:rsidRPr="002C2058">
        <w:t>monitors and tracks risks</w:t>
      </w:r>
    </w:p>
    <w:p w14:paraId="6C64BBD0" w14:textId="77777777" w:rsidR="00356269" w:rsidRPr="002C2058" w:rsidRDefault="00356269" w:rsidP="002C2058">
      <w:pPr>
        <w:pStyle w:val="BulletListLevel1"/>
      </w:pPr>
      <w:r w:rsidRPr="002C2058">
        <w:t>encourages and promotes greater awareness and understanding of risk throughout all levels of the Agency</w:t>
      </w:r>
    </w:p>
    <w:p w14:paraId="6F85FAC5" w14:textId="77777777" w:rsidR="00356269" w:rsidRPr="002C2058" w:rsidRDefault="00356269" w:rsidP="002C2058">
      <w:pPr>
        <w:pStyle w:val="BulletListLevel1"/>
      </w:pPr>
      <w:r w:rsidRPr="002C2058">
        <w:t>provides guidance on risk management.</w:t>
      </w:r>
    </w:p>
    <w:p w14:paraId="01F23A1A" w14:textId="77777777" w:rsidR="00356269" w:rsidRDefault="00356269" w:rsidP="002C2058">
      <w:r>
        <w:t>During 2014/15 the RMRG participated in a comprehensive review of the Agency’s risk management framework. This involved:</w:t>
      </w:r>
    </w:p>
    <w:p w14:paraId="44ABA587" w14:textId="7B429D8E" w:rsidR="00356269" w:rsidRPr="002C2058" w:rsidRDefault="001727CB" w:rsidP="002C2058">
      <w:pPr>
        <w:pStyle w:val="BulletListLevel1"/>
      </w:pPr>
      <w:r>
        <w:t>development of a revised A</w:t>
      </w:r>
      <w:r w:rsidR="00356269" w:rsidRPr="002C2058">
        <w:t>gency risk structure</w:t>
      </w:r>
    </w:p>
    <w:p w14:paraId="07F9FAB9" w14:textId="3536F417" w:rsidR="00356269" w:rsidRPr="002C2058" w:rsidRDefault="001727CB" w:rsidP="002C2058">
      <w:pPr>
        <w:pStyle w:val="BulletListLevel1"/>
      </w:pPr>
      <w:r>
        <w:t>review of all A</w:t>
      </w:r>
      <w:r w:rsidR="005047BF" w:rsidRPr="002C2058">
        <w:t>gency risks</w:t>
      </w:r>
    </w:p>
    <w:p w14:paraId="1C144B0C" w14:textId="44309132" w:rsidR="00356269" w:rsidRPr="002C2058" w:rsidRDefault="00F05954" w:rsidP="002C2058">
      <w:pPr>
        <w:pStyle w:val="BulletListLevel1"/>
      </w:pPr>
      <w:r w:rsidRPr="002C2058">
        <w:t xml:space="preserve">evaluation and </w:t>
      </w:r>
      <w:r w:rsidR="00337972" w:rsidRPr="002C2058">
        <w:t>implementation of</w:t>
      </w:r>
      <w:r w:rsidR="00356269" w:rsidRPr="002C2058">
        <w:t xml:space="preserve"> new risk management software system</w:t>
      </w:r>
      <w:r w:rsidR="00FC4A12">
        <w:t>s</w:t>
      </w:r>
    </w:p>
    <w:p w14:paraId="518FDBE8" w14:textId="77777777" w:rsidR="00356269" w:rsidRPr="002C2058" w:rsidRDefault="00356269" w:rsidP="002C2058">
      <w:pPr>
        <w:pStyle w:val="BulletListLevel1"/>
      </w:pPr>
      <w:r w:rsidRPr="002C2058">
        <w:t>revised documentation of the risk management framework.</w:t>
      </w:r>
    </w:p>
    <w:p w14:paraId="16F4373D" w14:textId="08E99D79" w:rsidR="00E322F3" w:rsidRDefault="00356269" w:rsidP="002C2058">
      <w:r>
        <w:t>A revised risk register h</w:t>
      </w:r>
      <w:r w:rsidR="00337972">
        <w:t xml:space="preserve">as been implemented based on a </w:t>
      </w:r>
      <w:r>
        <w:t>structure integrating strategic, operational and project risks. The new system</w:t>
      </w:r>
      <w:r w:rsidR="00337972">
        <w:t>s</w:t>
      </w:r>
      <w:r>
        <w:t xml:space="preserve"> ha</w:t>
      </w:r>
      <w:r w:rsidR="00337972">
        <w:t>ve</w:t>
      </w:r>
      <w:r>
        <w:t xml:space="preserve"> enhanced risk reporting to the Audit Committee.</w:t>
      </w:r>
    </w:p>
    <w:p w14:paraId="73E0887F" w14:textId="7814FA5A" w:rsidR="00B341D9" w:rsidRPr="00FD672E" w:rsidRDefault="00B341D9" w:rsidP="00FD672E">
      <w:pPr>
        <w:pStyle w:val="Heading2nonumber"/>
      </w:pPr>
      <w:bookmarkStart w:id="129" w:name="_Toc426617433"/>
      <w:bookmarkStart w:id="130" w:name="_Toc430091155"/>
      <w:r w:rsidRPr="00FD672E">
        <w:lastRenderedPageBreak/>
        <w:t>Complaints Handling</w:t>
      </w:r>
      <w:bookmarkEnd w:id="129"/>
      <w:bookmarkEnd w:id="130"/>
    </w:p>
    <w:p w14:paraId="07E16255" w14:textId="77777777" w:rsidR="00B341D9" w:rsidRPr="00FD672E" w:rsidRDefault="00B341D9" w:rsidP="00FD672E">
      <w:pPr>
        <w:pStyle w:val="Heading3nonumber"/>
      </w:pPr>
      <w:bookmarkStart w:id="131" w:name="_Toc426617434"/>
      <w:bookmarkStart w:id="132" w:name="_Toc430091156"/>
      <w:r w:rsidRPr="00FD672E">
        <w:t>Customer First Feedback Policy and Procedures</w:t>
      </w:r>
      <w:bookmarkEnd w:id="131"/>
      <w:bookmarkEnd w:id="132"/>
    </w:p>
    <w:p w14:paraId="6C860375" w14:textId="77777777" w:rsidR="00B341D9" w:rsidRPr="00050BE9" w:rsidRDefault="00B341D9" w:rsidP="002C2058">
      <w:pPr>
        <w:rPr>
          <w:lang w:val="en-GB"/>
        </w:rPr>
      </w:pPr>
      <w:r w:rsidRPr="00050BE9">
        <w:rPr>
          <w:lang w:val="en-GB"/>
        </w:rPr>
        <w:t>Feedback from customers is the most immediate and effective way an agency can analyse public perception of its performance. A customer feedback system forms part of an agency’s commitment to continuously improve services to customers and the community.</w:t>
      </w:r>
    </w:p>
    <w:p w14:paraId="6C3FA2A0" w14:textId="77777777" w:rsidR="00B341D9" w:rsidRPr="00050BE9" w:rsidRDefault="00B341D9" w:rsidP="002C2058">
      <w:pPr>
        <w:rPr>
          <w:lang w:val="en-GB"/>
        </w:rPr>
      </w:pPr>
      <w:r w:rsidRPr="00050BE9">
        <w:rPr>
          <w:lang w:val="en-GB"/>
        </w:rPr>
        <w:t>WorkCover WA’s Customer First Feedback System complies with the Australian Standard on Complaints Handling (AS 10002-2006) and Public Sector Commission Circular 2009-27: Complaints Handling. The system provides customers with an avenue to deliver positive or negative feedback about the Agency’s services, decisions, procedures, policies and facilities.</w:t>
      </w:r>
    </w:p>
    <w:p w14:paraId="604ECF88" w14:textId="77777777" w:rsidR="00B341D9" w:rsidRPr="00050BE9" w:rsidRDefault="00B341D9" w:rsidP="002C2058">
      <w:pPr>
        <w:rPr>
          <w:lang w:val="en-GB"/>
        </w:rPr>
      </w:pPr>
      <w:r w:rsidRPr="00050BE9">
        <w:rPr>
          <w:lang w:val="en-GB"/>
        </w:rPr>
        <w:t>This feedback mechanism increases WorkCover WA’s understanding of customer needs and expectations and identifies opportunities for organisational improvements. Customer feedback is reported regularly to the Agency’s Corporate Executive for discussion and trend identification.</w:t>
      </w:r>
    </w:p>
    <w:p w14:paraId="4A7C748A" w14:textId="1D4144DF" w:rsidR="00B341D9" w:rsidRPr="00050BE9" w:rsidRDefault="00B341D9" w:rsidP="002C2058">
      <w:pPr>
        <w:rPr>
          <w:lang w:val="en-GB"/>
        </w:rPr>
      </w:pPr>
      <w:r w:rsidRPr="00050BE9">
        <w:rPr>
          <w:lang w:val="en-GB"/>
        </w:rPr>
        <w:t>Customer feedback is recorded either verbally (in person or by telephone) or in writing (by Customer First Feedback Form, email, website</w:t>
      </w:r>
      <w:r w:rsidR="002F1725">
        <w:rPr>
          <w:lang w:val="en-GB"/>
        </w:rPr>
        <w:t>, letter, fax or ministerial). A response to v</w:t>
      </w:r>
      <w:r w:rsidRPr="00050BE9">
        <w:rPr>
          <w:lang w:val="en-GB"/>
        </w:rPr>
        <w:t xml:space="preserve">erbal feedback must be </w:t>
      </w:r>
      <w:r w:rsidR="002F1725">
        <w:rPr>
          <w:lang w:val="en-GB"/>
        </w:rPr>
        <w:t>provided</w:t>
      </w:r>
      <w:r w:rsidRPr="00050BE9">
        <w:rPr>
          <w:lang w:val="en-GB"/>
        </w:rPr>
        <w:t xml:space="preserve"> within five working days, and written feedback must be responded to within 10 working days. More complex complaints are expected to be resolved within 30 working days.</w:t>
      </w:r>
    </w:p>
    <w:p w14:paraId="238FADB2" w14:textId="77777777" w:rsidR="00B341D9" w:rsidRPr="00050BE9" w:rsidRDefault="00B341D9" w:rsidP="00B341D9">
      <w:pPr>
        <w:rPr>
          <w:b/>
        </w:rPr>
      </w:pPr>
      <w:r w:rsidRPr="00050BE9">
        <w:rPr>
          <w:b/>
          <w:lang w:val="en-GB"/>
        </w:rPr>
        <w:t>2014/15 outcomes are:</w:t>
      </w:r>
    </w:p>
    <w:tbl>
      <w:tblPr>
        <w:tblW w:w="0" w:type="auto"/>
        <w:tblInd w:w="113"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2268"/>
        <w:gridCol w:w="1560"/>
      </w:tblGrid>
      <w:tr w:rsidR="00B341D9" w:rsidRPr="00050BE9" w14:paraId="7C6C5420" w14:textId="77777777" w:rsidTr="00B03431">
        <w:trPr>
          <w:trHeight w:val="60"/>
        </w:trPr>
        <w:tc>
          <w:tcPr>
            <w:tcW w:w="2268" w:type="dxa"/>
            <w:shd w:val="clear" w:color="auto" w:fill="CEDFDC" w:themeFill="accent2" w:themeFillTint="33"/>
            <w:tcMar>
              <w:top w:w="113" w:type="dxa"/>
              <w:left w:w="113" w:type="dxa"/>
              <w:bottom w:w="113" w:type="dxa"/>
              <w:right w:w="113" w:type="dxa"/>
            </w:tcMar>
            <w:vAlign w:val="center"/>
          </w:tcPr>
          <w:p w14:paraId="5A075E27" w14:textId="77777777" w:rsidR="00B341D9" w:rsidRPr="00050BE9" w:rsidRDefault="00B341D9" w:rsidP="00B03431">
            <w:r w:rsidRPr="00050BE9">
              <w:t>Compliments</w:t>
            </w:r>
          </w:p>
        </w:tc>
        <w:tc>
          <w:tcPr>
            <w:tcW w:w="1560" w:type="dxa"/>
            <w:tcMar>
              <w:top w:w="113" w:type="dxa"/>
              <w:left w:w="113" w:type="dxa"/>
              <w:bottom w:w="113" w:type="dxa"/>
              <w:right w:w="113" w:type="dxa"/>
            </w:tcMar>
            <w:vAlign w:val="center"/>
          </w:tcPr>
          <w:p w14:paraId="67B3EBDC" w14:textId="77777777" w:rsidR="00B341D9" w:rsidRPr="00050BE9" w:rsidRDefault="00B341D9" w:rsidP="00B03431">
            <w:r w:rsidRPr="00050BE9">
              <w:t>7</w:t>
            </w:r>
          </w:p>
        </w:tc>
      </w:tr>
      <w:tr w:rsidR="00B341D9" w:rsidRPr="00050BE9" w14:paraId="33D526DB" w14:textId="77777777" w:rsidTr="00B03431">
        <w:trPr>
          <w:trHeight w:val="467"/>
        </w:trPr>
        <w:tc>
          <w:tcPr>
            <w:tcW w:w="2268" w:type="dxa"/>
            <w:shd w:val="clear" w:color="auto" w:fill="CEDFDC" w:themeFill="accent2" w:themeFillTint="33"/>
            <w:tcMar>
              <w:top w:w="113" w:type="dxa"/>
              <w:left w:w="113" w:type="dxa"/>
              <w:bottom w:w="113" w:type="dxa"/>
              <w:right w:w="113" w:type="dxa"/>
            </w:tcMar>
            <w:vAlign w:val="center"/>
          </w:tcPr>
          <w:p w14:paraId="62E43D78" w14:textId="77777777" w:rsidR="00B341D9" w:rsidRPr="00050BE9" w:rsidRDefault="00B341D9" w:rsidP="00B03431">
            <w:r w:rsidRPr="00050BE9">
              <w:t>Complaints</w:t>
            </w:r>
          </w:p>
        </w:tc>
        <w:tc>
          <w:tcPr>
            <w:tcW w:w="1560" w:type="dxa"/>
            <w:tcMar>
              <w:top w:w="113" w:type="dxa"/>
              <w:left w:w="113" w:type="dxa"/>
              <w:bottom w:w="113" w:type="dxa"/>
              <w:right w:w="113" w:type="dxa"/>
            </w:tcMar>
          </w:tcPr>
          <w:p w14:paraId="69170985" w14:textId="77777777" w:rsidR="00B341D9" w:rsidRPr="00050BE9" w:rsidRDefault="00B341D9" w:rsidP="00B03431">
            <w:r w:rsidRPr="00050BE9">
              <w:t>16</w:t>
            </w:r>
          </w:p>
        </w:tc>
      </w:tr>
      <w:tr w:rsidR="00B341D9" w:rsidRPr="00050BE9" w14:paraId="6ED532EE" w14:textId="77777777" w:rsidTr="00B03431">
        <w:trPr>
          <w:trHeight w:val="60"/>
        </w:trPr>
        <w:tc>
          <w:tcPr>
            <w:tcW w:w="2268" w:type="dxa"/>
            <w:shd w:val="clear" w:color="auto" w:fill="CEDFDC" w:themeFill="accent2" w:themeFillTint="33"/>
            <w:tcMar>
              <w:top w:w="113" w:type="dxa"/>
              <w:left w:w="113" w:type="dxa"/>
              <w:bottom w:w="113" w:type="dxa"/>
              <w:right w:w="113" w:type="dxa"/>
            </w:tcMar>
            <w:vAlign w:val="center"/>
          </w:tcPr>
          <w:p w14:paraId="13407CD9" w14:textId="77777777" w:rsidR="00B341D9" w:rsidRPr="00050BE9" w:rsidRDefault="00B341D9" w:rsidP="00B03431">
            <w:r w:rsidRPr="00050BE9">
              <w:t>Suggestions</w:t>
            </w:r>
          </w:p>
        </w:tc>
        <w:tc>
          <w:tcPr>
            <w:tcW w:w="1560" w:type="dxa"/>
            <w:tcMar>
              <w:top w:w="113" w:type="dxa"/>
              <w:left w:w="113" w:type="dxa"/>
              <w:bottom w:w="113" w:type="dxa"/>
              <w:right w:w="113" w:type="dxa"/>
            </w:tcMar>
          </w:tcPr>
          <w:p w14:paraId="2C0249C7" w14:textId="77777777" w:rsidR="00B341D9" w:rsidRPr="00050BE9" w:rsidRDefault="00B341D9" w:rsidP="00B03431">
            <w:r w:rsidRPr="00050BE9">
              <w:t>7</w:t>
            </w:r>
          </w:p>
        </w:tc>
      </w:tr>
    </w:tbl>
    <w:p w14:paraId="040FB3EC" w14:textId="77777777" w:rsidR="00B341D9" w:rsidRPr="00050BE9" w:rsidRDefault="00B341D9" w:rsidP="00B341D9"/>
    <w:p w14:paraId="69762818" w14:textId="61B58C8A" w:rsidR="00B341D9" w:rsidRPr="00050BE9" w:rsidRDefault="00B341D9" w:rsidP="002C2058">
      <w:r w:rsidRPr="00050BE9">
        <w:t xml:space="preserve">All customer feedback was </w:t>
      </w:r>
      <w:r w:rsidR="002F1725">
        <w:t>actioned</w:t>
      </w:r>
      <w:r w:rsidRPr="00050BE9">
        <w:t xml:space="preserve"> within the agreed deadlines of five working days for verbal feedback and 10 working days for written feedback. Since 2013/14 the total number of complaints, compliments and suggestions increased by 33.3 per cent. This increase is seen as positive as it indicates that more people are using the Customer First Feedback System.</w:t>
      </w:r>
    </w:p>
    <w:p w14:paraId="0059B753" w14:textId="17CD1D38" w:rsidR="006C70FE" w:rsidRDefault="006C70FE" w:rsidP="006C70FE">
      <w:pPr>
        <w:pStyle w:val="Heading3nonumber"/>
      </w:pPr>
      <w:bookmarkStart w:id="133" w:name="_Toc430091157"/>
      <w:r>
        <w:lastRenderedPageBreak/>
        <w:t>Complaints against scheme participants</w:t>
      </w:r>
      <w:bookmarkEnd w:id="133"/>
    </w:p>
    <w:p w14:paraId="74ED05DE" w14:textId="04815839" w:rsidR="00B341D9" w:rsidRPr="00050BE9" w:rsidRDefault="0026669B" w:rsidP="00B341D9">
      <w:r>
        <w:t>Management of complaints about scheme participants</w:t>
      </w:r>
      <w:r w:rsidR="00B341D9" w:rsidRPr="00050BE9">
        <w:t xml:space="preserve"> is detailed in </w:t>
      </w:r>
      <w:r w:rsidR="00B341D9" w:rsidRPr="00050BE9">
        <w:rPr>
          <w:i/>
        </w:rPr>
        <w:t>Section 3</w:t>
      </w:r>
      <w:r w:rsidR="006C70FE">
        <w:rPr>
          <w:i/>
        </w:rPr>
        <w:t>: Report on o</w:t>
      </w:r>
      <w:r w:rsidR="00B341D9" w:rsidRPr="00050BE9">
        <w:rPr>
          <w:i/>
        </w:rPr>
        <w:t>perations</w:t>
      </w:r>
      <w:r w:rsidR="00B341D9" w:rsidRPr="00050BE9">
        <w:t xml:space="preserve"> under </w:t>
      </w:r>
      <w:r w:rsidR="006D263D">
        <w:t>‘Regulating service providers’</w:t>
      </w:r>
      <w:r w:rsidR="00B341D9" w:rsidRPr="00050BE9">
        <w:t>:</w:t>
      </w:r>
    </w:p>
    <w:p w14:paraId="44071E18" w14:textId="770393EC" w:rsidR="00B341D9" w:rsidRPr="002C2058" w:rsidRDefault="0026669B" w:rsidP="002C2058">
      <w:pPr>
        <w:pStyle w:val="BulletListLevel1"/>
      </w:pPr>
      <w:r w:rsidRPr="002C2058">
        <w:t>C</w:t>
      </w:r>
      <w:r w:rsidR="00B341D9" w:rsidRPr="002C2058">
        <w:t>omplaints</w:t>
      </w:r>
      <w:r w:rsidRPr="002C2058">
        <w:t xml:space="preserve"> against insurers</w:t>
      </w:r>
      <w:r w:rsidR="00B341D9" w:rsidRPr="002C2058">
        <w:t xml:space="preserve"> – </w:t>
      </w:r>
      <w:r w:rsidR="00B341D9" w:rsidRPr="00E1547D">
        <w:t xml:space="preserve">page </w:t>
      </w:r>
      <w:r w:rsidR="006D263D" w:rsidRPr="00E1547D">
        <w:t>7</w:t>
      </w:r>
      <w:r w:rsidR="00E1547D" w:rsidRPr="00E1547D">
        <w:t>7</w:t>
      </w:r>
    </w:p>
    <w:p w14:paraId="6C7106E1" w14:textId="681788B3" w:rsidR="00B341D9" w:rsidRPr="00FC4A12" w:rsidRDefault="0026669B" w:rsidP="002C2058">
      <w:pPr>
        <w:pStyle w:val="BulletListLevel1"/>
      </w:pPr>
      <w:r w:rsidRPr="002C2058">
        <w:t>Complaints against r</w:t>
      </w:r>
      <w:r w:rsidR="00B341D9" w:rsidRPr="002C2058">
        <w:t>egister</w:t>
      </w:r>
      <w:r w:rsidRPr="002C2058">
        <w:t>ed</w:t>
      </w:r>
      <w:r w:rsidR="00B341D9" w:rsidRPr="002C2058">
        <w:t xml:space="preserve"> </w:t>
      </w:r>
      <w:r w:rsidRPr="002C2058">
        <w:t>agents</w:t>
      </w:r>
      <w:r w:rsidR="00B341D9" w:rsidRPr="002C2058">
        <w:t xml:space="preserve"> – </w:t>
      </w:r>
      <w:r w:rsidR="006D263D" w:rsidRPr="00E1547D">
        <w:t>page 7</w:t>
      </w:r>
      <w:r w:rsidR="00E1547D" w:rsidRPr="00E1547D">
        <w:t>8</w:t>
      </w:r>
    </w:p>
    <w:p w14:paraId="5DEEEB51" w14:textId="70545F8C" w:rsidR="00FC4A12" w:rsidRDefault="00FC4A12" w:rsidP="00FC4A12">
      <w:pPr>
        <w:pStyle w:val="BulletListLevel1"/>
      </w:pPr>
      <w:r w:rsidRPr="002C2058">
        <w:t xml:space="preserve">Complaints against approved workplace rehabilitation providers (WRPs) – </w:t>
      </w:r>
      <w:r w:rsidRPr="00E1547D">
        <w:t>page</w:t>
      </w:r>
      <w:r w:rsidR="006D263D" w:rsidRPr="00E1547D">
        <w:t xml:space="preserve"> 7</w:t>
      </w:r>
      <w:r w:rsidR="00E1547D" w:rsidRPr="00E1547D">
        <w:t>8</w:t>
      </w:r>
      <w:r w:rsidRPr="00E1547D">
        <w:t xml:space="preserve"> </w:t>
      </w:r>
    </w:p>
    <w:p w14:paraId="266182F4" w14:textId="0EBCCF66" w:rsidR="00FC4A12" w:rsidRPr="002C2058" w:rsidRDefault="00FC4A12" w:rsidP="007E2369">
      <w:pPr>
        <w:pStyle w:val="BulletListLevel1"/>
      </w:pPr>
      <w:r w:rsidRPr="00FC4A12">
        <w:t xml:space="preserve">Complaints against approved medical specialists (AMS) – </w:t>
      </w:r>
      <w:r w:rsidRPr="00E1547D">
        <w:t xml:space="preserve">page </w:t>
      </w:r>
      <w:r w:rsidR="00E1547D" w:rsidRPr="00E1547D">
        <w:t>79</w:t>
      </w:r>
    </w:p>
    <w:p w14:paraId="6DFDA094" w14:textId="77777777" w:rsidR="000A5BCC" w:rsidRPr="00D27616" w:rsidRDefault="00E90249" w:rsidP="00D27616">
      <w:pPr>
        <w:pStyle w:val="Heading2nonumber"/>
      </w:pPr>
      <w:bookmarkStart w:id="134" w:name="_Toc399316931"/>
      <w:bookmarkStart w:id="135" w:name="_Toc426617435"/>
      <w:bookmarkStart w:id="136" w:name="_Toc430091158"/>
      <w:r w:rsidRPr="00D27616">
        <w:t>Communications policies</w:t>
      </w:r>
      <w:bookmarkEnd w:id="134"/>
      <w:bookmarkEnd w:id="135"/>
      <w:bookmarkEnd w:id="136"/>
    </w:p>
    <w:p w14:paraId="360630D2" w14:textId="6CB28689" w:rsidR="00570FD7" w:rsidRPr="00FE7E02" w:rsidRDefault="00C726B0" w:rsidP="00D27616">
      <w:pPr>
        <w:rPr>
          <w:lang w:val="en-GB" w:eastAsia="en-AU"/>
        </w:rPr>
      </w:pPr>
      <w:r>
        <w:rPr>
          <w:lang w:val="en-GB" w:eastAsia="en-AU"/>
        </w:rPr>
        <w:t>WorkCover WA</w:t>
      </w:r>
      <w:r w:rsidR="00B40C6A" w:rsidRPr="00B40C6A">
        <w:rPr>
          <w:lang w:val="en-GB" w:eastAsia="en-AU"/>
        </w:rPr>
        <w:t xml:space="preserve"> has a number of policies which govern internal communications with staff and external communications with stakeholders. These policies are supported by </w:t>
      </w:r>
      <w:r>
        <w:rPr>
          <w:lang w:val="en-GB" w:eastAsia="en-AU"/>
        </w:rPr>
        <w:t>WorkCover WA</w:t>
      </w:r>
      <w:r w:rsidR="00B40C6A" w:rsidRPr="00B40C6A">
        <w:rPr>
          <w:lang w:val="en-GB" w:eastAsia="en-AU"/>
        </w:rPr>
        <w:t>’s Freedom of Information Policy, Records Management</w:t>
      </w:r>
      <w:r w:rsidR="005047BF">
        <w:rPr>
          <w:lang w:val="en-GB" w:eastAsia="en-AU"/>
        </w:rPr>
        <w:t xml:space="preserve"> Policy and </w:t>
      </w:r>
      <w:r w:rsidR="00570FD7">
        <w:rPr>
          <w:lang w:val="en-GB" w:eastAsia="en-AU"/>
        </w:rPr>
        <w:t>Code of Conduct</w:t>
      </w:r>
      <w:r w:rsidR="00B40C6A" w:rsidRPr="00B40C6A">
        <w:rPr>
          <w:lang w:val="en-GB" w:eastAsia="en-AU"/>
        </w:rPr>
        <w:t xml:space="preserve"> to ensure the Agency is complying with relevant legislation </w:t>
      </w:r>
      <w:r w:rsidR="00B40C6A" w:rsidRPr="00FE7E02">
        <w:rPr>
          <w:lang w:val="en-GB" w:eastAsia="en-AU"/>
        </w:rPr>
        <w:t>whilst maintaining transparent and responsive intern</w:t>
      </w:r>
      <w:r w:rsidR="00570FD7" w:rsidRPr="00FE7E02">
        <w:rPr>
          <w:lang w:val="en-GB" w:eastAsia="en-AU"/>
        </w:rPr>
        <w:t>al and external communications.</w:t>
      </w:r>
    </w:p>
    <w:p w14:paraId="268BC73A" w14:textId="7115284B" w:rsidR="00B40C6A" w:rsidRDefault="00E80A7E" w:rsidP="00D27616">
      <w:pPr>
        <w:rPr>
          <w:lang w:val="en-GB" w:eastAsia="en-AU"/>
        </w:rPr>
      </w:pPr>
      <w:r w:rsidRPr="00FE7E02">
        <w:rPr>
          <w:lang w:val="en-GB" w:eastAsia="en-AU"/>
        </w:rPr>
        <w:t>An approved schedule ensures each policy is</w:t>
      </w:r>
      <w:r w:rsidR="00F05954" w:rsidRPr="00FE7E02">
        <w:rPr>
          <w:lang w:val="en-GB" w:eastAsia="en-AU"/>
        </w:rPr>
        <w:t xml:space="preserve"> </w:t>
      </w:r>
      <w:r w:rsidR="00B40C6A" w:rsidRPr="00FE7E02">
        <w:rPr>
          <w:lang w:val="en-GB" w:eastAsia="en-AU"/>
        </w:rPr>
        <w:t xml:space="preserve">reviewed by a </w:t>
      </w:r>
      <w:r w:rsidR="00C726B0" w:rsidRPr="00FE7E02">
        <w:rPr>
          <w:lang w:val="en-GB" w:eastAsia="en-AU"/>
        </w:rPr>
        <w:t>WorkCover WA</w:t>
      </w:r>
      <w:r w:rsidR="00B40C6A" w:rsidRPr="00FE7E02">
        <w:rPr>
          <w:lang w:val="en-GB" w:eastAsia="en-AU"/>
        </w:rPr>
        <w:t xml:space="preserve"> Board and</w:t>
      </w:r>
      <w:r w:rsidR="00F05954" w:rsidRPr="00FE7E02">
        <w:rPr>
          <w:lang w:val="en-GB" w:eastAsia="en-AU"/>
        </w:rPr>
        <w:t xml:space="preserve">/or Corporate Executive </w:t>
      </w:r>
      <w:r w:rsidRPr="00FE7E02">
        <w:rPr>
          <w:lang w:val="en-GB" w:eastAsia="en-AU"/>
        </w:rPr>
        <w:t>member for</w:t>
      </w:r>
      <w:r w:rsidR="00B40C6A" w:rsidRPr="00FE7E02">
        <w:rPr>
          <w:lang w:val="en-GB" w:eastAsia="en-AU"/>
        </w:rPr>
        <w:t xml:space="preserve"> adequacy, currency and effectiveness.</w:t>
      </w:r>
      <w:r w:rsidR="00B40C6A" w:rsidRPr="00B40C6A">
        <w:rPr>
          <w:lang w:val="en-GB" w:eastAsia="en-AU"/>
        </w:rPr>
        <w:t xml:space="preserve"> </w:t>
      </w:r>
    </w:p>
    <w:p w14:paraId="75D7CF80" w14:textId="77777777" w:rsidR="00FE7E02" w:rsidRPr="00D27616" w:rsidRDefault="00FE7E02" w:rsidP="00D27616">
      <w:pPr>
        <w:pStyle w:val="Heading3nonumber"/>
      </w:pPr>
      <w:bookmarkStart w:id="137" w:name="_Toc426617436"/>
      <w:bookmarkStart w:id="138" w:name="_Toc430091159"/>
      <w:r w:rsidRPr="00D27616">
        <w:t>Customer Service Charter</w:t>
      </w:r>
      <w:bookmarkEnd w:id="137"/>
      <w:bookmarkEnd w:id="138"/>
    </w:p>
    <w:p w14:paraId="60D566DB" w14:textId="07713BCB" w:rsidR="00FE7E02" w:rsidRPr="00FE7E02" w:rsidRDefault="00FE7E02" w:rsidP="00FE7E02">
      <w:pPr>
        <w:rPr>
          <w:b/>
        </w:rPr>
      </w:pPr>
      <w:r w:rsidRPr="0093281B">
        <w:t xml:space="preserve">The </w:t>
      </w:r>
      <w:r>
        <w:t>WorkCover WA</w:t>
      </w:r>
      <w:r w:rsidRPr="0093281B">
        <w:t xml:space="preserve"> Customer Service Charter identifies </w:t>
      </w:r>
      <w:r>
        <w:t xml:space="preserve">the Agency’s </w:t>
      </w:r>
      <w:r w:rsidRPr="0093281B">
        <w:t xml:space="preserve">commitment to our customers and outlines the service they can expect to receive in dealing with </w:t>
      </w:r>
      <w:r>
        <w:t>us</w:t>
      </w:r>
      <w:r w:rsidRPr="0093281B">
        <w:t>. The Customer Service Charter is supported by the Agency’s Customer First Feedback Policy and Procedures and managed through the online Customer First Feedback System</w:t>
      </w:r>
      <w:r>
        <w:t xml:space="preserve"> as detailed </w:t>
      </w:r>
      <w:r w:rsidR="00516BB9">
        <w:t xml:space="preserve">in </w:t>
      </w:r>
      <w:r w:rsidR="00E16D15">
        <w:rPr>
          <w:i/>
        </w:rPr>
        <w:t>Section 1: Agency in f</w:t>
      </w:r>
      <w:r w:rsidR="00516BB9" w:rsidRPr="00516BB9">
        <w:rPr>
          <w:i/>
        </w:rPr>
        <w:t>ocus</w:t>
      </w:r>
      <w:r w:rsidR="00516BB9">
        <w:t xml:space="preserve"> </w:t>
      </w:r>
      <w:r>
        <w:t xml:space="preserve">under </w:t>
      </w:r>
      <w:r w:rsidR="00E318C1">
        <w:t>‘</w:t>
      </w:r>
      <w:r w:rsidR="00E16D15">
        <w:t>Complaints h</w:t>
      </w:r>
      <w:r>
        <w:t>andling</w:t>
      </w:r>
      <w:r w:rsidR="00E16D15">
        <w:t xml:space="preserve"> – policy and p</w:t>
      </w:r>
      <w:r w:rsidR="006D263D">
        <w:t>rocedures</w:t>
      </w:r>
      <w:r w:rsidR="00E318C1">
        <w:t>’ on</w:t>
      </w:r>
      <w:r>
        <w:t xml:space="preserve"> </w:t>
      </w:r>
      <w:r w:rsidR="006D263D" w:rsidRPr="00E1547D">
        <w:t>page 4</w:t>
      </w:r>
      <w:r w:rsidR="00E1547D" w:rsidRPr="00E1547D">
        <w:t>6</w:t>
      </w:r>
      <w:r w:rsidRPr="00E1547D">
        <w:t>.</w:t>
      </w:r>
    </w:p>
    <w:p w14:paraId="782598D2" w14:textId="77777777" w:rsidR="00A866A5" w:rsidRPr="00A866A5" w:rsidRDefault="00A866A5" w:rsidP="00D27616">
      <w:pPr>
        <w:pStyle w:val="Heading3nonumber"/>
        <w:rPr>
          <w:rFonts w:eastAsiaTheme="majorEastAsia"/>
        </w:rPr>
      </w:pPr>
      <w:bookmarkStart w:id="139" w:name="_Toc426617437"/>
      <w:bookmarkStart w:id="140" w:name="_Toc430091160"/>
      <w:r w:rsidRPr="00A866A5">
        <w:rPr>
          <w:rFonts w:eastAsiaTheme="majorEastAsia"/>
        </w:rPr>
        <w:t>Communications Protocol</w:t>
      </w:r>
      <w:bookmarkEnd w:id="139"/>
      <w:bookmarkEnd w:id="140"/>
    </w:p>
    <w:p w14:paraId="63760A46" w14:textId="4F7E071C" w:rsidR="00A866A5" w:rsidRPr="00A866A5" w:rsidRDefault="00A866A5" w:rsidP="0093281B">
      <w:pPr>
        <w:rPr>
          <w:rFonts w:eastAsiaTheme="minorHAnsi"/>
        </w:rPr>
      </w:pPr>
      <w:r w:rsidRPr="00A866A5">
        <w:t xml:space="preserve">In accordance with section 74 of the </w:t>
      </w:r>
      <w:r w:rsidRPr="00A866A5">
        <w:rPr>
          <w:i/>
        </w:rPr>
        <w:t>Public Sector Management Act 1994</w:t>
      </w:r>
      <w:r w:rsidRPr="00A866A5">
        <w:t xml:space="preserve">, </w:t>
      </w:r>
      <w:r w:rsidR="00C726B0">
        <w:t>WorkCover WA</w:t>
      </w:r>
      <w:r w:rsidRPr="00A866A5">
        <w:t xml:space="preserve"> has a Communications Protocol which outlines the manner and circ</w:t>
      </w:r>
      <w:r w:rsidR="00B03431">
        <w:t>umstances in which the CEO and A</w:t>
      </w:r>
      <w:r w:rsidRPr="00A866A5">
        <w:t>gency employees interact with the Minister</w:t>
      </w:r>
      <w:r w:rsidR="00684A58">
        <w:t>’</w:t>
      </w:r>
      <w:r w:rsidR="00B03431">
        <w:t>s O</w:t>
      </w:r>
      <w:r w:rsidRPr="00A866A5">
        <w:t>ff</w:t>
      </w:r>
      <w:r w:rsidR="005047BF">
        <w:t>ice.</w:t>
      </w:r>
    </w:p>
    <w:p w14:paraId="7BFD4B89" w14:textId="77777777" w:rsidR="00A866A5" w:rsidRDefault="00A866A5" w:rsidP="00D27616">
      <w:pPr>
        <w:pStyle w:val="Heading3nonumber"/>
        <w:rPr>
          <w:lang w:val="en-GB" w:eastAsia="en-AU"/>
        </w:rPr>
      </w:pPr>
      <w:bookmarkStart w:id="141" w:name="_Toc426617438"/>
      <w:bookmarkStart w:id="142" w:name="_Toc430091161"/>
      <w:r w:rsidRPr="00A866A5">
        <w:rPr>
          <w:lang w:val="en-GB" w:eastAsia="en-AU"/>
        </w:rPr>
        <w:lastRenderedPageBreak/>
        <w:t>Ministerial Correspondence</w:t>
      </w:r>
      <w:bookmarkEnd w:id="141"/>
      <w:bookmarkEnd w:id="142"/>
    </w:p>
    <w:p w14:paraId="54232C11" w14:textId="55A9258F" w:rsidR="00A866A5" w:rsidRPr="005B7D3D" w:rsidRDefault="00A866A5" w:rsidP="00A866A5">
      <w:r w:rsidRPr="005B7D3D">
        <w:t xml:space="preserve">To ensure precise and timely provision of information to the Minister and accurate </w:t>
      </w:r>
      <w:r w:rsidR="00AE7495">
        <w:t>record</w:t>
      </w:r>
      <w:r w:rsidR="005A3445">
        <w:t>keeping</w:t>
      </w:r>
      <w:r w:rsidR="00C91A62">
        <w:t>,</w:t>
      </w:r>
      <w:r w:rsidRPr="005B7D3D">
        <w:t xml:space="preserve"> </w:t>
      </w:r>
      <w:r w:rsidR="00C726B0">
        <w:t>WorkCover WA</w:t>
      </w:r>
      <w:r w:rsidRPr="005B7D3D">
        <w:t xml:space="preserve"> </w:t>
      </w:r>
      <w:r w:rsidR="00011446">
        <w:t>actively</w:t>
      </w:r>
      <w:r w:rsidRPr="005B7D3D">
        <w:t xml:space="preserve"> manage</w:t>
      </w:r>
      <w:r w:rsidR="00011446">
        <w:t>s</w:t>
      </w:r>
      <w:r w:rsidRPr="005B7D3D">
        <w:t xml:space="preserve"> all ministerial communications. Detailed procedur</w:t>
      </w:r>
      <w:r w:rsidR="00684A58">
        <w:t>es</w:t>
      </w:r>
      <w:r w:rsidRPr="005B7D3D">
        <w:t xml:space="preserve"> </w:t>
      </w:r>
      <w:r w:rsidR="00684A58">
        <w:t>exist to assist</w:t>
      </w:r>
      <w:r w:rsidRPr="005B7D3D">
        <w:t xml:space="preserve"> all officers involved </w:t>
      </w:r>
      <w:r w:rsidR="00C52D13">
        <w:t>in</w:t>
      </w:r>
      <w:r w:rsidRPr="005B7D3D">
        <w:t xml:space="preserve"> </w:t>
      </w:r>
      <w:r w:rsidR="005D0F98" w:rsidRPr="005D0F98">
        <w:t xml:space="preserve">ministerial </w:t>
      </w:r>
      <w:r w:rsidR="00C52D13">
        <w:t>communication</w:t>
      </w:r>
      <w:r w:rsidRPr="005B7D3D">
        <w:t xml:space="preserve">. </w:t>
      </w:r>
    </w:p>
    <w:p w14:paraId="645E6D54" w14:textId="5ED6A3B5" w:rsidR="00A866A5" w:rsidRPr="005B7D3D" w:rsidRDefault="00C52D13" w:rsidP="00A866A5">
      <w:r>
        <w:t>Statistical information regarding Ministerial communication is</w:t>
      </w:r>
      <w:r w:rsidR="00011446">
        <w:t xml:space="preserve"> regularly</w:t>
      </w:r>
      <w:r w:rsidR="00A866A5" w:rsidRPr="005B7D3D">
        <w:t xml:space="preserve"> reviewed by</w:t>
      </w:r>
      <w:r>
        <w:t xml:space="preserve"> the</w:t>
      </w:r>
      <w:r w:rsidR="00A866A5" w:rsidRPr="005B7D3D">
        <w:t xml:space="preserve"> Corp</w:t>
      </w:r>
      <w:r w:rsidR="00A83FAC">
        <w:t>orate Executive and</w:t>
      </w:r>
      <w:r w:rsidR="00011446">
        <w:t xml:space="preserve"> the Board.</w:t>
      </w:r>
    </w:p>
    <w:p w14:paraId="5B66B4DD" w14:textId="77777777" w:rsidR="00E90249" w:rsidRPr="00D27616" w:rsidRDefault="00E90249" w:rsidP="00D27616">
      <w:pPr>
        <w:pStyle w:val="Heading3nonumber"/>
      </w:pPr>
      <w:bookmarkStart w:id="143" w:name="_Toc426617439"/>
      <w:bookmarkStart w:id="144" w:name="_Toc430091162"/>
      <w:r w:rsidRPr="00D27616">
        <w:t>Governance Policy: Official Communication</w:t>
      </w:r>
      <w:bookmarkEnd w:id="143"/>
      <w:bookmarkEnd w:id="144"/>
    </w:p>
    <w:p w14:paraId="718D16F0" w14:textId="77777777" w:rsidR="005D0F98" w:rsidRDefault="005D0F98" w:rsidP="00B40C6A">
      <w:pPr>
        <w:rPr>
          <w:lang w:val="en-GB" w:eastAsia="en-AU"/>
        </w:rPr>
      </w:pPr>
      <w:r w:rsidRPr="005D0F98">
        <w:rPr>
          <w:lang w:val="en-GB" w:eastAsia="en-AU"/>
        </w:rPr>
        <w:t>This policy governs the flow of information between members of the Board, Board Committees and stakeholders, as well as the dissemination of information from the CEO to Agency employees.</w:t>
      </w:r>
    </w:p>
    <w:p w14:paraId="6DF94EE2" w14:textId="77777777" w:rsidR="00E90249" w:rsidRDefault="00E90249" w:rsidP="00E90249">
      <w:pPr>
        <w:rPr>
          <w:lang w:val="en-GB" w:eastAsia="en-AU"/>
        </w:rPr>
      </w:pPr>
      <w:r>
        <w:rPr>
          <w:lang w:val="en-GB" w:eastAsia="en-AU"/>
        </w:rPr>
        <w:t>This policy establishes:</w:t>
      </w:r>
    </w:p>
    <w:p w14:paraId="105435BB" w14:textId="20931834" w:rsidR="00AB1E49" w:rsidRDefault="00AB1E49" w:rsidP="00AB1E49">
      <w:pPr>
        <w:pStyle w:val="BulletListLevel1"/>
        <w:rPr>
          <w:lang w:val="en-GB" w:eastAsia="en-AU"/>
        </w:rPr>
      </w:pPr>
      <w:r>
        <w:rPr>
          <w:lang w:val="en-GB" w:eastAsia="en-AU"/>
        </w:rPr>
        <w:t xml:space="preserve">who should communicate with whom, and when (including authorisation to make public comment on behalf of </w:t>
      </w:r>
      <w:r w:rsidR="00C726B0">
        <w:rPr>
          <w:lang w:val="en-GB" w:eastAsia="en-AU"/>
        </w:rPr>
        <w:t>WorkCover WA</w:t>
      </w:r>
      <w:r>
        <w:rPr>
          <w:lang w:val="en-GB" w:eastAsia="en-AU"/>
        </w:rPr>
        <w:t>)</w:t>
      </w:r>
    </w:p>
    <w:p w14:paraId="099E03B4" w14:textId="77777777" w:rsidR="00E90249" w:rsidRDefault="00E90249" w:rsidP="00E90249">
      <w:pPr>
        <w:pStyle w:val="BulletListLevel1"/>
        <w:rPr>
          <w:lang w:val="en-GB" w:eastAsia="en-AU"/>
        </w:rPr>
      </w:pPr>
      <w:r>
        <w:rPr>
          <w:lang w:val="en-GB" w:eastAsia="en-AU"/>
        </w:rPr>
        <w:t>the extent of what should be communicated</w:t>
      </w:r>
    </w:p>
    <w:p w14:paraId="0E00CFC9" w14:textId="77777777" w:rsidR="00E90249" w:rsidRPr="002D0521" w:rsidRDefault="00E90249" w:rsidP="00E90249">
      <w:pPr>
        <w:pStyle w:val="BulletListLevel1"/>
      </w:pPr>
      <w:r>
        <w:rPr>
          <w:lang w:val="en-GB" w:eastAsia="en-AU"/>
        </w:rPr>
        <w:t>confidentiality considerations.</w:t>
      </w:r>
    </w:p>
    <w:p w14:paraId="582E2764" w14:textId="77777777" w:rsidR="002D0521" w:rsidRPr="00D27616" w:rsidRDefault="002D0521" w:rsidP="00D27616">
      <w:pPr>
        <w:pStyle w:val="Heading3nonumber"/>
      </w:pPr>
      <w:bookmarkStart w:id="145" w:name="_Toc426617440"/>
      <w:bookmarkStart w:id="146" w:name="_Toc430091163"/>
      <w:r w:rsidRPr="00D27616">
        <w:t>External Data Release Policy</w:t>
      </w:r>
      <w:bookmarkEnd w:id="145"/>
      <w:bookmarkEnd w:id="146"/>
    </w:p>
    <w:p w14:paraId="7DA9FCE5" w14:textId="7130FB00" w:rsidR="00AB1E49" w:rsidRPr="00AB1E49" w:rsidRDefault="00AB1E49" w:rsidP="00AB1E49">
      <w:r w:rsidRPr="0032403E">
        <w:t xml:space="preserve">As </w:t>
      </w:r>
      <w:r w:rsidR="00C726B0">
        <w:t>WorkCover WA</w:t>
      </w:r>
      <w:r w:rsidRPr="0032403E">
        <w:t xml:space="preserve"> receives requests for aggregate and unit level data from external parties on a regular basis, </w:t>
      </w:r>
      <w:r w:rsidR="007E4DA0">
        <w:t>the External Data Release Policy</w:t>
      </w:r>
      <w:r w:rsidRPr="0032403E">
        <w:t xml:space="preserve"> governs the supply of data to government agencies, researchers, stakeholders and the general public. The policy protects the Agency’s intellectual property and data confidentiality, and ensures the terms and conditions for the use of the supplied data are clearly outlined in written agreements.</w:t>
      </w:r>
    </w:p>
    <w:p w14:paraId="7D57C7A9" w14:textId="77777777" w:rsidR="00AB1E49" w:rsidRPr="00D27616" w:rsidRDefault="00AB1E49" w:rsidP="00D27616">
      <w:pPr>
        <w:pStyle w:val="Heading3nonumber"/>
      </w:pPr>
      <w:bookmarkStart w:id="147" w:name="_Toc426617441"/>
      <w:bookmarkStart w:id="148" w:name="_Toc430091164"/>
      <w:r w:rsidRPr="00D27616">
        <w:t>Restriction of Communications when dealing with Unreasonable Customer Behaviour Policy</w:t>
      </w:r>
      <w:bookmarkEnd w:id="147"/>
      <w:bookmarkEnd w:id="148"/>
      <w:r w:rsidRPr="00D27616">
        <w:t xml:space="preserve"> </w:t>
      </w:r>
    </w:p>
    <w:p w14:paraId="2B93A2F2" w14:textId="0087EE61" w:rsidR="008C538D" w:rsidRPr="0032403E" w:rsidRDefault="008C538D" w:rsidP="007841BF">
      <w:pPr>
        <w:rPr>
          <w:lang w:val="en-US"/>
        </w:rPr>
      </w:pPr>
      <w:r w:rsidRPr="0032403E">
        <w:rPr>
          <w:lang w:val="en-US"/>
        </w:rPr>
        <w:t xml:space="preserve">Open communication with stakeholders and the general public is part of </w:t>
      </w:r>
      <w:r w:rsidR="00C726B0">
        <w:rPr>
          <w:lang w:val="en-US"/>
        </w:rPr>
        <w:t>WorkCover WA</w:t>
      </w:r>
      <w:r w:rsidRPr="0032403E">
        <w:rPr>
          <w:lang w:val="en-US"/>
        </w:rPr>
        <w:t xml:space="preserve">’s Values and Code of Conduct. However, customers may be </w:t>
      </w:r>
      <w:r w:rsidR="00F05954">
        <w:rPr>
          <w:lang w:val="en-US"/>
        </w:rPr>
        <w:t xml:space="preserve">restricted or </w:t>
      </w:r>
      <w:r w:rsidRPr="0032403E">
        <w:rPr>
          <w:lang w:val="en-US"/>
        </w:rPr>
        <w:t xml:space="preserve">excluded from contact with </w:t>
      </w:r>
      <w:r w:rsidR="00C726B0">
        <w:rPr>
          <w:lang w:val="en-US"/>
        </w:rPr>
        <w:t>WorkCover WA</w:t>
      </w:r>
      <w:r w:rsidRPr="0032403E">
        <w:rPr>
          <w:lang w:val="en-US"/>
        </w:rPr>
        <w:t xml:space="preserve"> staff where their behaviour is deemed unreasonable. This policy provides </w:t>
      </w:r>
      <w:r w:rsidR="00C726B0">
        <w:rPr>
          <w:lang w:val="en-US"/>
        </w:rPr>
        <w:t>WorkCover WA</w:t>
      </w:r>
      <w:r w:rsidRPr="0032403E">
        <w:rPr>
          <w:lang w:val="en-US"/>
        </w:rPr>
        <w:t xml:space="preserve"> staff with guidance on managing customers who have displayed unreasonable behaviour in the course </w:t>
      </w:r>
      <w:r w:rsidR="007841BF">
        <w:rPr>
          <w:lang w:val="en-US"/>
        </w:rPr>
        <w:t xml:space="preserve">of </w:t>
      </w:r>
      <w:r w:rsidR="007841BF" w:rsidRPr="007841BF">
        <w:rPr>
          <w:lang w:val="en-US"/>
        </w:rPr>
        <w:t xml:space="preserve">communications, whether </w:t>
      </w:r>
      <w:r w:rsidR="007841BF">
        <w:rPr>
          <w:lang w:val="en-US"/>
        </w:rPr>
        <w:t>it be</w:t>
      </w:r>
      <w:r w:rsidR="007841BF" w:rsidRPr="007841BF">
        <w:rPr>
          <w:lang w:val="en-US"/>
        </w:rPr>
        <w:t xml:space="preserve"> in person, on the telephone or in writing (email, social media or letter).</w:t>
      </w:r>
    </w:p>
    <w:p w14:paraId="5AB0A10D" w14:textId="77777777" w:rsidR="00C35E51" w:rsidRPr="00D27616" w:rsidRDefault="00C35E51" w:rsidP="00D27616">
      <w:pPr>
        <w:pStyle w:val="Heading3nonumber"/>
      </w:pPr>
      <w:bookmarkStart w:id="149" w:name="_Toc426617442"/>
      <w:bookmarkStart w:id="150" w:name="_Toc430091165"/>
      <w:r w:rsidRPr="00D27616">
        <w:lastRenderedPageBreak/>
        <w:t>Disclosure of Personal Information Policy</w:t>
      </w:r>
      <w:bookmarkEnd w:id="149"/>
      <w:bookmarkEnd w:id="150"/>
    </w:p>
    <w:p w14:paraId="451F54A7" w14:textId="3CD0BF84" w:rsidR="00576F2D" w:rsidRDefault="00576F2D" w:rsidP="00576F2D">
      <w:pPr>
        <w:rPr>
          <w:lang w:val="en-US"/>
        </w:rPr>
      </w:pPr>
      <w:r w:rsidRPr="0032403E">
        <w:rPr>
          <w:lang w:val="en-US"/>
        </w:rPr>
        <w:t xml:space="preserve">This policy ensures all personal information concerning </w:t>
      </w:r>
      <w:r w:rsidR="00C726B0">
        <w:rPr>
          <w:lang w:val="en-US"/>
        </w:rPr>
        <w:t>WorkCover WA</w:t>
      </w:r>
      <w:r w:rsidRPr="0032403E">
        <w:rPr>
          <w:lang w:val="en-US"/>
        </w:rPr>
        <w:t xml:space="preserve"> staff remains strictly confidential unless the staff member in question has given written consent for its disclosure.</w:t>
      </w:r>
    </w:p>
    <w:p w14:paraId="5E56E14A" w14:textId="16893B7A" w:rsidR="009209DC" w:rsidRDefault="009209DC" w:rsidP="002C2058">
      <w:pPr>
        <w:pStyle w:val="Heading3nonumber"/>
      </w:pPr>
      <w:bookmarkStart w:id="151" w:name="_Toc426617443"/>
      <w:bookmarkStart w:id="152" w:name="_Toc430091166"/>
      <w:r>
        <w:t>Public Interest Disclosure</w:t>
      </w:r>
      <w:bookmarkEnd w:id="151"/>
      <w:bookmarkEnd w:id="152"/>
    </w:p>
    <w:p w14:paraId="1D87D5D1" w14:textId="293F8F2A" w:rsidR="00867950" w:rsidRPr="00867950" w:rsidRDefault="00C726B0" w:rsidP="002C2058">
      <w:r>
        <w:t>WorkCover WA</w:t>
      </w:r>
      <w:r w:rsidR="00867950" w:rsidRPr="00867950">
        <w:t xml:space="preserve"> is committed to the aims and objectives of the </w:t>
      </w:r>
      <w:r w:rsidR="00867950" w:rsidRPr="00A83FAC">
        <w:rPr>
          <w:i/>
        </w:rPr>
        <w:t>Public Interest Disclosure Act 2003</w:t>
      </w:r>
      <w:r w:rsidR="00867950" w:rsidRPr="00867950">
        <w:t xml:space="preserve"> which facilitates the disclosure of public interest information by providing protection for those who make disclosures and those who are the subject of disclosures.</w:t>
      </w:r>
    </w:p>
    <w:p w14:paraId="21E26C8D" w14:textId="4D2926A6" w:rsidR="00A83FAC" w:rsidRDefault="00A83FAC" w:rsidP="002C2058">
      <w:r w:rsidRPr="00A83FAC">
        <w:t xml:space="preserve">Information on what can be considered as a matter of public interest for disclosure, information to be included, how to make the disclosure and who to make the disclosure to is provided on the Agency’s internal intranet and external Website. </w:t>
      </w:r>
    </w:p>
    <w:p w14:paraId="460DB298" w14:textId="56FA16B9" w:rsidR="009209DC" w:rsidRDefault="008D4C78" w:rsidP="00867950">
      <w:pPr>
        <w:pStyle w:val="Heading3nonumber"/>
      </w:pPr>
      <w:bookmarkStart w:id="153" w:name="_Toc426617444"/>
      <w:bookmarkStart w:id="154" w:name="_Toc430091167"/>
      <w:r>
        <w:t>Freedom of</w:t>
      </w:r>
      <w:r w:rsidR="009209DC">
        <w:t xml:space="preserve"> Information</w:t>
      </w:r>
      <w:bookmarkEnd w:id="153"/>
      <w:bookmarkEnd w:id="154"/>
    </w:p>
    <w:p w14:paraId="71C20E7F" w14:textId="77777777" w:rsidR="007E4DA0" w:rsidRPr="0010326C" w:rsidRDefault="007E4DA0" w:rsidP="002C2058">
      <w:r w:rsidRPr="0010326C">
        <w:t xml:space="preserve">The </w:t>
      </w:r>
      <w:r w:rsidRPr="0010326C">
        <w:rPr>
          <w:i/>
        </w:rPr>
        <w:t>Freedom of Information Act 1992</w:t>
      </w:r>
      <w:r w:rsidRPr="0010326C">
        <w:t xml:space="preserve"> (the FOI Act) gives a general right of access to documents held by State and Local Government Agencies.</w:t>
      </w:r>
    </w:p>
    <w:p w14:paraId="3CB30743" w14:textId="09B22568" w:rsidR="007E4DA0" w:rsidRPr="003824CF" w:rsidRDefault="007E4DA0" w:rsidP="002C2058">
      <w:pPr>
        <w:rPr>
          <w:b/>
          <w:bCs/>
        </w:rPr>
      </w:pPr>
      <w:r>
        <w:t>As required by</w:t>
      </w:r>
      <w:r w:rsidRPr="0010326C">
        <w:t xml:space="preserve"> section 94 of the FOI Act, </w:t>
      </w:r>
      <w:r>
        <w:t>WorkCover WA</w:t>
      </w:r>
      <w:r w:rsidRPr="0010326C">
        <w:t xml:space="preserve"> </w:t>
      </w:r>
      <w:r>
        <w:t xml:space="preserve">has published </w:t>
      </w:r>
      <w:r w:rsidRPr="0010326C">
        <w:t xml:space="preserve">a </w:t>
      </w:r>
      <w:r>
        <w:t xml:space="preserve">Freedom of </w:t>
      </w:r>
      <w:r w:rsidRPr="0010326C">
        <w:t xml:space="preserve">Information Statement. </w:t>
      </w:r>
      <w:r w:rsidR="005A3445">
        <w:t>The Statement outlines the A</w:t>
      </w:r>
      <w:r>
        <w:t>gency’s processes and timelines for responding to FOI requests</w:t>
      </w:r>
      <w:r w:rsidRPr="0010326C">
        <w:t>.</w:t>
      </w:r>
    </w:p>
    <w:p w14:paraId="5B28CB96" w14:textId="77777777" w:rsidR="002D0521" w:rsidRPr="002C2058" w:rsidRDefault="002D0521" w:rsidP="002C2058">
      <w:pPr>
        <w:pStyle w:val="Heading2nonumber"/>
      </w:pPr>
      <w:bookmarkStart w:id="155" w:name="_Toc399316932"/>
      <w:bookmarkStart w:id="156" w:name="_Toc426617445"/>
      <w:bookmarkStart w:id="157" w:name="_Toc430091168"/>
      <w:r w:rsidRPr="002C2058">
        <w:t xml:space="preserve">Risk Management </w:t>
      </w:r>
      <w:r w:rsidR="001248E0" w:rsidRPr="002C2058">
        <w:t>p</w:t>
      </w:r>
      <w:r w:rsidRPr="002C2058">
        <w:t>olicies</w:t>
      </w:r>
      <w:bookmarkEnd w:id="155"/>
      <w:bookmarkEnd w:id="156"/>
      <w:bookmarkEnd w:id="157"/>
      <w:r w:rsidRPr="002C2058">
        <w:t xml:space="preserve"> </w:t>
      </w:r>
    </w:p>
    <w:p w14:paraId="47170D56" w14:textId="77777777" w:rsidR="00B560E5" w:rsidRPr="002C2058" w:rsidRDefault="00B560E5" w:rsidP="002C2058">
      <w:pPr>
        <w:pStyle w:val="Heading3nonumber"/>
      </w:pPr>
      <w:bookmarkStart w:id="158" w:name="_Toc426617446"/>
      <w:bookmarkStart w:id="159" w:name="_Toc430091169"/>
      <w:r w:rsidRPr="002C2058">
        <w:t xml:space="preserve">Risk </w:t>
      </w:r>
      <w:r w:rsidR="001054FE" w:rsidRPr="002C2058">
        <w:t>M</w:t>
      </w:r>
      <w:r w:rsidRPr="002C2058">
        <w:t xml:space="preserve">anagement </w:t>
      </w:r>
      <w:r w:rsidR="00E05137" w:rsidRPr="002C2058">
        <w:t>F</w:t>
      </w:r>
      <w:r w:rsidRPr="002C2058">
        <w:t>ramework</w:t>
      </w:r>
      <w:bookmarkEnd w:id="158"/>
      <w:bookmarkEnd w:id="159"/>
    </w:p>
    <w:p w14:paraId="337583D4" w14:textId="4403C83E" w:rsidR="000867C7" w:rsidRDefault="000867C7" w:rsidP="002C2058">
      <w:pPr>
        <w:rPr>
          <w:lang w:eastAsia="en-AU"/>
        </w:rPr>
      </w:pPr>
      <w:r w:rsidRPr="00AE7344">
        <w:rPr>
          <w:lang w:eastAsia="en-AU"/>
        </w:rPr>
        <w:t xml:space="preserve">Risk </w:t>
      </w:r>
      <w:r>
        <w:rPr>
          <w:lang w:eastAsia="en-AU"/>
        </w:rPr>
        <w:t>m</w:t>
      </w:r>
      <w:r w:rsidRPr="00AE7344">
        <w:rPr>
          <w:lang w:eastAsia="en-AU"/>
        </w:rPr>
        <w:t>anagement is a key business process for effective</w:t>
      </w:r>
      <w:r w:rsidR="002C2058">
        <w:rPr>
          <w:lang w:eastAsia="en-AU"/>
        </w:rPr>
        <w:t xml:space="preserve"> planning and decision making. </w:t>
      </w:r>
      <w:r>
        <w:rPr>
          <w:lang w:eastAsia="en-AU"/>
        </w:rPr>
        <w:t>WorkCover WA</w:t>
      </w:r>
      <w:r w:rsidRPr="00AE7344">
        <w:rPr>
          <w:lang w:eastAsia="en-AU"/>
        </w:rPr>
        <w:t xml:space="preserve"> </w:t>
      </w:r>
      <w:r>
        <w:rPr>
          <w:lang w:eastAsia="en-AU"/>
        </w:rPr>
        <w:t>has</w:t>
      </w:r>
      <w:r w:rsidRPr="00AE7344">
        <w:rPr>
          <w:lang w:eastAsia="en-AU"/>
        </w:rPr>
        <w:t xml:space="preserve"> develop</w:t>
      </w:r>
      <w:r>
        <w:rPr>
          <w:lang w:eastAsia="en-AU"/>
        </w:rPr>
        <w:t>ed</w:t>
      </w:r>
      <w:r w:rsidRPr="00AE7344">
        <w:rPr>
          <w:lang w:eastAsia="en-AU"/>
        </w:rPr>
        <w:t xml:space="preserve"> organisation wide capabilities in risk management to ensure consistent, efficient and effective assessment of risk in the achievement of strategic objectives.</w:t>
      </w:r>
    </w:p>
    <w:p w14:paraId="7D877E9C" w14:textId="6025DB7F" w:rsidR="000867C7" w:rsidRPr="002C2058" w:rsidRDefault="000867C7" w:rsidP="002C2058">
      <w:r w:rsidRPr="00AE7344">
        <w:rPr>
          <w:lang w:eastAsia="en-AU"/>
        </w:rPr>
        <w:t>Our</w:t>
      </w:r>
      <w:r w:rsidRPr="00AE7344">
        <w:t xml:space="preserve"> approach to risk is based on the principle that every staff member has a role to play in risk management and mitigation. Policies informing staff of all risk and occupational safety and health responsibilities are embedded in business activities and consolidated through training initiatives. These procedures ensure the Agency manages risks in accordance with the Australian</w:t>
      </w:r>
      <w:r>
        <w:t xml:space="preserve"> and</w:t>
      </w:r>
      <w:r w:rsidRPr="00AE7344">
        <w:t xml:space="preserve"> New Zealand standard AS/NZS ISO 31000:2009.</w:t>
      </w:r>
    </w:p>
    <w:p w14:paraId="52112321" w14:textId="77777777" w:rsidR="000867C7" w:rsidRPr="009D2EB3" w:rsidRDefault="000867C7" w:rsidP="000867C7">
      <w:pPr>
        <w:keepLines w:val="0"/>
        <w:suppressAutoHyphens/>
        <w:autoSpaceDE w:val="0"/>
        <w:autoSpaceDN w:val="0"/>
        <w:adjustRightInd w:val="0"/>
        <w:spacing w:after="0" w:line="288" w:lineRule="auto"/>
        <w:ind w:right="113"/>
        <w:textAlignment w:val="center"/>
        <w:rPr>
          <w:rFonts w:cs="Arial"/>
        </w:rPr>
      </w:pPr>
      <w:r>
        <w:rPr>
          <w:rFonts w:cs="Arial"/>
        </w:rPr>
        <w:lastRenderedPageBreak/>
        <w:t>WorkCover WA</w:t>
      </w:r>
      <w:r w:rsidRPr="00AE7344">
        <w:rPr>
          <w:rFonts w:cs="Arial"/>
        </w:rPr>
        <w:t>’s risk management framework includes:</w:t>
      </w:r>
      <w:r>
        <w:rPr>
          <w:rFonts w:cs="Arial"/>
        </w:rPr>
        <w:br/>
      </w:r>
    </w:p>
    <w:p w14:paraId="767D7796" w14:textId="2540584C" w:rsidR="000867C7" w:rsidRPr="00AE7344" w:rsidRDefault="000867C7" w:rsidP="000867C7">
      <w:pPr>
        <w:pStyle w:val="BulletListLevel1"/>
        <w:rPr>
          <w:rFonts w:eastAsia="Times New Roman"/>
          <w:b/>
          <w:lang w:val="en-GB" w:eastAsia="en-AU"/>
        </w:rPr>
      </w:pPr>
      <w:r w:rsidRPr="009D2EB3">
        <w:t xml:space="preserve">an Audit Committee (see ‘Governance disclosures’ in </w:t>
      </w:r>
      <w:r w:rsidRPr="009D2EB3">
        <w:rPr>
          <w:i/>
        </w:rPr>
        <w:t>Section 5:</w:t>
      </w:r>
      <w:r w:rsidR="00E16D15">
        <w:rPr>
          <w:i/>
        </w:rPr>
        <w:t xml:space="preserve"> Disclosures and legal c</w:t>
      </w:r>
      <w:r w:rsidRPr="00107165">
        <w:rPr>
          <w:i/>
        </w:rPr>
        <w:t>ompliance</w:t>
      </w:r>
      <w:r w:rsidR="008B635A">
        <w:rPr>
          <w:i/>
        </w:rPr>
        <w:t xml:space="preserve"> on </w:t>
      </w:r>
      <w:r w:rsidR="00E475FB" w:rsidRPr="00E475FB">
        <w:rPr>
          <w:i/>
        </w:rPr>
        <w:t>page 124</w:t>
      </w:r>
      <w:r w:rsidRPr="00E475FB">
        <w:rPr>
          <w:i/>
        </w:rPr>
        <w:t xml:space="preserve">) </w:t>
      </w:r>
      <w:r w:rsidRPr="00AE7344">
        <w:t xml:space="preserve">charged with the responsibility of providing assurance to the Board on </w:t>
      </w:r>
      <w:r>
        <w:t>WorkCover WA</w:t>
      </w:r>
      <w:r w:rsidRPr="00AE7344">
        <w:t>’s risks and controls</w:t>
      </w:r>
    </w:p>
    <w:p w14:paraId="4661A416" w14:textId="77777777" w:rsidR="000867C7" w:rsidRPr="00AE7344" w:rsidRDefault="000867C7" w:rsidP="000867C7">
      <w:pPr>
        <w:pStyle w:val="BulletListLevel1"/>
        <w:rPr>
          <w:rFonts w:eastAsia="Times New Roman"/>
          <w:b/>
          <w:lang w:val="en-GB" w:eastAsia="en-AU"/>
        </w:rPr>
      </w:pPr>
      <w:r w:rsidRPr="00AE7344">
        <w:t>an Audit Services Manager with the responsibility of advising the Agency on risk management</w:t>
      </w:r>
    </w:p>
    <w:p w14:paraId="2AE0BDBB" w14:textId="77777777" w:rsidR="000867C7" w:rsidRPr="00AE7344" w:rsidRDefault="000867C7" w:rsidP="000867C7">
      <w:pPr>
        <w:pStyle w:val="BulletListLevel1"/>
        <w:rPr>
          <w:rFonts w:eastAsia="Times New Roman"/>
          <w:b/>
          <w:lang w:val="en-GB" w:eastAsia="en-AU"/>
        </w:rPr>
      </w:pPr>
      <w:r w:rsidRPr="00AE7344">
        <w:t>a Risk Management Policy and Risk Management Guidelines</w:t>
      </w:r>
    </w:p>
    <w:p w14:paraId="0ADB6B54" w14:textId="421227C0" w:rsidR="000867C7" w:rsidRPr="00AE7344" w:rsidRDefault="000867C7" w:rsidP="000867C7">
      <w:pPr>
        <w:pStyle w:val="BulletListLevel1"/>
        <w:rPr>
          <w:rFonts w:eastAsia="Times New Roman"/>
          <w:b/>
          <w:lang w:val="en-GB" w:eastAsia="en-AU"/>
        </w:rPr>
      </w:pPr>
      <w:r w:rsidRPr="00AE7344">
        <w:t>a Risk Management Review Group (see ‘Workplace consultation: Risk Management Review Group’ on</w:t>
      </w:r>
      <w:r w:rsidRPr="00BA3342">
        <w:rPr>
          <w:color w:val="FF0000"/>
        </w:rPr>
        <w:t xml:space="preserve"> </w:t>
      </w:r>
      <w:r w:rsidRPr="00E475FB">
        <w:t xml:space="preserve">page </w:t>
      </w:r>
      <w:r w:rsidR="00E475FB" w:rsidRPr="00E475FB">
        <w:t>44</w:t>
      </w:r>
      <w:r w:rsidRPr="00E475FB">
        <w:t xml:space="preserve">) </w:t>
      </w:r>
      <w:r w:rsidRPr="00AE7344">
        <w:t>which provides ongoing assurance to the Corporate Executive risks are being addressed in a timely and appropriate manner</w:t>
      </w:r>
    </w:p>
    <w:p w14:paraId="1EB1386E" w14:textId="1A8A9EEF" w:rsidR="000867C7" w:rsidRPr="00C52D13" w:rsidRDefault="000867C7" w:rsidP="000867C7">
      <w:pPr>
        <w:pStyle w:val="BulletListLevel1"/>
        <w:rPr>
          <w:rFonts w:eastAsia="Times New Roman"/>
          <w:b/>
          <w:lang w:val="en-GB" w:eastAsia="en-AU"/>
        </w:rPr>
      </w:pPr>
      <w:r w:rsidRPr="00AE7344">
        <w:t xml:space="preserve">risk </w:t>
      </w:r>
      <w:r>
        <w:t>management software</w:t>
      </w:r>
      <w:r w:rsidR="005618C9">
        <w:t>.</w:t>
      </w:r>
    </w:p>
    <w:p w14:paraId="0FCE8F4F" w14:textId="4732D19B" w:rsidR="000867C7" w:rsidRDefault="000867C7" w:rsidP="00620955">
      <w:r w:rsidRPr="00B33F30">
        <w:t>The Agency’s Risk Management Policy and Risk Management Guidelines were rev</w:t>
      </w:r>
      <w:r w:rsidR="00E318C1">
        <w:t>iewed in 2014/15 as part of an internal</w:t>
      </w:r>
      <w:r w:rsidRPr="00B33F30">
        <w:t xml:space="preserve"> project to consider the effectiveness of our approach to risk management. </w:t>
      </w:r>
    </w:p>
    <w:p w14:paraId="04180B1E" w14:textId="2A08BB1F" w:rsidR="0003731F" w:rsidRDefault="000867C7" w:rsidP="00620955">
      <w:r w:rsidRPr="00B33F30">
        <w:t xml:space="preserve">A new Risk Management Framework Guide was developed and endorsed by the Corporate Executive and the Audit Committee to </w:t>
      </w:r>
      <w:r>
        <w:t>support</w:t>
      </w:r>
      <w:r w:rsidRPr="00B33F30">
        <w:t xml:space="preserve"> an </w:t>
      </w:r>
      <w:r w:rsidR="00E318C1">
        <w:t>A</w:t>
      </w:r>
      <w:r w:rsidRPr="00B33F30">
        <w:t>gency wide approach and commitment to risk management.</w:t>
      </w:r>
    </w:p>
    <w:p w14:paraId="306C0255" w14:textId="2BFF4C3C" w:rsidR="000867C7" w:rsidRPr="009C4AC8" w:rsidRDefault="000867C7" w:rsidP="00620955">
      <w:r w:rsidRPr="009C4AC8">
        <w:t xml:space="preserve">WorkCover WA will conduct a full audit in 2015/16 to evaluate the effectiveness of the risk management processes in place, compliance with ISO 31000:2009 and the </w:t>
      </w:r>
      <w:r>
        <w:t>effectiveness</w:t>
      </w:r>
      <w:r w:rsidRPr="009C4AC8">
        <w:t xml:space="preserve"> of </w:t>
      </w:r>
      <w:r w:rsidR="00E318C1">
        <w:t xml:space="preserve">the </w:t>
      </w:r>
      <w:r>
        <w:t>risk management software</w:t>
      </w:r>
      <w:r w:rsidRPr="009C4AC8">
        <w:t>.</w:t>
      </w:r>
    </w:p>
    <w:p w14:paraId="3F4CEF7D" w14:textId="77777777" w:rsidR="00D9472C" w:rsidRPr="00D9472C" w:rsidRDefault="00D9472C" w:rsidP="00664937">
      <w:pPr>
        <w:pStyle w:val="Heading4"/>
      </w:pPr>
      <w:r w:rsidRPr="00D9472C">
        <w:t>Other policies and procedures</w:t>
      </w:r>
    </w:p>
    <w:p w14:paraId="058C719F" w14:textId="77777777" w:rsidR="00D9472C" w:rsidRPr="00D9472C" w:rsidRDefault="00D9472C" w:rsidP="00D9472C">
      <w:pPr>
        <w:rPr>
          <w:lang w:val="en-US"/>
        </w:rPr>
      </w:pPr>
      <w:r w:rsidRPr="00D9472C">
        <w:rPr>
          <w:lang w:val="en-US"/>
        </w:rPr>
        <w:t>The Agency’s other policies and proce</w:t>
      </w:r>
      <w:r w:rsidR="00297327">
        <w:rPr>
          <w:lang w:val="en-US"/>
        </w:rPr>
        <w:t xml:space="preserve">dures involving risk management </w:t>
      </w:r>
      <w:r w:rsidRPr="00D9472C">
        <w:rPr>
          <w:lang w:val="en-US"/>
        </w:rPr>
        <w:t>include:</w:t>
      </w:r>
    </w:p>
    <w:p w14:paraId="77EF8C38" w14:textId="7F290C3E" w:rsidR="00B33F30" w:rsidRPr="007E3277" w:rsidRDefault="007841BF" w:rsidP="007E3277">
      <w:pPr>
        <w:pStyle w:val="BulletListLevel1"/>
      </w:pPr>
      <w:r w:rsidRPr="007E3277">
        <w:t>b</w:t>
      </w:r>
      <w:r w:rsidR="00B33F30" w:rsidRPr="007E3277">
        <w:t xml:space="preserve">usiness </w:t>
      </w:r>
      <w:r w:rsidRPr="007E3277">
        <w:t>c</w:t>
      </w:r>
      <w:r w:rsidR="00B33F30" w:rsidRPr="007E3277">
        <w:t xml:space="preserve">ontinuity </w:t>
      </w:r>
      <w:r w:rsidR="00107165" w:rsidRPr="007E3277">
        <w:t>manual</w:t>
      </w:r>
      <w:r w:rsidR="005A3445" w:rsidRPr="007E3277">
        <w:t>s</w:t>
      </w:r>
      <w:r w:rsidRPr="007E3277">
        <w:t xml:space="preserve"> and p</w:t>
      </w:r>
      <w:r w:rsidR="00B33F30" w:rsidRPr="007E3277">
        <w:t>lan</w:t>
      </w:r>
      <w:r w:rsidRPr="007E3277">
        <w:t>s</w:t>
      </w:r>
    </w:p>
    <w:p w14:paraId="3BE327AC" w14:textId="77777777" w:rsidR="00B33F30" w:rsidRPr="007E3277" w:rsidRDefault="00B33F30" w:rsidP="007E3277">
      <w:pPr>
        <w:pStyle w:val="BulletListLevel1"/>
      </w:pPr>
      <w:r w:rsidRPr="007E3277">
        <w:t>an Agency Governance Framework</w:t>
      </w:r>
    </w:p>
    <w:p w14:paraId="1475B78C" w14:textId="77777777" w:rsidR="00B33F30" w:rsidRPr="007E3277" w:rsidRDefault="00B33F30" w:rsidP="007E3277">
      <w:pPr>
        <w:pStyle w:val="BulletListLevel1"/>
      </w:pPr>
      <w:r w:rsidRPr="007E3277">
        <w:t>Occupational Safety and Health Procedures</w:t>
      </w:r>
    </w:p>
    <w:p w14:paraId="030F22F8" w14:textId="77777777" w:rsidR="00B33F30" w:rsidRPr="007E3277" w:rsidRDefault="00B33F30" w:rsidP="007E3277">
      <w:pPr>
        <w:pStyle w:val="BulletListLevel1"/>
      </w:pPr>
      <w:r w:rsidRPr="007E3277">
        <w:t>an Occupational Safety and Health Policy</w:t>
      </w:r>
    </w:p>
    <w:p w14:paraId="76BD44E7" w14:textId="73FAC62A" w:rsidR="00B33F30" w:rsidRPr="007E3277" w:rsidRDefault="00B33F30" w:rsidP="007E3277">
      <w:pPr>
        <w:pStyle w:val="BulletListLevel1"/>
      </w:pPr>
      <w:r w:rsidRPr="007E3277">
        <w:t>an Occupationa</w:t>
      </w:r>
      <w:r w:rsidR="005618C9">
        <w:t>l Safety and Health Management P</w:t>
      </w:r>
      <w:r w:rsidRPr="007E3277">
        <w:t>lan</w:t>
      </w:r>
    </w:p>
    <w:p w14:paraId="560956B1" w14:textId="77777777" w:rsidR="00B33F30" w:rsidRPr="007E3277" w:rsidRDefault="00B33F30" w:rsidP="007E3277">
      <w:pPr>
        <w:pStyle w:val="BulletListLevel1"/>
      </w:pPr>
      <w:r w:rsidRPr="007E3277">
        <w:t>an Occupational Safety and Health Risk and Legal Register</w:t>
      </w:r>
    </w:p>
    <w:p w14:paraId="3F4FB01F" w14:textId="77777777" w:rsidR="00B33F30" w:rsidRPr="007E3277" w:rsidRDefault="00B33F30" w:rsidP="007E3277">
      <w:pPr>
        <w:pStyle w:val="BulletListLevel1"/>
      </w:pPr>
      <w:r w:rsidRPr="007E3277">
        <w:lastRenderedPageBreak/>
        <w:t>an IT Risk Management Policy</w:t>
      </w:r>
    </w:p>
    <w:p w14:paraId="6F247DB6" w14:textId="77777777" w:rsidR="00B33F30" w:rsidRPr="007E3277" w:rsidRDefault="00B33F30" w:rsidP="007E3277">
      <w:pPr>
        <w:pStyle w:val="BulletListLevel1"/>
      </w:pPr>
      <w:r w:rsidRPr="007E3277">
        <w:t>an Information Security Policy</w:t>
      </w:r>
    </w:p>
    <w:p w14:paraId="657EA30A" w14:textId="3D1626E4" w:rsidR="00C345F4" w:rsidRDefault="00B33F30" w:rsidP="007E3277">
      <w:pPr>
        <w:pStyle w:val="BulletListLevel1"/>
      </w:pPr>
      <w:r w:rsidRPr="007E3277">
        <w:t>a Fraud and Corruption Prevention Policy</w:t>
      </w:r>
      <w:r w:rsidRPr="00620955">
        <w:t>.</w:t>
      </w:r>
    </w:p>
    <w:p w14:paraId="1771BA26" w14:textId="15DEC795" w:rsidR="00B33F30" w:rsidRPr="00C345F4" w:rsidRDefault="00546571" w:rsidP="00C345F4">
      <w:pPr>
        <w:keepLines w:val="0"/>
        <w:spacing w:after="0" w:line="240" w:lineRule="auto"/>
        <w:rPr>
          <w:rFonts w:eastAsiaTheme="minorHAnsi" w:cs="Arial"/>
          <w:bCs/>
        </w:rPr>
      </w:pPr>
      <w:r>
        <w:rPr>
          <w:noProof/>
          <w:lang w:eastAsia="en-AU"/>
        </w:rPr>
        <w:drawing>
          <wp:anchor distT="0" distB="0" distL="114300" distR="114300" simplePos="0" relativeHeight="251715584" behindDoc="0" locked="0" layoutInCell="1" allowOverlap="1" wp14:anchorId="4A87D65D" wp14:editId="210137F4">
            <wp:simplePos x="0" y="0"/>
            <wp:positionH relativeFrom="column">
              <wp:posOffset>-2995054</wp:posOffset>
            </wp:positionH>
            <wp:positionV relativeFrom="page">
              <wp:posOffset>7042128</wp:posOffset>
            </wp:positionV>
            <wp:extent cx="6416040" cy="2842260"/>
            <wp:effectExtent l="0" t="0" r="3810" b="0"/>
            <wp:wrapSquare wrapText="bothSides"/>
            <wp:docPr id="24" name="Picture 24"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17" cstate="print">
                      <a:extLst>
                        <a:ext uri="{28A0092B-C50C-407E-A947-70E740481C1C}">
                          <a14:useLocalDpi xmlns:a14="http://schemas.microsoft.com/office/drawing/2010/main" val="0"/>
                        </a:ext>
                      </a:extLst>
                    </a:blip>
                    <a:srcRect t="39269" b="29401"/>
                    <a:stretch/>
                  </pic:blipFill>
                  <pic:spPr bwMode="auto">
                    <a:xfrm>
                      <a:off x="0" y="0"/>
                      <a:ext cx="6416040"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5F4">
        <w:br w:type="page"/>
      </w:r>
    </w:p>
    <w:p w14:paraId="09F43C80" w14:textId="77777777" w:rsidR="00B47514" w:rsidRPr="0051219B" w:rsidRDefault="00B47514" w:rsidP="0051219B">
      <w:pPr>
        <w:pStyle w:val="Heading1nonumber"/>
      </w:pPr>
      <w:bookmarkStart w:id="160" w:name="_Toc399316933"/>
      <w:bookmarkStart w:id="161" w:name="_Toc426617447"/>
      <w:bookmarkStart w:id="162" w:name="_Toc430091170"/>
      <w:r w:rsidRPr="0051219B">
        <w:lastRenderedPageBreak/>
        <w:t xml:space="preserve">Performance </w:t>
      </w:r>
      <w:r w:rsidR="00B62390" w:rsidRPr="0051219B">
        <w:t>M</w:t>
      </w:r>
      <w:r w:rsidRPr="0051219B">
        <w:t xml:space="preserve">anagement </w:t>
      </w:r>
      <w:r w:rsidR="00B62390" w:rsidRPr="0051219B">
        <w:t>F</w:t>
      </w:r>
      <w:r w:rsidRPr="0051219B">
        <w:t>ramework</w:t>
      </w:r>
      <w:bookmarkEnd w:id="160"/>
      <w:bookmarkEnd w:id="161"/>
      <w:bookmarkEnd w:id="162"/>
      <w:r w:rsidRPr="0051219B">
        <w:t xml:space="preserve"> </w:t>
      </w:r>
    </w:p>
    <w:p w14:paraId="79C1AD73" w14:textId="77777777" w:rsidR="002718F1" w:rsidRPr="00434457" w:rsidRDefault="002718F1" w:rsidP="00434457">
      <w:pPr>
        <w:pStyle w:val="Heading2nonumber"/>
      </w:pPr>
      <w:bookmarkStart w:id="163" w:name="_Toc399316934"/>
      <w:bookmarkStart w:id="164" w:name="_Toc426617448"/>
      <w:bookmarkStart w:id="165" w:name="_Toc430091171"/>
      <w:r w:rsidRPr="00434457">
        <w:t xml:space="preserve">Outcome </w:t>
      </w:r>
      <w:r w:rsidR="008A1367" w:rsidRPr="00434457">
        <w:t>B</w:t>
      </w:r>
      <w:r w:rsidRPr="00434457">
        <w:t xml:space="preserve">ased </w:t>
      </w:r>
      <w:r w:rsidR="008A1367" w:rsidRPr="00434457">
        <w:t>M</w:t>
      </w:r>
      <w:r w:rsidRPr="00434457">
        <w:t xml:space="preserve">anagement </w:t>
      </w:r>
      <w:r w:rsidR="003E668E" w:rsidRPr="00434457">
        <w:t>s</w:t>
      </w:r>
      <w:r w:rsidRPr="00434457">
        <w:t>tructure</w:t>
      </w:r>
      <w:bookmarkEnd w:id="163"/>
      <w:bookmarkEnd w:id="164"/>
      <w:bookmarkEnd w:id="165"/>
      <w:r w:rsidRPr="00434457">
        <w:t xml:space="preserve"> </w:t>
      </w:r>
    </w:p>
    <w:p w14:paraId="16280266" w14:textId="594EBB4C" w:rsidR="00390840" w:rsidRPr="00390840" w:rsidRDefault="00C726B0" w:rsidP="00390840">
      <w:pPr>
        <w:rPr>
          <w:lang w:val="en-US"/>
        </w:rPr>
      </w:pPr>
      <w:r>
        <w:rPr>
          <w:lang w:val="en-US"/>
        </w:rPr>
        <w:t>WorkCover WA</w:t>
      </w:r>
      <w:r w:rsidR="00390840" w:rsidRPr="00390840">
        <w:rPr>
          <w:lang w:val="en-US"/>
        </w:rPr>
        <w:t xml:space="preserve"> delivers services to minimise the social and economic impact of work-related injury and illness on workers, employers and the Western Australian community.</w:t>
      </w:r>
    </w:p>
    <w:p w14:paraId="17F0D302" w14:textId="4F3ED06F" w:rsidR="00390840" w:rsidRPr="00390840" w:rsidRDefault="00390840" w:rsidP="00390840">
      <w:r w:rsidRPr="00390840">
        <w:rPr>
          <w:lang w:val="en-US"/>
        </w:rPr>
        <w:t xml:space="preserve">In doing this, </w:t>
      </w:r>
      <w:r w:rsidR="00C726B0">
        <w:rPr>
          <w:lang w:val="en-US"/>
        </w:rPr>
        <w:t>WorkCover WA</w:t>
      </w:r>
      <w:r w:rsidRPr="00390840">
        <w:rPr>
          <w:lang w:val="en-US"/>
        </w:rPr>
        <w:t xml:space="preserve"> contributes to a range of State Government objectives related to Government </w:t>
      </w:r>
      <w:r w:rsidRPr="00390840">
        <w:rPr>
          <w:rStyle w:val="Strong"/>
          <w:lang w:val="en-US"/>
        </w:rPr>
        <w:t>Goal 3: ‘Results-Based Service Delivery’</w:t>
      </w:r>
      <w:r w:rsidRPr="00390840">
        <w:rPr>
          <w:lang w:val="en-US"/>
        </w:rPr>
        <w:t xml:space="preserve">, </w:t>
      </w:r>
      <w:r w:rsidRPr="00390840">
        <w:t>which demands a ‘greater focus on achieving results in key service delivery areas for the benefit of all Western Australians’.</w:t>
      </w:r>
    </w:p>
    <w:p w14:paraId="0CDB9FF0" w14:textId="5FF905A1" w:rsidR="00C345F4" w:rsidRDefault="00390840" w:rsidP="00390840">
      <w:pPr>
        <w:rPr>
          <w:lang w:val="en-US"/>
        </w:rPr>
      </w:pPr>
      <w:r w:rsidRPr="00390840">
        <w:rPr>
          <w:lang w:val="en-US"/>
        </w:rPr>
        <w:t xml:space="preserve">The following table outlines the </w:t>
      </w:r>
      <w:r w:rsidR="00C726B0">
        <w:rPr>
          <w:lang w:val="en-US"/>
        </w:rPr>
        <w:t>WorkCover WA</w:t>
      </w:r>
      <w:r w:rsidRPr="00390840">
        <w:rPr>
          <w:lang w:val="en-US"/>
        </w:rPr>
        <w:t xml:space="preserve"> Outcome Based Management structure, including the Agency Desired Outcome and Agency Services.</w:t>
      </w:r>
    </w:p>
    <w:p w14:paraId="6F59DEA8" w14:textId="77777777" w:rsidR="00C345F4" w:rsidRDefault="00C345F4">
      <w:pPr>
        <w:keepLines w:val="0"/>
        <w:spacing w:after="0" w:line="240" w:lineRule="auto"/>
        <w:rPr>
          <w:lang w:val="en-US"/>
        </w:rPr>
      </w:pPr>
      <w:r>
        <w:rPr>
          <w:lang w:val="en-US"/>
        </w:rPr>
        <w:br w:type="page"/>
      </w:r>
    </w:p>
    <w:p w14:paraId="3B7DB0EB" w14:textId="77777777" w:rsidR="00390840" w:rsidRPr="00390840" w:rsidRDefault="00390840" w:rsidP="00390840">
      <w:pPr>
        <w:rPr>
          <w:lang w:val="en-US"/>
        </w:rPr>
      </w:pPr>
    </w:p>
    <w:tbl>
      <w:tblPr>
        <w:tblW w:w="9049"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Caption w:val="Table 10 WorkCover WA outcome based management structure"/>
      </w:tblPr>
      <w:tblGrid>
        <w:gridCol w:w="4654"/>
        <w:gridCol w:w="4395"/>
      </w:tblGrid>
      <w:tr w:rsidR="007237C4" w14:paraId="13DA1950" w14:textId="77777777" w:rsidTr="007850F9">
        <w:trPr>
          <w:trHeight w:val="728"/>
          <w:tblHeader/>
        </w:trPr>
        <w:tc>
          <w:tcPr>
            <w:tcW w:w="9049" w:type="dxa"/>
            <w:gridSpan w:val="2"/>
            <w:shd w:val="clear" w:color="auto" w:fill="2D4541" w:themeFill="accent2"/>
            <w:tcMar>
              <w:top w:w="113" w:type="dxa"/>
              <w:left w:w="113" w:type="dxa"/>
              <w:bottom w:w="113" w:type="dxa"/>
              <w:right w:w="113" w:type="dxa"/>
            </w:tcMar>
            <w:vAlign w:val="center"/>
          </w:tcPr>
          <w:p w14:paraId="6093741B" w14:textId="49257285" w:rsidR="007237C4" w:rsidRPr="00DF19AE" w:rsidRDefault="00E1238F" w:rsidP="00DF19AE">
            <w:pPr>
              <w:jc w:val="center"/>
              <w:rPr>
                <w:rStyle w:val="Strong"/>
              </w:rPr>
            </w:pPr>
            <w:r w:rsidRPr="00DF19AE">
              <w:rPr>
                <w:rStyle w:val="Strong"/>
                <w:color w:val="FFFFFF" w:themeColor="background1"/>
              </w:rPr>
              <w:t xml:space="preserve">Table 10: </w:t>
            </w:r>
            <w:r w:rsidR="00C726B0">
              <w:rPr>
                <w:rStyle w:val="Strong"/>
                <w:color w:val="FFFFFF" w:themeColor="background1"/>
              </w:rPr>
              <w:t>WorkCover WA</w:t>
            </w:r>
            <w:r w:rsidRPr="00DF19AE">
              <w:rPr>
                <w:rStyle w:val="Strong"/>
                <w:color w:val="FFFFFF" w:themeColor="background1"/>
              </w:rPr>
              <w:t xml:space="preserve"> Outcome Based Management Structure</w:t>
            </w:r>
          </w:p>
        </w:tc>
      </w:tr>
      <w:tr w:rsidR="00E1238F" w14:paraId="5D7C215B" w14:textId="77777777" w:rsidTr="00744A09">
        <w:trPr>
          <w:trHeight w:val="60"/>
        </w:trPr>
        <w:tc>
          <w:tcPr>
            <w:tcW w:w="9049" w:type="dxa"/>
            <w:gridSpan w:val="2"/>
            <w:shd w:val="clear" w:color="auto" w:fill="CEDFDC" w:themeFill="accent2" w:themeFillTint="33"/>
            <w:tcMar>
              <w:top w:w="113" w:type="dxa"/>
              <w:left w:w="113" w:type="dxa"/>
              <w:bottom w:w="113" w:type="dxa"/>
              <w:right w:w="113" w:type="dxa"/>
            </w:tcMar>
            <w:vAlign w:val="center"/>
          </w:tcPr>
          <w:p w14:paraId="3109BBF3" w14:textId="77777777" w:rsidR="00E1238F" w:rsidRPr="00DF19AE" w:rsidRDefault="00E1238F" w:rsidP="00DF19AE">
            <w:pPr>
              <w:jc w:val="center"/>
              <w:rPr>
                <w:rStyle w:val="Strong"/>
              </w:rPr>
            </w:pPr>
            <w:r w:rsidRPr="00DF19AE">
              <w:rPr>
                <w:rStyle w:val="Strong"/>
              </w:rPr>
              <w:t>Government Goal</w:t>
            </w:r>
          </w:p>
        </w:tc>
      </w:tr>
      <w:tr w:rsidR="007237C4" w14:paraId="2D9D6B22" w14:textId="77777777" w:rsidTr="00744A09">
        <w:trPr>
          <w:trHeight w:val="60"/>
        </w:trPr>
        <w:tc>
          <w:tcPr>
            <w:tcW w:w="9049" w:type="dxa"/>
            <w:gridSpan w:val="2"/>
            <w:tcMar>
              <w:top w:w="113" w:type="dxa"/>
              <w:left w:w="113" w:type="dxa"/>
              <w:bottom w:w="113" w:type="dxa"/>
              <w:right w:w="113" w:type="dxa"/>
            </w:tcMar>
            <w:vAlign w:val="center"/>
          </w:tcPr>
          <w:p w14:paraId="7E189638" w14:textId="77777777" w:rsidR="007237C4" w:rsidRPr="00504EB4" w:rsidRDefault="00190EAD" w:rsidP="007237C4">
            <w:pPr>
              <w:jc w:val="center"/>
              <w:rPr>
                <w:rStyle w:val="Strong"/>
              </w:rPr>
            </w:pPr>
            <w:r w:rsidRPr="00504EB4">
              <w:rPr>
                <w:rStyle w:val="Strong"/>
              </w:rPr>
              <w:t>Results-Based Service Delivery</w:t>
            </w:r>
          </w:p>
          <w:p w14:paraId="1047CD58" w14:textId="77777777" w:rsidR="007237C4" w:rsidRDefault="007237C4" w:rsidP="007237C4">
            <w:pPr>
              <w:jc w:val="center"/>
            </w:pPr>
            <w:r>
              <w:t>Greater focus on achieving results in key service delivery areas for the benefit of all Western Australians.</w:t>
            </w:r>
          </w:p>
        </w:tc>
      </w:tr>
      <w:tr w:rsidR="007237C4" w14:paraId="74995EF3" w14:textId="77777777" w:rsidTr="00744A09">
        <w:trPr>
          <w:trHeight w:val="60"/>
        </w:trPr>
        <w:tc>
          <w:tcPr>
            <w:tcW w:w="9049" w:type="dxa"/>
            <w:gridSpan w:val="2"/>
            <w:shd w:val="clear" w:color="auto" w:fill="CEDFDC" w:themeFill="accent2" w:themeFillTint="33"/>
            <w:tcMar>
              <w:top w:w="113" w:type="dxa"/>
              <w:left w:w="113" w:type="dxa"/>
              <w:bottom w:w="113" w:type="dxa"/>
              <w:right w:w="113" w:type="dxa"/>
            </w:tcMar>
            <w:vAlign w:val="center"/>
          </w:tcPr>
          <w:p w14:paraId="0B23B9BE" w14:textId="71074F49" w:rsidR="007237C4" w:rsidRPr="00DF19AE" w:rsidRDefault="00C726B0" w:rsidP="00DF19AE">
            <w:pPr>
              <w:jc w:val="center"/>
              <w:rPr>
                <w:rStyle w:val="Strong"/>
              </w:rPr>
            </w:pPr>
            <w:r>
              <w:rPr>
                <w:rStyle w:val="Strong"/>
              </w:rPr>
              <w:t>WorkCover WA</w:t>
            </w:r>
            <w:r w:rsidR="00390840" w:rsidRPr="00DF19AE">
              <w:rPr>
                <w:rStyle w:val="Strong"/>
              </w:rPr>
              <w:t>’s Agency Desired Outcome</w:t>
            </w:r>
          </w:p>
        </w:tc>
      </w:tr>
      <w:tr w:rsidR="007237C4" w14:paraId="38638A18" w14:textId="77777777" w:rsidTr="00744A09">
        <w:trPr>
          <w:trHeight w:val="60"/>
        </w:trPr>
        <w:tc>
          <w:tcPr>
            <w:tcW w:w="9049" w:type="dxa"/>
            <w:gridSpan w:val="2"/>
            <w:tcMar>
              <w:top w:w="113" w:type="dxa"/>
              <w:left w:w="113" w:type="dxa"/>
              <w:bottom w:w="113" w:type="dxa"/>
              <w:right w:w="113" w:type="dxa"/>
            </w:tcMar>
            <w:vAlign w:val="center"/>
          </w:tcPr>
          <w:p w14:paraId="3ADC8192" w14:textId="71F90C8E" w:rsidR="007237C4" w:rsidRDefault="007237C4" w:rsidP="007237C4">
            <w:pPr>
              <w:jc w:val="center"/>
            </w:pPr>
            <w:r>
              <w:t>To ensure a workers’ compensation and injury management scheme that is financially viable,</w:t>
            </w:r>
            <w:r w:rsidR="005618C9">
              <w:t xml:space="preserve"> contemporary</w:t>
            </w:r>
            <w:r>
              <w:t xml:space="preserve"> and integrated, whilst providing services that are fair, accessible, timely and cost effective for all participants.</w:t>
            </w:r>
          </w:p>
        </w:tc>
      </w:tr>
      <w:tr w:rsidR="007237C4" w14:paraId="166ACDA8" w14:textId="77777777" w:rsidTr="00744A09">
        <w:trPr>
          <w:trHeight w:val="60"/>
        </w:trPr>
        <w:tc>
          <w:tcPr>
            <w:tcW w:w="9049" w:type="dxa"/>
            <w:gridSpan w:val="2"/>
            <w:shd w:val="clear" w:color="auto" w:fill="CEDFDC" w:themeFill="accent2" w:themeFillTint="33"/>
            <w:tcMar>
              <w:top w:w="113" w:type="dxa"/>
              <w:left w:w="113" w:type="dxa"/>
              <w:bottom w:w="113" w:type="dxa"/>
              <w:right w:w="113" w:type="dxa"/>
            </w:tcMar>
            <w:vAlign w:val="center"/>
          </w:tcPr>
          <w:p w14:paraId="5DB57C34" w14:textId="170117F4" w:rsidR="007237C4" w:rsidRPr="00DF19AE" w:rsidRDefault="00C726B0" w:rsidP="00DF19AE">
            <w:pPr>
              <w:jc w:val="center"/>
              <w:rPr>
                <w:rStyle w:val="Strong"/>
              </w:rPr>
            </w:pPr>
            <w:r>
              <w:rPr>
                <w:rStyle w:val="Strong"/>
              </w:rPr>
              <w:t>WorkCover WA</w:t>
            </w:r>
            <w:r w:rsidR="00390840" w:rsidRPr="00DF19AE">
              <w:rPr>
                <w:rStyle w:val="Strong"/>
              </w:rPr>
              <w:t>’s Agency Services</w:t>
            </w:r>
          </w:p>
        </w:tc>
      </w:tr>
      <w:tr w:rsidR="007237C4" w14:paraId="0786B586" w14:textId="77777777" w:rsidTr="00744A09">
        <w:trPr>
          <w:trHeight w:val="60"/>
        </w:trPr>
        <w:tc>
          <w:tcPr>
            <w:tcW w:w="4654" w:type="dxa"/>
            <w:tcMar>
              <w:top w:w="113" w:type="dxa"/>
              <w:left w:w="113" w:type="dxa"/>
              <w:bottom w:w="113" w:type="dxa"/>
              <w:right w:w="113" w:type="dxa"/>
            </w:tcMar>
            <w:vAlign w:val="center"/>
          </w:tcPr>
          <w:p w14:paraId="1A6055B0" w14:textId="4A2E598D" w:rsidR="007237C4" w:rsidRDefault="007237C4" w:rsidP="00EC1229">
            <w:pPr>
              <w:jc w:val="center"/>
            </w:pPr>
            <w:r w:rsidRPr="00504EB4">
              <w:rPr>
                <w:rStyle w:val="Strong"/>
              </w:rPr>
              <w:t>1. Scheme Regulation</w:t>
            </w:r>
            <w:r>
              <w:t xml:space="preserve"> </w:t>
            </w:r>
            <w:r w:rsidRPr="00504EB4">
              <w:t>(regulation of workers’ co</w:t>
            </w:r>
            <w:r w:rsidR="00EC1229">
              <w:t>mpensation scheme participants to promote</w:t>
            </w:r>
            <w:r w:rsidRPr="00504EB4">
              <w:t xml:space="preserve"> compliance with legislative requirements).</w:t>
            </w:r>
          </w:p>
        </w:tc>
        <w:tc>
          <w:tcPr>
            <w:tcW w:w="4395" w:type="dxa"/>
            <w:tcMar>
              <w:top w:w="113" w:type="dxa"/>
              <w:left w:w="113" w:type="dxa"/>
              <w:bottom w:w="113" w:type="dxa"/>
              <w:right w:w="113" w:type="dxa"/>
            </w:tcMar>
            <w:vAlign w:val="center"/>
          </w:tcPr>
          <w:p w14:paraId="7CC4087E" w14:textId="77777777" w:rsidR="007237C4" w:rsidRDefault="007237C4" w:rsidP="007237C4">
            <w:pPr>
              <w:jc w:val="center"/>
            </w:pPr>
            <w:r w:rsidRPr="00504EB4">
              <w:rPr>
                <w:rStyle w:val="Strong"/>
              </w:rPr>
              <w:t>2. Scheme Services</w:t>
            </w:r>
            <w:r>
              <w:t xml:space="preserve"> </w:t>
            </w:r>
            <w:r w:rsidRPr="00504EB4">
              <w:t>(provision of effective and equitable dispute resolution and other services to scheme participants).</w:t>
            </w:r>
          </w:p>
        </w:tc>
      </w:tr>
    </w:tbl>
    <w:p w14:paraId="55EE90F2" w14:textId="77777777" w:rsidR="00A91CE5" w:rsidRDefault="00A91CE5" w:rsidP="002718F1">
      <w:pPr>
        <w:rPr>
          <w:lang w:val="en-US"/>
        </w:rPr>
      </w:pPr>
    </w:p>
    <w:p w14:paraId="0914ED9F" w14:textId="77777777" w:rsidR="00C345F4" w:rsidRDefault="00C345F4">
      <w:pPr>
        <w:keepLines w:val="0"/>
        <w:spacing w:after="0" w:line="240" w:lineRule="auto"/>
        <w:rPr>
          <w:rFonts w:ascii="Verdana" w:hAnsi="Verdana" w:cs="Arial"/>
          <w:b/>
          <w:bCs/>
          <w:color w:val="86731E" w:themeColor="text1"/>
          <w:szCs w:val="20"/>
        </w:rPr>
      </w:pPr>
      <w:bookmarkStart w:id="166" w:name="_Toc426617449"/>
      <w:r>
        <w:br w:type="page"/>
      </w:r>
    </w:p>
    <w:p w14:paraId="3C3B87C1" w14:textId="65BFC5D2" w:rsidR="007237C4" w:rsidRPr="003E009F" w:rsidRDefault="007237C4" w:rsidP="003E009F">
      <w:pPr>
        <w:pStyle w:val="Heading3nonumber"/>
      </w:pPr>
      <w:bookmarkStart w:id="167" w:name="_Toc430091172"/>
      <w:r w:rsidRPr="003E009F">
        <w:lastRenderedPageBreak/>
        <w:t>Other government goals</w:t>
      </w:r>
      <w:bookmarkEnd w:id="166"/>
      <w:bookmarkEnd w:id="167"/>
    </w:p>
    <w:p w14:paraId="52D3C9E9" w14:textId="2A4A5BBB" w:rsidR="00390840" w:rsidRPr="007237C4" w:rsidRDefault="00C726B0" w:rsidP="00390840">
      <w:pPr>
        <w:rPr>
          <w:lang w:val="en-US"/>
        </w:rPr>
      </w:pPr>
      <w:r>
        <w:rPr>
          <w:lang w:val="en-US"/>
        </w:rPr>
        <w:t>WorkCover WA</w:t>
      </w:r>
      <w:r w:rsidR="00390840" w:rsidRPr="007237C4">
        <w:rPr>
          <w:lang w:val="en-US"/>
        </w:rPr>
        <w:t xml:space="preserve"> also contributes to the following State Government goal</w:t>
      </w:r>
      <w:r w:rsidR="00390840">
        <w:rPr>
          <w:lang w:val="en-US"/>
        </w:rPr>
        <w:t>s:</w:t>
      </w:r>
    </w:p>
    <w:p w14:paraId="21F5BE79" w14:textId="77777777" w:rsidR="007237C4" w:rsidRPr="00015939" w:rsidRDefault="007237C4" w:rsidP="00015939">
      <w:pPr>
        <w:pStyle w:val="BulletListLevel1"/>
        <w:rPr>
          <w:rStyle w:val="Strong"/>
        </w:rPr>
      </w:pPr>
      <w:r w:rsidRPr="00015939">
        <w:rPr>
          <w:rStyle w:val="Strong"/>
        </w:rPr>
        <w:t>Goal 2 – Financial and economic responsibility</w:t>
      </w:r>
    </w:p>
    <w:p w14:paraId="6B98DEBA" w14:textId="769133EA" w:rsidR="007237C4" w:rsidRPr="007237C4" w:rsidRDefault="007237C4" w:rsidP="007237C4">
      <w:pPr>
        <w:pStyle w:val="BulletListLevel1"/>
        <w:numPr>
          <w:ilvl w:val="0"/>
          <w:numId w:val="0"/>
        </w:numPr>
        <w:ind w:left="964"/>
        <w:rPr>
          <w:lang w:val="en-US"/>
        </w:rPr>
      </w:pPr>
      <w:r w:rsidRPr="007237C4">
        <w:rPr>
          <w:lang w:val="en-US"/>
        </w:rPr>
        <w:t>Through its work in maintaining a cost/benefit balance as part of managing a viabl</w:t>
      </w:r>
      <w:r>
        <w:rPr>
          <w:lang w:val="en-US"/>
        </w:rPr>
        <w:t>e workers’ compensation system.</w:t>
      </w:r>
    </w:p>
    <w:p w14:paraId="62A57D4E" w14:textId="77777777" w:rsidR="007237C4" w:rsidRPr="00015939" w:rsidRDefault="007237C4" w:rsidP="00015939">
      <w:pPr>
        <w:pStyle w:val="BulletListLevel1"/>
        <w:rPr>
          <w:rStyle w:val="Strong"/>
        </w:rPr>
      </w:pPr>
      <w:r w:rsidRPr="00015939">
        <w:rPr>
          <w:rStyle w:val="Strong"/>
        </w:rPr>
        <w:t>Goal 4 – Stronger focus on the regions</w:t>
      </w:r>
    </w:p>
    <w:p w14:paraId="01C4FD5F" w14:textId="65C9312A" w:rsidR="00C345F4" w:rsidRDefault="007237C4" w:rsidP="007237C4">
      <w:pPr>
        <w:pStyle w:val="BulletListLevel1"/>
        <w:numPr>
          <w:ilvl w:val="0"/>
          <w:numId w:val="0"/>
        </w:numPr>
        <w:ind w:left="964"/>
        <w:rPr>
          <w:lang w:val="en-US"/>
        </w:rPr>
      </w:pPr>
      <w:r w:rsidRPr="00D27616">
        <w:t>Through an ongoing program of providing information, education and services to employers and injured workers in regional areas</w:t>
      </w:r>
      <w:r w:rsidRPr="006D5E46">
        <w:rPr>
          <w:lang w:val="en-US"/>
        </w:rPr>
        <w:t>.</w:t>
      </w:r>
    </w:p>
    <w:p w14:paraId="7D38C56E" w14:textId="77777777" w:rsidR="007237C4" w:rsidRPr="00867CF7" w:rsidRDefault="007237C4" w:rsidP="00867CF7">
      <w:pPr>
        <w:pStyle w:val="BulletListLevel1"/>
        <w:rPr>
          <w:rStyle w:val="Strong"/>
        </w:rPr>
      </w:pPr>
      <w:r w:rsidRPr="00867CF7">
        <w:rPr>
          <w:rStyle w:val="Strong"/>
        </w:rPr>
        <w:t>Goal 5 – Social and environmental responsibility</w:t>
      </w:r>
    </w:p>
    <w:p w14:paraId="05FAF558" w14:textId="77777777" w:rsidR="007237C4" w:rsidRDefault="007237C4" w:rsidP="007237C4">
      <w:pPr>
        <w:pStyle w:val="BulletListLevel1"/>
        <w:numPr>
          <w:ilvl w:val="0"/>
          <w:numId w:val="0"/>
        </w:numPr>
        <w:ind w:left="964"/>
        <w:rPr>
          <w:lang w:val="en-US"/>
        </w:rPr>
      </w:pPr>
      <w:r w:rsidRPr="00D27616">
        <w:t>By ens</w:t>
      </w:r>
      <w:r w:rsidR="00D940D4" w:rsidRPr="00D27616">
        <w:t>uring</w:t>
      </w:r>
      <w:r w:rsidRPr="00D27616">
        <w:t xml:space="preserve"> the workers’ compensation system is managed in a socially responsible manner for the long-term benefit of the State</w:t>
      </w:r>
      <w:r w:rsidRPr="007237C4">
        <w:rPr>
          <w:lang w:val="en-US"/>
        </w:rPr>
        <w:t>.</w:t>
      </w:r>
    </w:p>
    <w:p w14:paraId="07A2D610" w14:textId="77777777" w:rsidR="007237C4" w:rsidRPr="007237C4" w:rsidRDefault="007237C4" w:rsidP="00774708">
      <w:pPr>
        <w:pStyle w:val="Heading3nonumber"/>
      </w:pPr>
      <w:bookmarkStart w:id="168" w:name="_Toc426617450"/>
      <w:bookmarkStart w:id="169" w:name="_Toc430091173"/>
      <w:r w:rsidRPr="007237C4">
        <w:t>Shared responsibilities with other agencies</w:t>
      </w:r>
      <w:bookmarkEnd w:id="168"/>
      <w:bookmarkEnd w:id="169"/>
    </w:p>
    <w:p w14:paraId="0CFAD3EB" w14:textId="07E79C87" w:rsidR="007237C4" w:rsidRDefault="00C726B0" w:rsidP="007237C4">
      <w:pPr>
        <w:rPr>
          <w:lang w:val="en-US"/>
        </w:rPr>
      </w:pPr>
      <w:r>
        <w:rPr>
          <w:lang w:val="en-US"/>
        </w:rPr>
        <w:t>WorkCover WA</w:t>
      </w:r>
      <w:r w:rsidR="00390840" w:rsidRPr="007237C4">
        <w:rPr>
          <w:lang w:val="en-US"/>
        </w:rPr>
        <w:t xml:space="preserve"> did not share any responsibi</w:t>
      </w:r>
      <w:r w:rsidR="00390840">
        <w:rPr>
          <w:lang w:val="en-US"/>
        </w:rPr>
        <w:t>lities under the Act with other agencies in 2</w:t>
      </w:r>
      <w:r w:rsidR="00172B8B">
        <w:rPr>
          <w:lang w:val="en-US"/>
        </w:rPr>
        <w:t>014</w:t>
      </w:r>
      <w:r w:rsidR="00390840">
        <w:rPr>
          <w:lang w:val="en-US"/>
        </w:rPr>
        <w:t>/</w:t>
      </w:r>
      <w:r w:rsidR="00172B8B">
        <w:rPr>
          <w:lang w:val="en-US"/>
        </w:rPr>
        <w:t>15</w:t>
      </w:r>
      <w:r w:rsidR="007237C4" w:rsidRPr="007237C4">
        <w:rPr>
          <w:lang w:val="en-US"/>
        </w:rPr>
        <w:t>.</w:t>
      </w:r>
    </w:p>
    <w:p w14:paraId="0DA0A961" w14:textId="77777777" w:rsidR="005B2232" w:rsidRPr="00434457" w:rsidRDefault="005B2232" w:rsidP="00434457">
      <w:pPr>
        <w:pStyle w:val="Heading2nonumber"/>
      </w:pPr>
      <w:bookmarkStart w:id="170" w:name="_Toc399316935"/>
      <w:bookmarkStart w:id="171" w:name="_Toc426617451"/>
      <w:bookmarkStart w:id="172" w:name="_Toc430091174"/>
      <w:r w:rsidRPr="00434457">
        <w:t>How we measure our performance</w:t>
      </w:r>
      <w:bookmarkEnd w:id="170"/>
      <w:bookmarkEnd w:id="171"/>
      <w:bookmarkEnd w:id="172"/>
      <w:r w:rsidRPr="00434457">
        <w:t xml:space="preserve"> </w:t>
      </w:r>
    </w:p>
    <w:p w14:paraId="678E9AE5" w14:textId="72BE0E78" w:rsidR="007E7EE2" w:rsidRPr="007E7EE2" w:rsidRDefault="00390840" w:rsidP="00A94AE2">
      <w:r w:rsidRPr="007E7EE2">
        <w:t xml:space="preserve">In order to evaluate its contribution to State Government </w:t>
      </w:r>
      <w:r w:rsidRPr="009F0C14">
        <w:rPr>
          <w:rStyle w:val="Strong"/>
        </w:rPr>
        <w:t>Goal 3 ‘Results-Based Service Delivery’</w:t>
      </w:r>
      <w:r w:rsidRPr="00390840">
        <w:t>,</w:t>
      </w:r>
      <w:r w:rsidRPr="007E7EE2">
        <w:t xml:space="preserve"> </w:t>
      </w:r>
      <w:r w:rsidR="00C726B0">
        <w:t>WorkCover WA</w:t>
      </w:r>
      <w:r w:rsidRPr="007E7EE2">
        <w:t xml:space="preserve"> measures its performance in the delivery of two services</w:t>
      </w:r>
      <w:r w:rsidR="007E7EE2" w:rsidRPr="007E7EE2">
        <w:t>:</w:t>
      </w:r>
    </w:p>
    <w:p w14:paraId="64D926EB" w14:textId="3C486790" w:rsidR="007E7EE2" w:rsidRPr="007E7EE2" w:rsidRDefault="00CE0A77" w:rsidP="00A94AE2">
      <w:pPr>
        <w:rPr>
          <w:rStyle w:val="Strong"/>
        </w:rPr>
      </w:pPr>
      <w:r>
        <w:rPr>
          <w:rStyle w:val="Strong"/>
        </w:rPr>
        <w:t>Service 1: Scheme R</w:t>
      </w:r>
      <w:r w:rsidR="007E7EE2" w:rsidRPr="007E7EE2">
        <w:rPr>
          <w:rStyle w:val="Strong"/>
        </w:rPr>
        <w:t>egulation</w:t>
      </w:r>
    </w:p>
    <w:p w14:paraId="79B6FC81" w14:textId="350127FA" w:rsidR="007E7EE2" w:rsidRPr="007E7EE2" w:rsidRDefault="007E7EE2" w:rsidP="00A94AE2">
      <w:r w:rsidRPr="007E7EE2">
        <w:t>Regulation of workers’ compensation scheme participants for compliance with legislative requirements</w:t>
      </w:r>
      <w:r w:rsidR="00E16D15">
        <w:t>.</w:t>
      </w:r>
    </w:p>
    <w:p w14:paraId="7C01D9B8" w14:textId="5D0644D8" w:rsidR="007E7EE2" w:rsidRPr="007C647A" w:rsidRDefault="00CE0A77" w:rsidP="00A94AE2">
      <w:pPr>
        <w:rPr>
          <w:rStyle w:val="Strong"/>
        </w:rPr>
      </w:pPr>
      <w:r>
        <w:rPr>
          <w:rStyle w:val="Strong"/>
        </w:rPr>
        <w:t>Service 2: Scheme S</w:t>
      </w:r>
      <w:r w:rsidR="007E7EE2" w:rsidRPr="007C647A">
        <w:rPr>
          <w:rStyle w:val="Strong"/>
        </w:rPr>
        <w:t>ervices</w:t>
      </w:r>
    </w:p>
    <w:p w14:paraId="6E0A6798" w14:textId="08676256" w:rsidR="007E7EE2" w:rsidRPr="007E7EE2" w:rsidRDefault="007E7EE2" w:rsidP="00A94AE2">
      <w:r w:rsidRPr="007E7EE2">
        <w:t>Provision of effective and equitable dispute resolution and other services to scheme participants</w:t>
      </w:r>
      <w:r w:rsidR="00E16D15">
        <w:t>.</w:t>
      </w:r>
    </w:p>
    <w:p w14:paraId="203526E2" w14:textId="77777777" w:rsidR="00AC1F00" w:rsidRDefault="00AC1F00">
      <w:pPr>
        <w:keepLines w:val="0"/>
        <w:spacing w:after="0" w:line="240" w:lineRule="auto"/>
        <w:rPr>
          <w:rFonts w:ascii="Verdana" w:eastAsiaTheme="majorEastAsia" w:hAnsi="Verdana" w:cstheme="majorBidi"/>
          <w:b/>
          <w:bCs/>
          <w:szCs w:val="28"/>
          <w:lang w:val="en-US" w:eastAsia="en-AU"/>
        </w:rPr>
      </w:pPr>
      <w:r>
        <w:br w:type="page"/>
      </w:r>
    </w:p>
    <w:p w14:paraId="32217EE6" w14:textId="77777777" w:rsidR="007E7EE2" w:rsidRPr="007E7EE2" w:rsidRDefault="003E668E" w:rsidP="007B6BD6">
      <w:pPr>
        <w:pStyle w:val="Heading3nonumber"/>
      </w:pPr>
      <w:bookmarkStart w:id="173" w:name="_Toc426617452"/>
      <w:bookmarkStart w:id="174" w:name="_Toc430091175"/>
      <w:r>
        <w:lastRenderedPageBreak/>
        <w:t>Key Performance I</w:t>
      </w:r>
      <w:r w:rsidR="007E7EE2" w:rsidRPr="007E7EE2">
        <w:t>ndicators</w:t>
      </w:r>
      <w:r>
        <w:t xml:space="preserve"> (KPIs)</w:t>
      </w:r>
      <w:bookmarkEnd w:id="173"/>
      <w:bookmarkEnd w:id="174"/>
    </w:p>
    <w:p w14:paraId="4A0E0C61" w14:textId="0425348D" w:rsidR="00ED5179" w:rsidRPr="00AC1F00" w:rsidRDefault="007E7EE2">
      <w:pPr>
        <w:rPr>
          <w:i/>
          <w:lang w:val="en-US"/>
        </w:rPr>
      </w:pPr>
      <w:r w:rsidRPr="007E7EE2">
        <w:rPr>
          <w:lang w:val="en-US"/>
        </w:rPr>
        <w:t>The Agency’s two services are linked to KPIs com</w:t>
      </w:r>
      <w:r w:rsidR="00F109C0">
        <w:rPr>
          <w:lang w:val="en-US"/>
        </w:rPr>
        <w:t>p</w:t>
      </w:r>
      <w:r w:rsidRPr="007E7EE2">
        <w:rPr>
          <w:lang w:val="en-US"/>
        </w:rPr>
        <w:t xml:space="preserve">rised of </w:t>
      </w:r>
      <w:r w:rsidRPr="00A94AE2">
        <w:rPr>
          <w:rStyle w:val="Strong"/>
        </w:rPr>
        <w:t>effectiveness</w:t>
      </w:r>
      <w:r w:rsidRPr="007E7EE2">
        <w:rPr>
          <w:lang w:val="en-US"/>
        </w:rPr>
        <w:t xml:space="preserve"> and </w:t>
      </w:r>
      <w:r w:rsidRPr="00A94AE2">
        <w:rPr>
          <w:rStyle w:val="Strong"/>
        </w:rPr>
        <w:t>efficiency</w:t>
      </w:r>
      <w:r w:rsidRPr="007E7EE2">
        <w:rPr>
          <w:lang w:val="en-US"/>
        </w:rPr>
        <w:t xml:space="preserve"> which </w:t>
      </w:r>
      <w:r w:rsidR="00E952F1">
        <w:rPr>
          <w:lang w:val="en-US"/>
        </w:rPr>
        <w:t xml:space="preserve">indicate </w:t>
      </w:r>
      <w:r w:rsidRPr="007E7EE2">
        <w:rPr>
          <w:lang w:val="en-US"/>
        </w:rPr>
        <w:t xml:space="preserve">the extent to which </w:t>
      </w:r>
      <w:r w:rsidR="00C726B0">
        <w:rPr>
          <w:lang w:val="en-US"/>
        </w:rPr>
        <w:t>WorkCover WA</w:t>
      </w:r>
      <w:r w:rsidR="00390840" w:rsidRPr="007E7EE2">
        <w:rPr>
          <w:lang w:val="en-US"/>
        </w:rPr>
        <w:t xml:space="preserve"> achieved its Agency Desired Outcome.</w:t>
      </w:r>
    </w:p>
    <w:tbl>
      <w:tblPr>
        <w:tblW w:w="0" w:type="auto"/>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CellMar>
          <w:left w:w="0" w:type="dxa"/>
          <w:right w:w="0" w:type="dxa"/>
        </w:tblCellMar>
        <w:tblLook w:val="0000" w:firstRow="0" w:lastRow="0" w:firstColumn="0" w:lastColumn="0" w:noHBand="0" w:noVBand="0"/>
        <w:tblCaption w:val="Table 11 WorkCover WAs KPIs"/>
        <w:tblDescription w:val="Table 11 details the key effctiveness and key efficiency indicators"/>
      </w:tblPr>
      <w:tblGrid>
        <w:gridCol w:w="685"/>
        <w:gridCol w:w="87"/>
        <w:gridCol w:w="6859"/>
      </w:tblGrid>
      <w:tr w:rsidR="00C22781" w14:paraId="7D16AE3E" w14:textId="77777777" w:rsidTr="00E3566F">
        <w:trPr>
          <w:trHeight w:val="60"/>
        </w:trPr>
        <w:tc>
          <w:tcPr>
            <w:tcW w:w="7631" w:type="dxa"/>
            <w:gridSpan w:val="3"/>
            <w:tcBorders>
              <w:bottom w:val="single" w:sz="4" w:space="0" w:color="D4E2E0" w:themeColor="accent5"/>
            </w:tcBorders>
            <w:shd w:val="clear" w:color="auto" w:fill="2D4541" w:themeFill="accent2"/>
            <w:tcMar>
              <w:top w:w="113" w:type="dxa"/>
              <w:left w:w="113" w:type="dxa"/>
              <w:bottom w:w="113" w:type="dxa"/>
              <w:right w:w="113" w:type="dxa"/>
            </w:tcMar>
            <w:vAlign w:val="center"/>
          </w:tcPr>
          <w:p w14:paraId="17FDC260" w14:textId="16C24785" w:rsidR="00C22781" w:rsidRPr="00845C82" w:rsidRDefault="00C22781" w:rsidP="00EE4ECC">
            <w:pPr>
              <w:rPr>
                <w:rStyle w:val="Strong"/>
                <w:color w:val="FFFFFF" w:themeColor="background1"/>
              </w:rPr>
            </w:pPr>
            <w:r w:rsidRPr="00EE4ECC">
              <w:rPr>
                <w:rStyle w:val="Strong"/>
                <w:color w:val="FFFFFF" w:themeColor="background2"/>
              </w:rPr>
              <w:t xml:space="preserve">Table </w:t>
            </w:r>
            <w:r w:rsidR="00EE4ECC" w:rsidRPr="00EE4ECC">
              <w:rPr>
                <w:rStyle w:val="Strong"/>
                <w:color w:val="FFFFFF" w:themeColor="background2"/>
              </w:rPr>
              <w:t>11</w:t>
            </w:r>
            <w:r w:rsidRPr="00EE4ECC">
              <w:rPr>
                <w:rStyle w:val="Strong"/>
                <w:color w:val="FFFFFF" w:themeColor="background2"/>
              </w:rPr>
              <w:t xml:space="preserve">: </w:t>
            </w:r>
            <w:r w:rsidR="00C726B0">
              <w:rPr>
                <w:rStyle w:val="Strong"/>
                <w:color w:val="FFFFFF" w:themeColor="background2"/>
              </w:rPr>
              <w:t>WorkCover WA</w:t>
            </w:r>
            <w:r w:rsidR="00390840" w:rsidRPr="00EE4ECC">
              <w:rPr>
                <w:rStyle w:val="Strong"/>
                <w:color w:val="FFFFFF" w:themeColor="background2"/>
              </w:rPr>
              <w:t>’s KPIs</w:t>
            </w:r>
          </w:p>
        </w:tc>
      </w:tr>
      <w:tr w:rsidR="007F6C40" w14:paraId="0A035FFE" w14:textId="77777777" w:rsidTr="00E3566F">
        <w:trPr>
          <w:trHeight w:val="60"/>
        </w:trPr>
        <w:tc>
          <w:tcPr>
            <w:tcW w:w="7631" w:type="dxa"/>
            <w:gridSpan w:val="3"/>
            <w:tcBorders>
              <w:bottom w:val="single" w:sz="4" w:space="0" w:color="BAD0CD" w:themeColor="accent5" w:themeShade="E6"/>
            </w:tcBorders>
            <w:shd w:val="clear" w:color="auto" w:fill="CEDFDC" w:themeFill="accent2" w:themeFillTint="33"/>
            <w:tcMar>
              <w:top w:w="113" w:type="dxa"/>
              <w:left w:w="113" w:type="dxa"/>
              <w:bottom w:w="113" w:type="dxa"/>
              <w:right w:w="113" w:type="dxa"/>
            </w:tcMar>
            <w:vAlign w:val="center"/>
          </w:tcPr>
          <w:p w14:paraId="6A278AC4" w14:textId="77777777" w:rsidR="007F6C40" w:rsidRPr="00F109C0" w:rsidRDefault="008E094F" w:rsidP="00A87BD3">
            <w:pPr>
              <w:rPr>
                <w:rStyle w:val="Strong"/>
              </w:rPr>
            </w:pPr>
            <w:r w:rsidRPr="00F109C0">
              <w:rPr>
                <w:rStyle w:val="Strong"/>
              </w:rPr>
              <w:t>K</w:t>
            </w:r>
            <w:r w:rsidR="007F6C40" w:rsidRPr="00F109C0">
              <w:rPr>
                <w:rStyle w:val="Strong"/>
              </w:rPr>
              <w:t xml:space="preserve">ey </w:t>
            </w:r>
            <w:r w:rsidRPr="00F109C0">
              <w:rPr>
                <w:rStyle w:val="Strong"/>
              </w:rPr>
              <w:t>E</w:t>
            </w:r>
            <w:r w:rsidR="007F6C40" w:rsidRPr="00F109C0">
              <w:rPr>
                <w:rStyle w:val="Strong"/>
              </w:rPr>
              <w:t xml:space="preserve">ffectiveness </w:t>
            </w:r>
            <w:r w:rsidRPr="00F109C0">
              <w:rPr>
                <w:rStyle w:val="Strong"/>
              </w:rPr>
              <w:t>I</w:t>
            </w:r>
            <w:r w:rsidR="007F6C40" w:rsidRPr="00F109C0">
              <w:rPr>
                <w:rStyle w:val="Strong"/>
              </w:rPr>
              <w:t>ndicators</w:t>
            </w:r>
          </w:p>
        </w:tc>
      </w:tr>
      <w:tr w:rsidR="007F6C40" w14:paraId="0F1C4833" w14:textId="77777777" w:rsidTr="00E3566F">
        <w:trPr>
          <w:trHeight w:val="60"/>
        </w:trPr>
        <w:tc>
          <w:tcPr>
            <w:tcW w:w="685"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CEDFDC" w:themeFill="accent2" w:themeFillTint="33"/>
            <w:tcMar>
              <w:top w:w="113" w:type="dxa"/>
              <w:left w:w="113" w:type="dxa"/>
              <w:bottom w:w="113" w:type="dxa"/>
              <w:right w:w="113" w:type="dxa"/>
            </w:tcMar>
            <w:vAlign w:val="center"/>
          </w:tcPr>
          <w:p w14:paraId="3E863E22" w14:textId="77777777" w:rsidR="007F6C40" w:rsidRPr="001C0112" w:rsidRDefault="007F6C40" w:rsidP="00A87BD3">
            <w:pPr>
              <w:rPr>
                <w:rStyle w:val="Strong"/>
              </w:rPr>
            </w:pPr>
            <w:r w:rsidRPr="001C0112">
              <w:rPr>
                <w:rStyle w:val="Strong"/>
              </w:rPr>
              <w:t>1.1</w:t>
            </w:r>
          </w:p>
        </w:tc>
        <w:tc>
          <w:tcPr>
            <w:tcW w:w="6946" w:type="dxa"/>
            <w:gridSpan w:val="2"/>
            <w:tcBorders>
              <w:top w:val="single" w:sz="4" w:space="0" w:color="BAD0CD" w:themeColor="accent5" w:themeShade="E6"/>
              <w:left w:val="single" w:sz="4" w:space="0" w:color="BAD0CD" w:themeColor="accent5" w:themeShade="E6"/>
              <w:bottom w:val="single" w:sz="4" w:space="0" w:color="BAD0CD" w:themeColor="accent5" w:themeShade="E6"/>
            </w:tcBorders>
            <w:shd w:val="solid" w:color="FFFFFF" w:fill="auto"/>
            <w:tcMar>
              <w:top w:w="113" w:type="dxa"/>
              <w:left w:w="113" w:type="dxa"/>
              <w:bottom w:w="113" w:type="dxa"/>
              <w:right w:w="113" w:type="dxa"/>
            </w:tcMar>
            <w:vAlign w:val="center"/>
          </w:tcPr>
          <w:p w14:paraId="3F0A744B" w14:textId="77777777" w:rsidR="007F6C40" w:rsidRDefault="007F6C40" w:rsidP="00A87BD3">
            <w:r>
              <w:t>Number of non-compliance events identified as a result of a claim on the General Account</w:t>
            </w:r>
          </w:p>
        </w:tc>
      </w:tr>
      <w:tr w:rsidR="007F6C40" w14:paraId="2C306684" w14:textId="77777777" w:rsidTr="00E3566F">
        <w:trPr>
          <w:trHeight w:val="60"/>
        </w:trPr>
        <w:tc>
          <w:tcPr>
            <w:tcW w:w="685"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CEDFDC" w:themeFill="accent2" w:themeFillTint="33"/>
            <w:tcMar>
              <w:top w:w="113" w:type="dxa"/>
              <w:left w:w="113" w:type="dxa"/>
              <w:bottom w:w="113" w:type="dxa"/>
              <w:right w:w="113" w:type="dxa"/>
            </w:tcMar>
            <w:vAlign w:val="center"/>
          </w:tcPr>
          <w:p w14:paraId="4B0A9608" w14:textId="77777777" w:rsidR="007F6C40" w:rsidRPr="001C0112" w:rsidRDefault="007F6C40" w:rsidP="00A87BD3">
            <w:pPr>
              <w:rPr>
                <w:rStyle w:val="Strong"/>
              </w:rPr>
            </w:pPr>
            <w:r w:rsidRPr="001C0112">
              <w:rPr>
                <w:rStyle w:val="Strong"/>
              </w:rPr>
              <w:t>1.2</w:t>
            </w:r>
          </w:p>
        </w:tc>
        <w:tc>
          <w:tcPr>
            <w:tcW w:w="6946" w:type="dxa"/>
            <w:gridSpan w:val="2"/>
            <w:tcBorders>
              <w:top w:val="single" w:sz="4" w:space="0" w:color="BAD0CD" w:themeColor="accent5" w:themeShade="E6"/>
              <w:left w:val="single" w:sz="4" w:space="0" w:color="BAD0CD" w:themeColor="accent5" w:themeShade="E6"/>
              <w:bottom w:val="single" w:sz="4" w:space="0" w:color="BAD0CD" w:themeColor="accent5" w:themeShade="E6"/>
            </w:tcBorders>
            <w:shd w:val="solid" w:color="FFFFFF" w:fill="auto"/>
            <w:tcMar>
              <w:top w:w="113" w:type="dxa"/>
              <w:left w:w="113" w:type="dxa"/>
              <w:bottom w:w="113" w:type="dxa"/>
              <w:right w:w="113" w:type="dxa"/>
            </w:tcMar>
            <w:vAlign w:val="center"/>
          </w:tcPr>
          <w:p w14:paraId="702A9203" w14:textId="0F717380" w:rsidR="007F6C40" w:rsidRDefault="007F6C40" w:rsidP="007B6BD6">
            <w:r>
              <w:t xml:space="preserve">Proportion of </w:t>
            </w:r>
            <w:r w:rsidR="00295578">
              <w:t>conciliations completed within eight</w:t>
            </w:r>
            <w:r>
              <w:t xml:space="preserve"> weeks</w:t>
            </w:r>
          </w:p>
        </w:tc>
      </w:tr>
      <w:tr w:rsidR="007F6C40" w14:paraId="617A7250" w14:textId="77777777" w:rsidTr="00BA4EDE">
        <w:trPr>
          <w:trHeight w:val="838"/>
        </w:trPr>
        <w:tc>
          <w:tcPr>
            <w:tcW w:w="685" w:type="dxa"/>
            <w:tcBorders>
              <w:top w:val="single" w:sz="4" w:space="0" w:color="BAD0CD" w:themeColor="accent5" w:themeShade="E6"/>
              <w:bottom w:val="single" w:sz="4" w:space="0" w:color="D9C055" w:themeColor="text1" w:themeTint="99"/>
              <w:right w:val="single" w:sz="4" w:space="0" w:color="BAD0CD" w:themeColor="accent5" w:themeShade="E6"/>
            </w:tcBorders>
            <w:shd w:val="clear" w:color="auto" w:fill="CEDFDC" w:themeFill="accent2" w:themeFillTint="33"/>
            <w:tcMar>
              <w:top w:w="113" w:type="dxa"/>
              <w:left w:w="113" w:type="dxa"/>
              <w:bottom w:w="113" w:type="dxa"/>
              <w:right w:w="113" w:type="dxa"/>
            </w:tcMar>
            <w:vAlign w:val="center"/>
          </w:tcPr>
          <w:p w14:paraId="57D99F4F" w14:textId="77777777" w:rsidR="007F6C40" w:rsidRPr="001C0112" w:rsidRDefault="007F6C40" w:rsidP="00A87BD3">
            <w:pPr>
              <w:rPr>
                <w:rStyle w:val="Strong"/>
              </w:rPr>
            </w:pPr>
            <w:r w:rsidRPr="001C0112">
              <w:rPr>
                <w:rStyle w:val="Strong"/>
              </w:rPr>
              <w:t>1.3</w:t>
            </w:r>
          </w:p>
        </w:tc>
        <w:tc>
          <w:tcPr>
            <w:tcW w:w="6946" w:type="dxa"/>
            <w:gridSpan w:val="2"/>
            <w:tcBorders>
              <w:top w:val="single" w:sz="4" w:space="0" w:color="BAD0CD" w:themeColor="accent5" w:themeShade="E6"/>
              <w:left w:val="single" w:sz="4" w:space="0" w:color="BAD0CD" w:themeColor="accent5" w:themeShade="E6"/>
              <w:bottom w:val="single" w:sz="4" w:space="0" w:color="D9C055" w:themeColor="text1" w:themeTint="99"/>
            </w:tcBorders>
            <w:shd w:val="solid" w:color="FFFFFF" w:fill="auto"/>
            <w:tcMar>
              <w:top w:w="113" w:type="dxa"/>
              <w:left w:w="113" w:type="dxa"/>
              <w:bottom w:w="113" w:type="dxa"/>
              <w:right w:w="113" w:type="dxa"/>
            </w:tcMar>
            <w:vAlign w:val="center"/>
          </w:tcPr>
          <w:p w14:paraId="52C16CDE" w14:textId="4FD27070" w:rsidR="007F6C40" w:rsidRDefault="007B6BD6" w:rsidP="00A87BD3">
            <w:r>
              <w:t>Proporti</w:t>
            </w:r>
            <w:r w:rsidR="00295578">
              <w:t>on of disputes resolved within six</w:t>
            </w:r>
            <w:r>
              <w:t xml:space="preserve"> months</w:t>
            </w:r>
          </w:p>
        </w:tc>
      </w:tr>
      <w:tr w:rsidR="00845C82" w:rsidRPr="00F109C0" w14:paraId="236E6B40" w14:textId="77777777" w:rsidTr="00BA4EDE">
        <w:trPr>
          <w:trHeight w:val="60"/>
        </w:trPr>
        <w:tc>
          <w:tcPr>
            <w:tcW w:w="7631" w:type="dxa"/>
            <w:gridSpan w:val="3"/>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318055F5" w14:textId="77777777" w:rsidR="00845C82" w:rsidRPr="00F109C0" w:rsidRDefault="00845C82" w:rsidP="00A87BD3">
            <w:pPr>
              <w:rPr>
                <w:rStyle w:val="Strong"/>
              </w:rPr>
            </w:pPr>
            <w:r w:rsidRPr="00862902">
              <w:rPr>
                <w:rStyle w:val="Strong"/>
              </w:rPr>
              <w:t>Key Efficiency Indicators</w:t>
            </w:r>
          </w:p>
        </w:tc>
      </w:tr>
      <w:tr w:rsidR="00845C82" w14:paraId="2312A2FA" w14:textId="77777777" w:rsidTr="00BA4EDE">
        <w:trPr>
          <w:trHeight w:val="60"/>
        </w:trPr>
        <w:tc>
          <w:tcPr>
            <w:tcW w:w="772" w:type="dxa"/>
            <w:gridSpan w:val="2"/>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5E154885" w14:textId="77777777" w:rsidR="00845C82" w:rsidRPr="001C0112" w:rsidRDefault="00845C82" w:rsidP="00A87BD3">
            <w:pPr>
              <w:rPr>
                <w:rStyle w:val="Strong"/>
              </w:rPr>
            </w:pPr>
            <w:r w:rsidRPr="001C0112">
              <w:rPr>
                <w:rStyle w:val="Strong"/>
              </w:rPr>
              <w:t>1.1</w:t>
            </w:r>
          </w:p>
        </w:tc>
        <w:tc>
          <w:tcPr>
            <w:tcW w:w="6859" w:type="dxa"/>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FFFFFF" w:fill="auto"/>
            <w:tcMar>
              <w:top w:w="113" w:type="dxa"/>
              <w:left w:w="113" w:type="dxa"/>
              <w:bottom w:w="113" w:type="dxa"/>
              <w:right w:w="113" w:type="dxa"/>
            </w:tcMar>
            <w:vAlign w:val="center"/>
          </w:tcPr>
          <w:p w14:paraId="718C0116" w14:textId="77777777" w:rsidR="00845C82" w:rsidRDefault="00845C82" w:rsidP="00A87BD3">
            <w:r>
              <w:t>Average cost per employer compliance activity</w:t>
            </w:r>
          </w:p>
        </w:tc>
      </w:tr>
      <w:tr w:rsidR="00845C82" w14:paraId="543198BF" w14:textId="77777777" w:rsidTr="00BA4EDE">
        <w:trPr>
          <w:trHeight w:val="60"/>
        </w:trPr>
        <w:tc>
          <w:tcPr>
            <w:tcW w:w="772" w:type="dxa"/>
            <w:gridSpan w:val="2"/>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1D031F93" w14:textId="77777777" w:rsidR="00845C82" w:rsidRPr="001C0112" w:rsidRDefault="00845C82" w:rsidP="00A87BD3">
            <w:pPr>
              <w:rPr>
                <w:rStyle w:val="Strong"/>
              </w:rPr>
            </w:pPr>
            <w:r w:rsidRPr="001C0112">
              <w:rPr>
                <w:rStyle w:val="Strong"/>
              </w:rPr>
              <w:t>1.2</w:t>
            </w:r>
          </w:p>
        </w:tc>
        <w:tc>
          <w:tcPr>
            <w:tcW w:w="6859" w:type="dxa"/>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FFFFFF" w:fill="auto"/>
            <w:tcMar>
              <w:top w:w="113" w:type="dxa"/>
              <w:left w:w="113" w:type="dxa"/>
              <w:bottom w:w="113" w:type="dxa"/>
              <w:right w:w="113" w:type="dxa"/>
            </w:tcMar>
            <w:vAlign w:val="center"/>
          </w:tcPr>
          <w:p w14:paraId="1BDEFA36" w14:textId="77777777" w:rsidR="00845C82" w:rsidRDefault="00845C82" w:rsidP="00A87BD3">
            <w:r>
              <w:t>Average cost per approved and monitored service provider</w:t>
            </w:r>
          </w:p>
        </w:tc>
      </w:tr>
      <w:tr w:rsidR="00845C82" w14:paraId="195DE150" w14:textId="77777777" w:rsidTr="00BA4EDE">
        <w:trPr>
          <w:trHeight w:val="60"/>
        </w:trPr>
        <w:tc>
          <w:tcPr>
            <w:tcW w:w="772" w:type="dxa"/>
            <w:gridSpan w:val="2"/>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0DBDBAE5" w14:textId="77777777" w:rsidR="00845C82" w:rsidRPr="001C0112" w:rsidRDefault="00845C82" w:rsidP="00A87BD3">
            <w:pPr>
              <w:rPr>
                <w:rStyle w:val="Strong"/>
              </w:rPr>
            </w:pPr>
            <w:r w:rsidRPr="001C0112">
              <w:rPr>
                <w:rStyle w:val="Strong"/>
              </w:rPr>
              <w:t>1.3</w:t>
            </w:r>
          </w:p>
        </w:tc>
        <w:tc>
          <w:tcPr>
            <w:tcW w:w="6859" w:type="dxa"/>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tcMar>
              <w:top w:w="113" w:type="dxa"/>
              <w:left w:w="113" w:type="dxa"/>
              <w:bottom w:w="113" w:type="dxa"/>
              <w:right w:w="113" w:type="dxa"/>
            </w:tcMar>
            <w:vAlign w:val="center"/>
          </w:tcPr>
          <w:p w14:paraId="42B79F0F" w14:textId="77777777" w:rsidR="00845C82" w:rsidRDefault="00845C82" w:rsidP="00A87BD3">
            <w:r>
              <w:t>Average cost per client contact to provide information and advice</w:t>
            </w:r>
          </w:p>
        </w:tc>
      </w:tr>
      <w:tr w:rsidR="00845C82" w14:paraId="0F1356A2" w14:textId="77777777" w:rsidTr="00BA4EDE">
        <w:trPr>
          <w:trHeight w:val="841"/>
        </w:trPr>
        <w:tc>
          <w:tcPr>
            <w:tcW w:w="772" w:type="dxa"/>
            <w:gridSpan w:val="2"/>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41996BE4" w14:textId="77777777" w:rsidR="00845C82" w:rsidRPr="001C0112" w:rsidRDefault="00845C82" w:rsidP="00A87BD3">
            <w:pPr>
              <w:rPr>
                <w:rStyle w:val="Strong"/>
              </w:rPr>
            </w:pPr>
            <w:r w:rsidRPr="001C0112">
              <w:rPr>
                <w:rStyle w:val="Strong"/>
              </w:rPr>
              <w:t>2.1</w:t>
            </w:r>
          </w:p>
        </w:tc>
        <w:tc>
          <w:tcPr>
            <w:tcW w:w="6859" w:type="dxa"/>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tcMar>
              <w:top w:w="113" w:type="dxa"/>
              <w:left w:w="113" w:type="dxa"/>
              <w:bottom w:w="113" w:type="dxa"/>
              <w:right w:w="113" w:type="dxa"/>
            </w:tcMar>
            <w:vAlign w:val="center"/>
          </w:tcPr>
          <w:p w14:paraId="35CCDBA7" w14:textId="77777777" w:rsidR="00845C82" w:rsidRDefault="00845C82" w:rsidP="00A87BD3">
            <w:r>
              <w:t>Average cost to complete a conciliation</w:t>
            </w:r>
          </w:p>
        </w:tc>
      </w:tr>
      <w:tr w:rsidR="00845C82" w14:paraId="09D9F5E6" w14:textId="77777777" w:rsidTr="00BA4EDE">
        <w:trPr>
          <w:trHeight w:val="60"/>
        </w:trPr>
        <w:tc>
          <w:tcPr>
            <w:tcW w:w="772" w:type="dxa"/>
            <w:gridSpan w:val="2"/>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73EF4AD5" w14:textId="77777777" w:rsidR="00845C82" w:rsidRPr="001C0112" w:rsidRDefault="00845C82" w:rsidP="00A87BD3">
            <w:pPr>
              <w:rPr>
                <w:rStyle w:val="Strong"/>
              </w:rPr>
            </w:pPr>
            <w:r w:rsidRPr="001C0112">
              <w:rPr>
                <w:rStyle w:val="Strong"/>
              </w:rPr>
              <w:t>2.2</w:t>
            </w:r>
          </w:p>
        </w:tc>
        <w:tc>
          <w:tcPr>
            <w:tcW w:w="6859" w:type="dxa"/>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tcMar>
              <w:top w:w="113" w:type="dxa"/>
              <w:left w:w="113" w:type="dxa"/>
              <w:bottom w:w="113" w:type="dxa"/>
              <w:right w:w="113" w:type="dxa"/>
            </w:tcMar>
            <w:vAlign w:val="center"/>
          </w:tcPr>
          <w:p w14:paraId="3E16C03F" w14:textId="77777777" w:rsidR="00845C82" w:rsidRDefault="00845C82" w:rsidP="00A87BD3">
            <w:r>
              <w:t>Average cost to complete an arbitration</w:t>
            </w:r>
          </w:p>
        </w:tc>
      </w:tr>
      <w:tr w:rsidR="00845C82" w14:paraId="5A3FA8DD" w14:textId="77777777" w:rsidTr="00BA4EDE">
        <w:trPr>
          <w:trHeight w:val="60"/>
        </w:trPr>
        <w:tc>
          <w:tcPr>
            <w:tcW w:w="772" w:type="dxa"/>
            <w:gridSpan w:val="2"/>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09BB3733" w14:textId="77777777" w:rsidR="00845C82" w:rsidRPr="001C0112" w:rsidRDefault="00845C82" w:rsidP="00A87BD3">
            <w:pPr>
              <w:rPr>
                <w:rStyle w:val="Strong"/>
              </w:rPr>
            </w:pPr>
            <w:r w:rsidRPr="001C0112">
              <w:rPr>
                <w:rStyle w:val="Strong"/>
              </w:rPr>
              <w:t>2.3</w:t>
            </w:r>
          </w:p>
        </w:tc>
        <w:tc>
          <w:tcPr>
            <w:tcW w:w="6859" w:type="dxa"/>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tcMar>
              <w:top w:w="113" w:type="dxa"/>
              <w:left w:w="113" w:type="dxa"/>
              <w:bottom w:w="113" w:type="dxa"/>
              <w:right w:w="113" w:type="dxa"/>
            </w:tcMar>
            <w:vAlign w:val="center"/>
          </w:tcPr>
          <w:p w14:paraId="6E414D4E" w14:textId="77777777" w:rsidR="00845C82" w:rsidRDefault="00845C82" w:rsidP="00A87BD3">
            <w:r>
              <w:t>Average cost to process a Memorandum of Agreement</w:t>
            </w:r>
          </w:p>
        </w:tc>
      </w:tr>
    </w:tbl>
    <w:p w14:paraId="573E061E" w14:textId="77777777" w:rsidR="00845C82" w:rsidRDefault="00845C82" w:rsidP="005B2232">
      <w:pPr>
        <w:rPr>
          <w:lang w:val="en-US"/>
        </w:rPr>
      </w:pPr>
    </w:p>
    <w:p w14:paraId="017D92F4" w14:textId="77777777" w:rsidR="007B6BD6" w:rsidRPr="007E7EE2" w:rsidRDefault="007B6BD6" w:rsidP="007B6BD6">
      <w:pPr>
        <w:pStyle w:val="Heading3nonumber"/>
      </w:pPr>
      <w:bookmarkStart w:id="175" w:name="_Toc426617453"/>
      <w:bookmarkStart w:id="176" w:name="_Toc430091176"/>
      <w:r>
        <w:lastRenderedPageBreak/>
        <w:t>Changes to Key Performance I</w:t>
      </w:r>
      <w:r w:rsidRPr="007E7EE2">
        <w:t>ndicators</w:t>
      </w:r>
      <w:r>
        <w:t xml:space="preserve"> (KPIs) in 2014/15</w:t>
      </w:r>
      <w:bookmarkEnd w:id="175"/>
      <w:bookmarkEnd w:id="176"/>
    </w:p>
    <w:p w14:paraId="497B5D40" w14:textId="135F1F3E" w:rsidR="007B6BD6" w:rsidRPr="00693E6B" w:rsidRDefault="00C726B0" w:rsidP="00A84639">
      <w:r>
        <w:t>WorkCover WA</w:t>
      </w:r>
      <w:r w:rsidR="007B6BD6" w:rsidRPr="00693E6B">
        <w:t xml:space="preserve"> undertakes regular reviews of its OBM and KPI framework to ensure it provides the most suitable measures to indicate the Agency’s performance.</w:t>
      </w:r>
    </w:p>
    <w:p w14:paraId="1CB54C73" w14:textId="6DBE3E30" w:rsidR="007B6BD6" w:rsidRPr="00693E6B" w:rsidRDefault="007B6BD6" w:rsidP="00A84639">
      <w:pPr>
        <w:rPr>
          <w:lang w:eastAsia="en-AU"/>
        </w:rPr>
      </w:pPr>
      <w:r w:rsidRPr="00693E6B">
        <w:rPr>
          <w:lang w:eastAsia="en-AU"/>
        </w:rPr>
        <w:t xml:space="preserve">Changes to the OBM for the 2014/15 reporting year were endorsed by the </w:t>
      </w:r>
      <w:r w:rsidR="005D0F98">
        <w:rPr>
          <w:lang w:eastAsia="en-AU"/>
        </w:rPr>
        <w:t>Board on 20 </w:t>
      </w:r>
      <w:r w:rsidRPr="00693E6B">
        <w:rPr>
          <w:lang w:eastAsia="en-AU"/>
        </w:rPr>
        <w:t>November 2014, approved by the Under Treasurer on 16</w:t>
      </w:r>
      <w:r w:rsidRPr="00693E6B">
        <w:t xml:space="preserve"> December 2014, and noted by the Minister on 5 January 2015</w:t>
      </w:r>
      <w:r w:rsidRPr="00693E6B">
        <w:rPr>
          <w:lang w:eastAsia="en-AU"/>
        </w:rPr>
        <w:t>.</w:t>
      </w:r>
    </w:p>
    <w:p w14:paraId="7242A1CE" w14:textId="77777777" w:rsidR="007B6BD6" w:rsidRPr="00693E6B" w:rsidRDefault="007B6BD6" w:rsidP="00A84639">
      <w:pPr>
        <w:rPr>
          <w:lang w:eastAsia="en-AU"/>
        </w:rPr>
      </w:pPr>
      <w:r w:rsidRPr="00693E6B">
        <w:rPr>
          <w:lang w:eastAsia="en-AU"/>
        </w:rPr>
        <w:t>The two changes to the Agency’s KPIs were as follows:</w:t>
      </w:r>
    </w:p>
    <w:p w14:paraId="0146475D" w14:textId="77777777" w:rsidR="007B6BD6" w:rsidRPr="00693E6B" w:rsidRDefault="00FE0102" w:rsidP="00664937">
      <w:pPr>
        <w:pStyle w:val="Heading4"/>
      </w:pPr>
      <w:r w:rsidRPr="00693E6B">
        <w:t xml:space="preserve">Change 1: </w:t>
      </w:r>
      <w:r w:rsidR="007B6BD6" w:rsidRPr="00693E6B">
        <w:t>Key Effectiveness Indicator 1.2</w:t>
      </w:r>
    </w:p>
    <w:p w14:paraId="1D87EE3D" w14:textId="77777777" w:rsidR="006D5E46" w:rsidRDefault="007B6BD6" w:rsidP="00A84639">
      <w:r w:rsidRPr="00693E6B">
        <w:rPr>
          <w:lang w:eastAsia="en-AU"/>
        </w:rPr>
        <w:t xml:space="preserve">This change involved shortening the title of </w:t>
      </w:r>
      <w:r w:rsidRPr="00693E6B">
        <w:t>Effectiveness KPI 1.</w:t>
      </w:r>
      <w:r w:rsidRPr="00693E6B">
        <w:rPr>
          <w:i/>
        </w:rPr>
        <w:t xml:space="preserve">2 </w:t>
      </w:r>
      <w:r w:rsidRPr="00693E6B">
        <w:t xml:space="preserve">from </w:t>
      </w:r>
    </w:p>
    <w:p w14:paraId="002C6114" w14:textId="17AA7D5C" w:rsidR="007B6BD6" w:rsidRPr="00693E6B" w:rsidRDefault="006D5E46" w:rsidP="00A84639">
      <w:pPr>
        <w:rPr>
          <w:i/>
        </w:rPr>
      </w:pPr>
      <w:r>
        <w:rPr>
          <w:i/>
        </w:rPr>
        <w:t>‘</w:t>
      </w:r>
      <w:r w:rsidR="007B6BD6" w:rsidRPr="00693E6B">
        <w:rPr>
          <w:i/>
        </w:rPr>
        <w:t>The proportion of conciliations</w:t>
      </w:r>
      <w:r w:rsidR="00295578">
        <w:rPr>
          <w:i/>
        </w:rPr>
        <w:t xml:space="preserve"> completed within eight</w:t>
      </w:r>
      <w:r w:rsidR="007B6BD6" w:rsidRPr="00693E6B">
        <w:rPr>
          <w:i/>
        </w:rPr>
        <w:t xml:space="preserve"> weeks of the date the application for conciliation was accepted</w:t>
      </w:r>
      <w:r>
        <w:rPr>
          <w:i/>
        </w:rPr>
        <w:t>’</w:t>
      </w:r>
      <w:r w:rsidR="007B6BD6" w:rsidRPr="00693E6B">
        <w:rPr>
          <w:i/>
        </w:rPr>
        <w:t xml:space="preserve"> </w:t>
      </w:r>
      <w:r w:rsidR="007B6BD6" w:rsidRPr="00693E6B">
        <w:t xml:space="preserve">to </w:t>
      </w:r>
      <w:r>
        <w:t>‘</w:t>
      </w:r>
      <w:r w:rsidR="007B6BD6" w:rsidRPr="00693E6B">
        <w:rPr>
          <w:i/>
        </w:rPr>
        <w:t xml:space="preserve">The proportion of </w:t>
      </w:r>
      <w:r w:rsidR="00295578">
        <w:rPr>
          <w:i/>
        </w:rPr>
        <w:t>conciliations completed within eight</w:t>
      </w:r>
      <w:r w:rsidR="007B6BD6" w:rsidRPr="00693E6B">
        <w:rPr>
          <w:i/>
        </w:rPr>
        <w:t xml:space="preserve"> weeks.</w:t>
      </w:r>
      <w:r>
        <w:rPr>
          <w:i/>
        </w:rPr>
        <w:t>’</w:t>
      </w:r>
    </w:p>
    <w:p w14:paraId="4194E8C6" w14:textId="77777777" w:rsidR="007B6BD6" w:rsidRPr="00693E6B" w:rsidRDefault="007B6BD6" w:rsidP="00664937">
      <w:pPr>
        <w:pStyle w:val="Heading4"/>
      </w:pPr>
      <w:r w:rsidRPr="00693E6B">
        <w:t>What this change means</w:t>
      </w:r>
    </w:p>
    <w:p w14:paraId="08B2D53A" w14:textId="75FDC944" w:rsidR="007B6BD6" w:rsidRPr="00693E6B" w:rsidRDefault="007B6BD6" w:rsidP="00A84639">
      <w:r w:rsidRPr="00693E6B">
        <w:t xml:space="preserve">Including the words </w:t>
      </w:r>
      <w:r w:rsidRPr="006D5E46">
        <w:rPr>
          <w:i/>
        </w:rPr>
        <w:t>“of the date the application for conciliation was accepted</w:t>
      </w:r>
      <w:r w:rsidRPr="00693E6B">
        <w:t>” in the title of the KPI is unnecessary and simply state</w:t>
      </w:r>
      <w:r w:rsidR="00DB5487">
        <w:t>d</w:t>
      </w:r>
      <w:r w:rsidRPr="00693E6B">
        <w:t xml:space="preserve"> part of the methodology used to determine the indicator outcome. No change </w:t>
      </w:r>
      <w:r w:rsidR="00DB5487">
        <w:t>was made</w:t>
      </w:r>
      <w:r w:rsidRPr="00693E6B">
        <w:t xml:space="preserve"> to the methodology of the KPI and the shortened name brings the title more in line with other agency KPIs.</w:t>
      </w:r>
    </w:p>
    <w:p w14:paraId="4FAABF40" w14:textId="77777777" w:rsidR="00FE0102" w:rsidRPr="00693E6B" w:rsidRDefault="00FE0102" w:rsidP="00664937">
      <w:pPr>
        <w:pStyle w:val="Heading4"/>
      </w:pPr>
      <w:r w:rsidRPr="00693E6B">
        <w:t>Change 2: Key Effectiveness Indicator 1.3</w:t>
      </w:r>
    </w:p>
    <w:p w14:paraId="6477E865" w14:textId="48042598" w:rsidR="007B6BD6" w:rsidRPr="00693E6B" w:rsidRDefault="00FE0102" w:rsidP="00A84639">
      <w:r w:rsidRPr="00693E6B">
        <w:rPr>
          <w:lang w:eastAsia="en-AU"/>
        </w:rPr>
        <w:t>This change involved r</w:t>
      </w:r>
      <w:r w:rsidR="007B6BD6" w:rsidRPr="00693E6B">
        <w:rPr>
          <w:lang w:eastAsia="en-AU"/>
        </w:rPr>
        <w:t xml:space="preserve">eplacing effectiveness KPI 1.3 </w:t>
      </w:r>
      <w:r w:rsidR="007B6BD6" w:rsidRPr="00693E6B">
        <w:rPr>
          <w:i/>
        </w:rPr>
        <w:t>The average number of days to resolve a dispute</w:t>
      </w:r>
      <w:r w:rsidR="007B6BD6" w:rsidRPr="00693E6B">
        <w:rPr>
          <w:lang w:eastAsia="en-AU"/>
        </w:rPr>
        <w:t xml:space="preserve"> with a new KPI </w:t>
      </w:r>
      <w:r w:rsidR="007B6BD6" w:rsidRPr="00693E6B">
        <w:rPr>
          <w:i/>
          <w:lang w:eastAsia="en-AU"/>
        </w:rPr>
        <w:t>The proporti</w:t>
      </w:r>
      <w:r w:rsidR="00295578">
        <w:rPr>
          <w:i/>
          <w:lang w:eastAsia="en-AU"/>
        </w:rPr>
        <w:t>on of disputes resolved within six</w:t>
      </w:r>
      <w:r w:rsidR="007B6BD6" w:rsidRPr="00693E6B">
        <w:rPr>
          <w:i/>
          <w:lang w:eastAsia="en-AU"/>
        </w:rPr>
        <w:t xml:space="preserve"> months</w:t>
      </w:r>
      <w:r w:rsidR="007B6BD6" w:rsidRPr="00693E6B">
        <w:rPr>
          <w:lang w:eastAsia="en-AU"/>
        </w:rPr>
        <w:t xml:space="preserve"> to better show the overall performance of </w:t>
      </w:r>
      <w:r w:rsidR="00C726B0">
        <w:rPr>
          <w:lang w:eastAsia="en-AU"/>
        </w:rPr>
        <w:t>WorkCover WA</w:t>
      </w:r>
      <w:r w:rsidR="007B6BD6" w:rsidRPr="00693E6B">
        <w:rPr>
          <w:lang w:eastAsia="en-AU"/>
        </w:rPr>
        <w:t xml:space="preserve"> in resolving disputes.</w:t>
      </w:r>
    </w:p>
    <w:p w14:paraId="671B44FA" w14:textId="77777777" w:rsidR="00FE0102" w:rsidRPr="00693E6B" w:rsidRDefault="00FE0102" w:rsidP="00664937">
      <w:pPr>
        <w:pStyle w:val="Heading4"/>
      </w:pPr>
      <w:r w:rsidRPr="00693E6B">
        <w:t>What this change means</w:t>
      </w:r>
    </w:p>
    <w:p w14:paraId="1C32264E" w14:textId="43919CB2" w:rsidR="007B6BD6" w:rsidRDefault="007B6BD6" w:rsidP="00A84639">
      <w:r w:rsidRPr="00693E6B">
        <w:t>The new KPI shows the percentage of disputes resolved within six months from the initial date of acceptance</w:t>
      </w:r>
      <w:r w:rsidR="007927F9">
        <w:t xml:space="preserve"> for conciliation through to the day they are resolved </w:t>
      </w:r>
      <w:r w:rsidR="00DB5487">
        <w:t>through</w:t>
      </w:r>
      <w:r w:rsidR="007927F9">
        <w:t xml:space="preserve"> conciliation or arbitration</w:t>
      </w:r>
      <w:r w:rsidRPr="00693E6B">
        <w:t>.</w:t>
      </w:r>
    </w:p>
    <w:p w14:paraId="1E7D1730" w14:textId="77777777" w:rsidR="00033D2E" w:rsidRPr="00693E6B" w:rsidRDefault="00033D2E" w:rsidP="00033D2E">
      <w:pPr>
        <w:rPr>
          <w:lang w:eastAsia="en-AU"/>
        </w:rPr>
      </w:pPr>
      <w:r>
        <w:rPr>
          <w:lang w:eastAsia="en-AU"/>
        </w:rPr>
        <w:t>The KPI</w:t>
      </w:r>
      <w:r w:rsidRPr="00693E6B">
        <w:rPr>
          <w:i/>
        </w:rPr>
        <w:t xml:space="preserve"> </w:t>
      </w:r>
      <w:r w:rsidRPr="00693E6B">
        <w:t xml:space="preserve">is based on a long established metric calculated at a national level to </w:t>
      </w:r>
      <w:r>
        <w:t>compare</w:t>
      </w:r>
      <w:r w:rsidRPr="00693E6B">
        <w:rPr>
          <w:lang w:eastAsia="en-AU"/>
        </w:rPr>
        <w:t xml:space="preserve"> </w:t>
      </w:r>
      <w:r w:rsidRPr="00693E6B">
        <w:t>the performance of workers’ compensation dispute resolution</w:t>
      </w:r>
      <w:r>
        <w:t xml:space="preserve"> systems</w:t>
      </w:r>
      <w:r w:rsidRPr="00693E6B">
        <w:t>.</w:t>
      </w:r>
      <w:r>
        <w:t xml:space="preserve"> </w:t>
      </w:r>
      <w:r w:rsidRPr="00693E6B">
        <w:t xml:space="preserve">This comparative information is provided in </w:t>
      </w:r>
      <w:r w:rsidRPr="00693E6B">
        <w:rPr>
          <w:lang w:eastAsia="en-AU"/>
        </w:rPr>
        <w:t xml:space="preserve">an annual performance monitoring report produced by Safe Work Australia </w:t>
      </w:r>
      <w:r>
        <w:rPr>
          <w:lang w:eastAsia="en-AU"/>
        </w:rPr>
        <w:t>which</w:t>
      </w:r>
      <w:r w:rsidRPr="00693E6B">
        <w:rPr>
          <w:lang w:eastAsia="en-AU"/>
        </w:rPr>
        <w:t xml:space="preserve"> includes comparison of the performance of workers’ compensation dispute resolution agencies across Australia and New Zealand.</w:t>
      </w:r>
    </w:p>
    <w:p w14:paraId="02EF05F2" w14:textId="61F8206D" w:rsidR="007B6BD6" w:rsidRPr="00693E6B" w:rsidRDefault="007B6BD6" w:rsidP="00A84639">
      <w:pPr>
        <w:rPr>
          <w:lang w:eastAsia="en-AU"/>
        </w:rPr>
      </w:pPr>
      <w:r w:rsidRPr="00693E6B">
        <w:rPr>
          <w:lang w:eastAsia="en-AU"/>
        </w:rPr>
        <w:lastRenderedPageBreak/>
        <w:t xml:space="preserve">The </w:t>
      </w:r>
      <w:r w:rsidR="00033D2E">
        <w:rPr>
          <w:lang w:eastAsia="en-AU"/>
        </w:rPr>
        <w:t xml:space="preserve">new </w:t>
      </w:r>
      <w:r w:rsidRPr="00693E6B">
        <w:rPr>
          <w:lang w:eastAsia="en-AU"/>
        </w:rPr>
        <w:t>KPI covers all disputes resolved throu</w:t>
      </w:r>
      <w:r w:rsidR="00FE0102" w:rsidRPr="00693E6B">
        <w:rPr>
          <w:lang w:eastAsia="en-AU"/>
        </w:rPr>
        <w:t>gh conciliation or arbitration. The discontinued KPI</w:t>
      </w:r>
      <w:r w:rsidR="004001A8" w:rsidRPr="00693E6B">
        <w:rPr>
          <w:lang w:eastAsia="en-AU"/>
        </w:rPr>
        <w:t>,</w:t>
      </w:r>
      <w:r w:rsidR="00FE0102" w:rsidRPr="00693E6B">
        <w:rPr>
          <w:lang w:eastAsia="en-AU"/>
        </w:rPr>
        <w:t xml:space="preserve"> </w:t>
      </w:r>
      <w:r w:rsidRPr="00693E6B">
        <w:rPr>
          <w:lang w:eastAsia="en-AU"/>
        </w:rPr>
        <w:t>‘</w:t>
      </w:r>
      <w:r w:rsidRPr="00693E6B">
        <w:rPr>
          <w:i/>
        </w:rPr>
        <w:t>The average number of days to resolve a dispute’</w:t>
      </w:r>
      <w:r w:rsidR="004001A8" w:rsidRPr="00693E6B">
        <w:t>,</w:t>
      </w:r>
      <w:r w:rsidRPr="00693E6B">
        <w:rPr>
          <w:lang w:eastAsia="en-AU"/>
        </w:rPr>
        <w:t xml:space="preserve"> only measured disputes </w:t>
      </w:r>
      <w:r w:rsidR="00FE0102" w:rsidRPr="00693E6B">
        <w:rPr>
          <w:lang w:eastAsia="en-AU"/>
        </w:rPr>
        <w:t>finalised through arbitration.</w:t>
      </w:r>
    </w:p>
    <w:p w14:paraId="7ECD97D0" w14:textId="0700D01D" w:rsidR="007B6BD6" w:rsidRPr="00033D2E" w:rsidRDefault="00113672" w:rsidP="00A84639">
      <w:pPr>
        <w:rPr>
          <w:lang w:eastAsia="en-AU"/>
        </w:rPr>
      </w:pPr>
      <w:r w:rsidRPr="00693E6B">
        <w:rPr>
          <w:lang w:eastAsia="en-AU"/>
        </w:rPr>
        <w:t xml:space="preserve">The discontinued KPI suggested case duration was typically lengthy, however </w:t>
      </w:r>
      <w:r w:rsidR="00204B99">
        <w:rPr>
          <w:lang w:eastAsia="en-AU"/>
        </w:rPr>
        <w:t xml:space="preserve">these results were misleading </w:t>
      </w:r>
      <w:r w:rsidRPr="00693E6B">
        <w:rPr>
          <w:lang w:eastAsia="en-AU"/>
        </w:rPr>
        <w:t>as only</w:t>
      </w:r>
      <w:r w:rsidR="004001A8" w:rsidRPr="00693E6B">
        <w:rPr>
          <w:lang w:eastAsia="en-AU"/>
        </w:rPr>
        <w:t xml:space="preserve"> 22 </w:t>
      </w:r>
      <w:r w:rsidR="007B6BD6" w:rsidRPr="00693E6B">
        <w:rPr>
          <w:lang w:eastAsia="en-AU"/>
        </w:rPr>
        <w:t>per</w:t>
      </w:r>
      <w:r w:rsidR="004001A8" w:rsidRPr="00693E6B">
        <w:rPr>
          <w:lang w:eastAsia="en-AU"/>
        </w:rPr>
        <w:t xml:space="preserve"> </w:t>
      </w:r>
      <w:r w:rsidR="007B6BD6" w:rsidRPr="00693E6B">
        <w:rPr>
          <w:lang w:eastAsia="en-AU"/>
        </w:rPr>
        <w:t>cent of all disputed matters proceeded to arbitration</w:t>
      </w:r>
      <w:r w:rsidR="004001A8" w:rsidRPr="00693E6B">
        <w:rPr>
          <w:lang w:eastAsia="en-AU"/>
        </w:rPr>
        <w:t xml:space="preserve"> in 2013/14</w:t>
      </w:r>
      <w:r w:rsidRPr="00693E6B">
        <w:rPr>
          <w:lang w:eastAsia="en-AU"/>
        </w:rPr>
        <w:t xml:space="preserve"> </w:t>
      </w:r>
      <w:r w:rsidR="00204B99" w:rsidRPr="00693E6B">
        <w:rPr>
          <w:rFonts w:cs="Arial"/>
        </w:rPr>
        <w:t>with an average of 190 days to resolution relative to a target of 126 days</w:t>
      </w:r>
      <w:r w:rsidR="00204B99">
        <w:rPr>
          <w:lang w:eastAsia="en-AU"/>
        </w:rPr>
        <w:t>.</w:t>
      </w:r>
    </w:p>
    <w:p w14:paraId="06033637" w14:textId="05B16280" w:rsidR="00204B99" w:rsidRPr="00204B99" w:rsidRDefault="00204B99" w:rsidP="00A84639">
      <w:r w:rsidRPr="00204B99">
        <w:t xml:space="preserve">Refer to </w:t>
      </w:r>
      <w:r w:rsidRPr="00107165">
        <w:rPr>
          <w:i/>
        </w:rPr>
        <w:t>Section 6: Key Performance Indicators</w:t>
      </w:r>
      <w:r w:rsidRPr="00204B99">
        <w:t xml:space="preserve"> from </w:t>
      </w:r>
      <w:r w:rsidRPr="00E475FB">
        <w:t xml:space="preserve">page </w:t>
      </w:r>
      <w:r w:rsidR="00BA3342" w:rsidRPr="00E475FB">
        <w:t>13</w:t>
      </w:r>
      <w:r w:rsidR="00E475FB" w:rsidRPr="00E475FB">
        <w:t>7</w:t>
      </w:r>
      <w:r w:rsidRPr="00E475FB">
        <w:t xml:space="preserve"> for </w:t>
      </w:r>
      <w:r w:rsidRPr="00204B99">
        <w:t xml:space="preserve">detailed information on </w:t>
      </w:r>
      <w:r w:rsidR="00C726B0">
        <w:t>WorkCover WA</w:t>
      </w:r>
      <w:r w:rsidRPr="00204B99">
        <w:t>’s KPIs</w:t>
      </w:r>
      <w:r w:rsidR="00BA4EDE">
        <w:t xml:space="preserve"> </w:t>
      </w:r>
      <w:r w:rsidRPr="00204B99">
        <w:t>.</w:t>
      </w:r>
    </w:p>
    <w:p w14:paraId="37EBA005" w14:textId="132C5A5B" w:rsidR="007F6C40" w:rsidRPr="00921B75" w:rsidRDefault="00E318C1" w:rsidP="00921B75">
      <w:pPr>
        <w:pStyle w:val="Heading2nonumber"/>
      </w:pPr>
      <w:bookmarkStart w:id="177" w:name="_Toc399316936"/>
      <w:bookmarkStart w:id="178" w:name="_Toc426617454"/>
      <w:bookmarkStart w:id="179" w:name="_Toc430091177"/>
      <w:r>
        <w:t xml:space="preserve">Strategic Plan 2012 – </w:t>
      </w:r>
      <w:r w:rsidR="00606DC8" w:rsidRPr="00921B75">
        <w:t>2015</w:t>
      </w:r>
      <w:bookmarkEnd w:id="177"/>
      <w:bookmarkEnd w:id="178"/>
      <w:bookmarkEnd w:id="179"/>
    </w:p>
    <w:p w14:paraId="6566B7A1" w14:textId="6FF804AC" w:rsidR="009257D2" w:rsidRPr="009257D2" w:rsidRDefault="00C726B0" w:rsidP="009257D2">
      <w:r>
        <w:t>WorkCover WA</w:t>
      </w:r>
      <w:r w:rsidR="009257D2" w:rsidRPr="009257D2">
        <w:t xml:space="preserve">’s operations are </w:t>
      </w:r>
      <w:r w:rsidR="004518E7">
        <w:t>guided by our</w:t>
      </w:r>
      <w:r w:rsidR="00EB5087">
        <w:t xml:space="preserve"> Strategic P</w:t>
      </w:r>
      <w:r w:rsidR="009257D2" w:rsidRPr="009257D2">
        <w:t>lan</w:t>
      </w:r>
      <w:r w:rsidR="004518E7">
        <w:t>.</w:t>
      </w:r>
    </w:p>
    <w:p w14:paraId="309F9732" w14:textId="40327A95" w:rsidR="0001568C" w:rsidRDefault="0001568C" w:rsidP="00512B31">
      <w:r w:rsidRPr="0001568C">
        <w:t xml:space="preserve">The </w:t>
      </w:r>
      <w:r w:rsidR="00190EAD" w:rsidRPr="0059197A">
        <w:rPr>
          <w:rStyle w:val="Emphasis"/>
        </w:rPr>
        <w:t>Strategic Plan 2012–2015</w:t>
      </w:r>
      <w:r w:rsidRPr="0001568C">
        <w:t xml:space="preserve"> recognises and reflects the Agency’s increasing maturity as an organisation, and the significant gains that have been made to </w:t>
      </w:r>
      <w:r w:rsidR="004518E7">
        <w:t>the scheme and the organisation through a focus on our stakeholders, regulation and organisational excellence.</w:t>
      </w:r>
      <w:r w:rsidR="004518E7" w:rsidRPr="0001568C">
        <w:t xml:space="preserve"> </w:t>
      </w:r>
    </w:p>
    <w:p w14:paraId="75782EBB" w14:textId="77777777" w:rsidR="00606DC8" w:rsidRDefault="00606DC8" w:rsidP="00664937">
      <w:pPr>
        <w:pStyle w:val="Heading4"/>
      </w:pPr>
      <w:r>
        <w:t xml:space="preserve">Strategic goals and initiatives </w:t>
      </w:r>
    </w:p>
    <w:p w14:paraId="1EA5A669" w14:textId="790C087B" w:rsidR="009257D2" w:rsidRPr="009257D2" w:rsidRDefault="009257D2" w:rsidP="009257D2">
      <w:r w:rsidRPr="009257D2">
        <w:t xml:space="preserve">The </w:t>
      </w:r>
      <w:r w:rsidRPr="009257D2">
        <w:rPr>
          <w:iCs/>
        </w:rPr>
        <w:t xml:space="preserve">Agency’s </w:t>
      </w:r>
      <w:r w:rsidRPr="009257D2">
        <w:rPr>
          <w:i/>
          <w:iCs/>
        </w:rPr>
        <w:t xml:space="preserve">Strategic Plan 2012–2015 </w:t>
      </w:r>
      <w:r w:rsidR="00107D56">
        <w:t>outlines</w:t>
      </w:r>
      <w:r w:rsidRPr="009257D2">
        <w:t xml:space="preserve"> four strategic goals that frame </w:t>
      </w:r>
      <w:r w:rsidR="00C726B0">
        <w:t>WorkCover WA</w:t>
      </w:r>
      <w:r w:rsidR="004518E7">
        <w:t>’s business plans.</w:t>
      </w:r>
    </w:p>
    <w:p w14:paraId="53EDC1F7" w14:textId="77777777" w:rsidR="004E0AA0" w:rsidRPr="0001568C" w:rsidRDefault="004E0AA0" w:rsidP="004E0AA0">
      <w:r w:rsidRPr="0001568C">
        <w:t>The four strategic goals are:</w:t>
      </w:r>
    </w:p>
    <w:p w14:paraId="633706EE" w14:textId="77777777" w:rsidR="004E0AA0" w:rsidRPr="004E0AA0" w:rsidRDefault="004E0AA0" w:rsidP="00AA6859">
      <w:pPr>
        <w:pStyle w:val="NumberedlistLevel1"/>
        <w:numPr>
          <w:ilvl w:val="0"/>
          <w:numId w:val="6"/>
        </w:numPr>
        <w:rPr>
          <w:rStyle w:val="Strong"/>
        </w:rPr>
      </w:pPr>
      <w:r w:rsidRPr="004E0AA0">
        <w:rPr>
          <w:rStyle w:val="Strong"/>
        </w:rPr>
        <w:t>Strategic scheme management</w:t>
      </w:r>
    </w:p>
    <w:p w14:paraId="5111CF5F" w14:textId="77777777" w:rsidR="004E0AA0" w:rsidRPr="004E0AA0" w:rsidRDefault="004E0AA0" w:rsidP="00AA6859">
      <w:pPr>
        <w:pStyle w:val="NumberedlistLevel1"/>
        <w:numPr>
          <w:ilvl w:val="0"/>
          <w:numId w:val="6"/>
        </w:numPr>
        <w:rPr>
          <w:rStyle w:val="Strong"/>
        </w:rPr>
      </w:pPr>
      <w:r w:rsidRPr="004E0AA0">
        <w:rPr>
          <w:rStyle w:val="Strong"/>
        </w:rPr>
        <w:t>Stakeholder confidence and engagement</w:t>
      </w:r>
    </w:p>
    <w:p w14:paraId="334D5378" w14:textId="77777777" w:rsidR="004E0AA0" w:rsidRPr="004E0AA0" w:rsidRDefault="004E0AA0" w:rsidP="00AA6859">
      <w:pPr>
        <w:pStyle w:val="NumberedlistLevel1"/>
        <w:numPr>
          <w:ilvl w:val="0"/>
          <w:numId w:val="6"/>
        </w:numPr>
        <w:rPr>
          <w:rStyle w:val="Strong"/>
        </w:rPr>
      </w:pPr>
      <w:r w:rsidRPr="004E0AA0">
        <w:rPr>
          <w:rStyle w:val="Strong"/>
        </w:rPr>
        <w:t>Regulatory compliance</w:t>
      </w:r>
    </w:p>
    <w:p w14:paraId="3887E1E9" w14:textId="77777777" w:rsidR="004E0AA0" w:rsidRPr="004E0AA0" w:rsidRDefault="004E0AA0" w:rsidP="00AA6859">
      <w:pPr>
        <w:pStyle w:val="NumberedlistLevel1"/>
        <w:numPr>
          <w:ilvl w:val="0"/>
          <w:numId w:val="6"/>
        </w:numPr>
        <w:rPr>
          <w:rStyle w:val="Strong"/>
        </w:rPr>
      </w:pPr>
      <w:r w:rsidRPr="004E0AA0">
        <w:rPr>
          <w:rStyle w:val="Strong"/>
        </w:rPr>
        <w:t>Organisational excellence</w:t>
      </w:r>
    </w:p>
    <w:p w14:paraId="4FF26DC7" w14:textId="73D2A93E" w:rsidR="009257D2" w:rsidRPr="0001568C" w:rsidRDefault="002225E6" w:rsidP="009257D2">
      <w:r>
        <w:t>Across</w:t>
      </w:r>
      <w:r w:rsidR="009257D2" w:rsidRPr="0001568C">
        <w:t xml:space="preserve"> each year of the </w:t>
      </w:r>
      <w:r w:rsidR="009257D2">
        <w:t>S</w:t>
      </w:r>
      <w:r w:rsidR="009257D2" w:rsidRPr="0001568C">
        <w:t xml:space="preserve">trategic </w:t>
      </w:r>
      <w:r w:rsidR="009257D2">
        <w:t>P</w:t>
      </w:r>
      <w:r w:rsidR="009257D2" w:rsidRPr="0001568C">
        <w:t xml:space="preserve">lan, </w:t>
      </w:r>
      <w:r w:rsidR="00C726B0">
        <w:t>WorkCover WA</w:t>
      </w:r>
      <w:r w:rsidR="009257D2" w:rsidRPr="0001568C">
        <w:t xml:space="preserve"> outlines Strategic Initiatives </w:t>
      </w:r>
      <w:r>
        <w:t xml:space="preserve">which are delivered </w:t>
      </w:r>
      <w:r w:rsidR="009257D2" w:rsidRPr="0001568C">
        <w:t xml:space="preserve">within that financial year. These </w:t>
      </w:r>
      <w:r w:rsidR="009257D2">
        <w:t xml:space="preserve">initiatives </w:t>
      </w:r>
      <w:r w:rsidR="009257D2" w:rsidRPr="0001568C">
        <w:t xml:space="preserve">are aligned with, and contribute to, one or more of the four </w:t>
      </w:r>
      <w:r w:rsidR="005039F7">
        <w:t>s</w:t>
      </w:r>
      <w:r w:rsidR="009257D2" w:rsidRPr="0001568C">
        <w:t xml:space="preserve">trategic </w:t>
      </w:r>
      <w:r w:rsidR="005039F7">
        <w:t>g</w:t>
      </w:r>
      <w:r w:rsidR="009257D2" w:rsidRPr="0001568C">
        <w:t>oals.</w:t>
      </w:r>
    </w:p>
    <w:p w14:paraId="226A45BC" w14:textId="3A7152A7" w:rsidR="009257D2" w:rsidRPr="009257D2" w:rsidRDefault="009257D2" w:rsidP="009257D2">
      <w:pPr>
        <w:rPr>
          <w:b/>
          <w:bCs/>
        </w:rPr>
      </w:pPr>
      <w:r w:rsidRPr="0001568C">
        <w:t xml:space="preserve">To view the Agency’s performance against </w:t>
      </w:r>
      <w:r>
        <w:t>the</w:t>
      </w:r>
      <w:r w:rsidRPr="0001568C">
        <w:t xml:space="preserve"> 201</w:t>
      </w:r>
      <w:r w:rsidR="00262BE9">
        <w:t>4</w:t>
      </w:r>
      <w:r w:rsidRPr="0001568C">
        <w:t>/1</w:t>
      </w:r>
      <w:r w:rsidR="00262BE9">
        <w:t>5</w:t>
      </w:r>
      <w:r w:rsidRPr="0001568C">
        <w:t xml:space="preserve"> Strategic </w:t>
      </w:r>
      <w:r>
        <w:t>Initiatives</w:t>
      </w:r>
      <w:r w:rsidRPr="0001568C">
        <w:t xml:space="preserve"> </w:t>
      </w:r>
      <w:r w:rsidR="00E318C1">
        <w:t xml:space="preserve">refer </w:t>
      </w:r>
      <w:r w:rsidRPr="0001568C">
        <w:t xml:space="preserve">to </w:t>
      </w:r>
      <w:r w:rsidRPr="00E475FB">
        <w:t>page</w:t>
      </w:r>
      <w:r w:rsidR="00BA3342" w:rsidRPr="00E475FB">
        <w:t xml:space="preserve"> 9</w:t>
      </w:r>
      <w:r w:rsidR="00E475FB" w:rsidRPr="00E475FB">
        <w:t>9</w:t>
      </w:r>
      <w:r w:rsidR="00784A24" w:rsidRPr="00E475FB">
        <w:t>.</w:t>
      </w:r>
    </w:p>
    <w:p w14:paraId="6AECAEA8" w14:textId="77777777" w:rsidR="001C0112" w:rsidRDefault="001C0112">
      <w:pPr>
        <w:keepLines w:val="0"/>
        <w:spacing w:after="0" w:line="240" w:lineRule="auto"/>
        <w:rPr>
          <w:rFonts w:ascii="Verdana" w:hAnsi="Verdana" w:cs="Arial"/>
          <w:b/>
          <w:bCs/>
          <w:color w:val="86731E" w:themeColor="text1"/>
          <w:szCs w:val="20"/>
        </w:rPr>
      </w:pPr>
      <w:bookmarkStart w:id="180" w:name="_Toc426617455"/>
      <w:r>
        <w:br w:type="page"/>
      </w:r>
    </w:p>
    <w:p w14:paraId="6201F9FD" w14:textId="78B8F71B" w:rsidR="002C008B" w:rsidRDefault="002C008B" w:rsidP="0051219B">
      <w:pPr>
        <w:pStyle w:val="Heading3nonumber"/>
      </w:pPr>
      <w:bookmarkStart w:id="181" w:name="_Toc430091178"/>
      <w:r>
        <w:lastRenderedPageBreak/>
        <w:t>Outlook for the future</w:t>
      </w:r>
      <w:bookmarkEnd w:id="180"/>
      <w:bookmarkEnd w:id="181"/>
      <w:r>
        <w:t xml:space="preserve"> </w:t>
      </w:r>
    </w:p>
    <w:p w14:paraId="3C20A88A" w14:textId="136A305F" w:rsidR="006242FE" w:rsidRDefault="00C726B0" w:rsidP="009257D2">
      <w:pPr>
        <w:rPr>
          <w:lang w:val="en-US"/>
        </w:rPr>
      </w:pPr>
      <w:r>
        <w:rPr>
          <w:lang w:val="en-US"/>
        </w:rPr>
        <w:t>WorkCover WA</w:t>
      </w:r>
      <w:r w:rsidR="006242FE">
        <w:rPr>
          <w:lang w:val="en-US"/>
        </w:rPr>
        <w:t xml:space="preserve">’s new </w:t>
      </w:r>
      <w:r w:rsidR="006242FE" w:rsidRPr="00107165">
        <w:rPr>
          <w:i/>
          <w:lang w:val="en-US"/>
        </w:rPr>
        <w:t>Strategic Plan 2015–</w:t>
      </w:r>
      <w:r w:rsidR="004876FA" w:rsidRPr="00107165">
        <w:rPr>
          <w:i/>
          <w:lang w:val="en-US"/>
        </w:rPr>
        <w:t>2018</w:t>
      </w:r>
      <w:r w:rsidR="004876FA">
        <w:rPr>
          <w:lang w:val="en-US"/>
        </w:rPr>
        <w:t xml:space="preserve"> took</w:t>
      </w:r>
      <w:r w:rsidR="006242FE">
        <w:rPr>
          <w:lang w:val="en-US"/>
        </w:rPr>
        <w:t xml:space="preserve"> effect on 1 July 2015 and positions the Agency to meet the challenges ahead with renewed purpose.</w:t>
      </w:r>
    </w:p>
    <w:p w14:paraId="75D3F32B" w14:textId="1821FCCA" w:rsidR="006242FE" w:rsidRDefault="006242FE" w:rsidP="009257D2">
      <w:pPr>
        <w:rPr>
          <w:lang w:val="en-US"/>
        </w:rPr>
      </w:pPr>
      <w:r>
        <w:rPr>
          <w:lang w:val="en-US"/>
        </w:rPr>
        <w:t xml:space="preserve">The </w:t>
      </w:r>
      <w:r w:rsidR="00763C85">
        <w:rPr>
          <w:lang w:val="en-US"/>
        </w:rPr>
        <w:t xml:space="preserve">plan </w:t>
      </w:r>
      <w:r w:rsidR="001A6635">
        <w:rPr>
          <w:lang w:val="en-US"/>
        </w:rPr>
        <w:t>articulates</w:t>
      </w:r>
      <w:r>
        <w:rPr>
          <w:lang w:val="en-US"/>
        </w:rPr>
        <w:t xml:space="preserve"> operational themes </w:t>
      </w:r>
      <w:r w:rsidR="00DB5487">
        <w:rPr>
          <w:lang w:val="en-US"/>
        </w:rPr>
        <w:t>underpinning</w:t>
      </w:r>
      <w:r>
        <w:rPr>
          <w:lang w:val="en-US"/>
        </w:rPr>
        <w:t xml:space="preserve"> three redefined strategic goals:</w:t>
      </w:r>
    </w:p>
    <w:p w14:paraId="1BCE0B44" w14:textId="331C40C1" w:rsidR="006242FE" w:rsidRDefault="006242FE" w:rsidP="00A16123">
      <w:pPr>
        <w:pStyle w:val="ListParagraph"/>
        <w:numPr>
          <w:ilvl w:val="0"/>
          <w:numId w:val="9"/>
        </w:numPr>
        <w:rPr>
          <w:lang w:val="en-US"/>
        </w:rPr>
      </w:pPr>
      <w:r>
        <w:rPr>
          <w:lang w:val="en-US"/>
        </w:rPr>
        <w:t>Strategic Scheme Management</w:t>
      </w:r>
    </w:p>
    <w:p w14:paraId="3F18BD20" w14:textId="666F5150" w:rsidR="006242FE" w:rsidRDefault="006242FE" w:rsidP="00A16123">
      <w:pPr>
        <w:pStyle w:val="ListParagraph"/>
        <w:numPr>
          <w:ilvl w:val="0"/>
          <w:numId w:val="9"/>
        </w:numPr>
        <w:rPr>
          <w:lang w:val="en-US"/>
        </w:rPr>
      </w:pPr>
      <w:r>
        <w:rPr>
          <w:lang w:val="en-US"/>
        </w:rPr>
        <w:t>Leadership</w:t>
      </w:r>
    </w:p>
    <w:p w14:paraId="5DECF491" w14:textId="33684A53" w:rsidR="006242FE" w:rsidRDefault="006242FE" w:rsidP="00A16123">
      <w:pPr>
        <w:pStyle w:val="ListParagraph"/>
        <w:numPr>
          <w:ilvl w:val="0"/>
          <w:numId w:val="9"/>
        </w:numPr>
        <w:rPr>
          <w:lang w:val="en-US"/>
        </w:rPr>
      </w:pPr>
      <w:r>
        <w:rPr>
          <w:lang w:val="en-US"/>
        </w:rPr>
        <w:t>Agile and Innovative Organisation</w:t>
      </w:r>
    </w:p>
    <w:p w14:paraId="20EBDE96" w14:textId="676A9CE6" w:rsidR="006242FE" w:rsidRDefault="006242FE" w:rsidP="006242FE">
      <w:pPr>
        <w:rPr>
          <w:lang w:val="en-US"/>
        </w:rPr>
      </w:pPr>
      <w:r>
        <w:rPr>
          <w:lang w:val="en-US"/>
        </w:rPr>
        <w:br/>
        <w:t xml:space="preserve">The Agency’s commitment to achieving these goals provides opportunities to further strengthen </w:t>
      </w:r>
      <w:r w:rsidR="00C726B0">
        <w:rPr>
          <w:lang w:val="en-US"/>
        </w:rPr>
        <w:t>WorkCover WA</w:t>
      </w:r>
      <w:r>
        <w:rPr>
          <w:lang w:val="en-US"/>
        </w:rPr>
        <w:t xml:space="preserve"> and make Western Australia’s workers’ compensation and injury management scheme the best in Australia.</w:t>
      </w:r>
    </w:p>
    <w:p w14:paraId="2E9F6C2E" w14:textId="0078696C" w:rsidR="004876FA" w:rsidRPr="004876FA" w:rsidRDefault="004876FA" w:rsidP="006242FE">
      <w:pPr>
        <w:rPr>
          <w:lang w:val="en-US"/>
        </w:rPr>
      </w:pPr>
      <w:r>
        <w:rPr>
          <w:lang w:val="en-US"/>
        </w:rPr>
        <w:t xml:space="preserve">View the </w:t>
      </w:r>
      <w:r>
        <w:rPr>
          <w:i/>
          <w:lang w:val="en-US"/>
        </w:rPr>
        <w:t xml:space="preserve">Strategic Plan 2015–2018 </w:t>
      </w:r>
      <w:r>
        <w:rPr>
          <w:lang w:val="en-US"/>
        </w:rPr>
        <w:t>at</w:t>
      </w:r>
      <w:r w:rsidRPr="00127960">
        <w:rPr>
          <w:shd w:val="clear" w:color="auto" w:fill="F2F2F2" w:themeFill="background1" w:themeFillShade="F2"/>
          <w:lang w:val="en-US"/>
        </w:rPr>
        <w:t xml:space="preserve"> </w:t>
      </w:r>
      <w:r w:rsidRPr="007D11E4">
        <w:rPr>
          <w:b/>
          <w:lang w:val="en-US"/>
        </w:rPr>
        <w:t>workcover.wa.gov.au/about-us/workcover-wa-at-a-glance/strategic-direction/</w:t>
      </w:r>
    </w:p>
    <w:p w14:paraId="152E2869" w14:textId="3E742F6F" w:rsidR="001C0112" w:rsidRDefault="00D60C3D" w:rsidP="009257D2">
      <w:pPr>
        <w:rPr>
          <w:lang w:val="en-US"/>
        </w:rPr>
      </w:pPr>
      <w:r>
        <w:rPr>
          <w:lang w:val="en-US"/>
        </w:rPr>
        <w:t xml:space="preserve">Aligned with the three goals of the new strategic plan, </w:t>
      </w:r>
      <w:r w:rsidR="00C726B0">
        <w:rPr>
          <w:lang w:val="en-US"/>
        </w:rPr>
        <w:t>WorkCover WA</w:t>
      </w:r>
      <w:r w:rsidR="009257D2" w:rsidRPr="009257D2">
        <w:rPr>
          <w:lang w:val="en-US"/>
        </w:rPr>
        <w:t>’</w:t>
      </w:r>
      <w:r>
        <w:rPr>
          <w:lang w:val="en-US"/>
        </w:rPr>
        <w:t xml:space="preserve">s Strategic Initiatives for 2015/16 </w:t>
      </w:r>
      <w:r w:rsidR="009257D2" w:rsidRPr="009257D2">
        <w:rPr>
          <w:lang w:val="en-US"/>
        </w:rPr>
        <w:t>are outlined in the following table.</w:t>
      </w:r>
    </w:p>
    <w:p w14:paraId="50818CE5" w14:textId="0A4C9875" w:rsidR="00D60C3D" w:rsidRPr="009257D2" w:rsidRDefault="00546571" w:rsidP="001C0112">
      <w:pPr>
        <w:keepLines w:val="0"/>
        <w:spacing w:after="0" w:line="240" w:lineRule="auto"/>
        <w:rPr>
          <w:lang w:val="en-US"/>
        </w:rPr>
      </w:pPr>
      <w:r>
        <w:rPr>
          <w:noProof/>
          <w:lang w:eastAsia="en-AU"/>
        </w:rPr>
        <w:drawing>
          <wp:anchor distT="0" distB="0" distL="114300" distR="114300" simplePos="0" relativeHeight="251717632" behindDoc="0" locked="0" layoutInCell="1" allowOverlap="1" wp14:anchorId="295B3CFF" wp14:editId="7818D6E2">
            <wp:simplePos x="0" y="0"/>
            <wp:positionH relativeFrom="column">
              <wp:posOffset>-247320</wp:posOffset>
            </wp:positionH>
            <wp:positionV relativeFrom="page">
              <wp:posOffset>5958238</wp:posOffset>
            </wp:positionV>
            <wp:extent cx="6416040" cy="2842260"/>
            <wp:effectExtent l="0" t="0" r="3810" b="0"/>
            <wp:wrapSquare wrapText="bothSides"/>
            <wp:docPr id="25" name="Picture 25"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17" cstate="print">
                      <a:extLst>
                        <a:ext uri="{28A0092B-C50C-407E-A947-70E740481C1C}">
                          <a14:useLocalDpi xmlns:a14="http://schemas.microsoft.com/office/drawing/2010/main" val="0"/>
                        </a:ext>
                      </a:extLst>
                    </a:blip>
                    <a:srcRect t="39269" b="29401"/>
                    <a:stretch/>
                  </pic:blipFill>
                  <pic:spPr bwMode="auto">
                    <a:xfrm>
                      <a:off x="0" y="0"/>
                      <a:ext cx="6416040"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112">
        <w:rPr>
          <w:lang w:val="en-US"/>
        </w:rPr>
        <w:br w:type="page"/>
      </w:r>
    </w:p>
    <w:tbl>
      <w:tblPr>
        <w:tblW w:w="8986"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Caption w:val="Table 12 2015/16 Strategic Initiatives"/>
        <w:tblDescription w:val="Table 12 details the strategic initatives for the next financial year"/>
      </w:tblPr>
      <w:tblGrid>
        <w:gridCol w:w="1106"/>
        <w:gridCol w:w="7880"/>
      </w:tblGrid>
      <w:tr w:rsidR="00D131D5" w14:paraId="3D673604" w14:textId="77777777" w:rsidTr="00417A0A">
        <w:trPr>
          <w:trHeight w:val="60"/>
        </w:trPr>
        <w:tc>
          <w:tcPr>
            <w:tcW w:w="8986" w:type="dxa"/>
            <w:gridSpan w:val="2"/>
            <w:tcBorders>
              <w:top w:val="nil"/>
              <w:left w:val="nil"/>
              <w:bottom w:val="nil"/>
              <w:right w:val="nil"/>
            </w:tcBorders>
            <w:shd w:val="clear" w:color="auto" w:fill="2D4541" w:themeFill="accent2"/>
            <w:tcMar>
              <w:top w:w="113" w:type="dxa"/>
              <w:left w:w="113" w:type="dxa"/>
              <w:bottom w:w="113" w:type="dxa"/>
              <w:right w:w="113" w:type="dxa"/>
            </w:tcMar>
            <w:vAlign w:val="center"/>
          </w:tcPr>
          <w:p w14:paraId="26D11033" w14:textId="77777777" w:rsidR="00D131D5" w:rsidRPr="00AF4942" w:rsidRDefault="00D131D5" w:rsidP="00EE4ECC">
            <w:pPr>
              <w:rPr>
                <w:rStyle w:val="Strong"/>
                <w:color w:val="FFFFFF" w:themeColor="background1"/>
              </w:rPr>
            </w:pPr>
            <w:r w:rsidRPr="00EE4ECC">
              <w:rPr>
                <w:rStyle w:val="Strong"/>
                <w:color w:val="FFFFFF" w:themeColor="background2"/>
              </w:rPr>
              <w:lastRenderedPageBreak/>
              <w:t>Table</w:t>
            </w:r>
            <w:r w:rsidR="00EE4ECC">
              <w:rPr>
                <w:rStyle w:val="Strong"/>
                <w:color w:val="FFFFFF" w:themeColor="background2"/>
              </w:rPr>
              <w:t xml:space="preserve"> </w:t>
            </w:r>
            <w:r w:rsidR="00EE4ECC" w:rsidRPr="00EE4ECC">
              <w:rPr>
                <w:rStyle w:val="Strong"/>
                <w:color w:val="FFFFFF" w:themeColor="background2"/>
              </w:rPr>
              <w:t>12</w:t>
            </w:r>
            <w:r w:rsidR="00D60C3D">
              <w:rPr>
                <w:rStyle w:val="Strong"/>
                <w:color w:val="FFFFFF" w:themeColor="background2"/>
              </w:rPr>
              <w:t>: 2015/16</w:t>
            </w:r>
            <w:r w:rsidRPr="00EE4ECC">
              <w:rPr>
                <w:rStyle w:val="Strong"/>
                <w:color w:val="FFFFFF" w:themeColor="background2"/>
              </w:rPr>
              <w:t xml:space="preserve"> Strategic Initiatives </w:t>
            </w:r>
          </w:p>
        </w:tc>
      </w:tr>
      <w:tr w:rsidR="002C008B" w14:paraId="0E03618A" w14:textId="77777777" w:rsidTr="00DD798D">
        <w:trPr>
          <w:trHeight w:val="806"/>
        </w:trPr>
        <w:tc>
          <w:tcPr>
            <w:tcW w:w="1106" w:type="dxa"/>
            <w:tcBorders>
              <w:top w:val="nil"/>
            </w:tcBorders>
            <w:shd w:val="clear" w:color="auto" w:fill="CEDFDC" w:themeFill="accent2" w:themeFillTint="33"/>
            <w:tcMar>
              <w:top w:w="113" w:type="dxa"/>
              <w:left w:w="113" w:type="dxa"/>
              <w:bottom w:w="113" w:type="dxa"/>
              <w:right w:w="113" w:type="dxa"/>
            </w:tcMar>
            <w:vAlign w:val="center"/>
          </w:tcPr>
          <w:p w14:paraId="3B9007DA" w14:textId="77777777" w:rsidR="002C008B" w:rsidRPr="00AF4942" w:rsidRDefault="002C008B" w:rsidP="002C008B">
            <w:pPr>
              <w:rPr>
                <w:rStyle w:val="Strong"/>
              </w:rPr>
            </w:pPr>
            <w:r w:rsidRPr="00AF4942">
              <w:rPr>
                <w:rStyle w:val="Strong"/>
              </w:rPr>
              <w:t>Goals</w:t>
            </w:r>
          </w:p>
        </w:tc>
        <w:tc>
          <w:tcPr>
            <w:tcW w:w="7880" w:type="dxa"/>
            <w:tcBorders>
              <w:top w:val="nil"/>
            </w:tcBorders>
            <w:shd w:val="clear" w:color="auto" w:fill="CEDFDC" w:themeFill="accent2" w:themeFillTint="33"/>
            <w:tcMar>
              <w:top w:w="113" w:type="dxa"/>
              <w:left w:w="113" w:type="dxa"/>
              <w:bottom w:w="113" w:type="dxa"/>
              <w:right w:w="113" w:type="dxa"/>
            </w:tcMar>
            <w:vAlign w:val="center"/>
          </w:tcPr>
          <w:p w14:paraId="1F8A0C37" w14:textId="77777777" w:rsidR="002C008B" w:rsidRPr="00AF4942" w:rsidRDefault="002C008B" w:rsidP="002C008B">
            <w:pPr>
              <w:rPr>
                <w:rStyle w:val="Strong"/>
              </w:rPr>
            </w:pPr>
            <w:r w:rsidRPr="00AF4942">
              <w:rPr>
                <w:rStyle w:val="Strong"/>
              </w:rPr>
              <w:t>Strategic Initiative</w:t>
            </w:r>
          </w:p>
        </w:tc>
      </w:tr>
      <w:tr w:rsidR="002C008B" w14:paraId="78141D39" w14:textId="77777777" w:rsidTr="00417A0A">
        <w:trPr>
          <w:trHeight w:val="60"/>
        </w:trPr>
        <w:tc>
          <w:tcPr>
            <w:tcW w:w="1106" w:type="dxa"/>
            <w:shd w:val="clear" w:color="auto" w:fill="CEDFDC" w:themeFill="accent2" w:themeFillTint="33"/>
            <w:tcMar>
              <w:top w:w="170" w:type="dxa"/>
              <w:left w:w="113" w:type="dxa"/>
              <w:bottom w:w="170" w:type="dxa"/>
              <w:right w:w="113" w:type="dxa"/>
            </w:tcMar>
            <w:vAlign w:val="center"/>
          </w:tcPr>
          <w:p w14:paraId="32C1B084" w14:textId="4BFB0964" w:rsidR="002C008B" w:rsidRPr="00AF4942" w:rsidRDefault="006242FE" w:rsidP="002C008B">
            <w:pPr>
              <w:rPr>
                <w:rStyle w:val="Strong"/>
              </w:rPr>
            </w:pPr>
            <w:r>
              <w:rPr>
                <w:rStyle w:val="Strong"/>
              </w:rPr>
              <w:t>1</w:t>
            </w:r>
          </w:p>
        </w:tc>
        <w:tc>
          <w:tcPr>
            <w:tcW w:w="7880" w:type="dxa"/>
            <w:shd w:val="solid" w:color="FFFFFF" w:fill="auto"/>
            <w:tcMar>
              <w:top w:w="170" w:type="dxa"/>
              <w:left w:w="113" w:type="dxa"/>
              <w:bottom w:w="170" w:type="dxa"/>
              <w:right w:w="113" w:type="dxa"/>
            </w:tcMar>
            <w:vAlign w:val="center"/>
          </w:tcPr>
          <w:p w14:paraId="69750494" w14:textId="77777777" w:rsidR="002C008B" w:rsidRPr="000325C4" w:rsidRDefault="006242FE" w:rsidP="002C008B">
            <w:pPr>
              <w:rPr>
                <w:rStyle w:val="Strong"/>
              </w:rPr>
            </w:pPr>
            <w:r w:rsidRPr="000325C4">
              <w:rPr>
                <w:rStyle w:val="Strong"/>
              </w:rPr>
              <w:t>Review of dispute resolution</w:t>
            </w:r>
          </w:p>
          <w:p w14:paraId="4B9D996F" w14:textId="493D8618" w:rsidR="006242FE" w:rsidRPr="006242FE" w:rsidRDefault="006242FE" w:rsidP="006242FE">
            <w:pPr>
              <w:pStyle w:val="BulletListLevel1"/>
            </w:pPr>
            <w:r>
              <w:t>An external review of the effectiveness of the current dispute resolution processes</w:t>
            </w:r>
          </w:p>
        </w:tc>
      </w:tr>
      <w:tr w:rsidR="002C008B" w14:paraId="0C99B1F1" w14:textId="77777777" w:rsidTr="00417A0A">
        <w:trPr>
          <w:trHeight w:val="60"/>
        </w:trPr>
        <w:tc>
          <w:tcPr>
            <w:tcW w:w="1106" w:type="dxa"/>
            <w:shd w:val="clear" w:color="auto" w:fill="CEDFDC" w:themeFill="accent2" w:themeFillTint="33"/>
            <w:tcMar>
              <w:top w:w="170" w:type="dxa"/>
              <w:left w:w="113" w:type="dxa"/>
              <w:bottom w:w="170" w:type="dxa"/>
              <w:right w:w="113" w:type="dxa"/>
            </w:tcMar>
            <w:vAlign w:val="center"/>
          </w:tcPr>
          <w:p w14:paraId="36B2151C" w14:textId="5DFA128C" w:rsidR="002C008B" w:rsidRPr="00AF4942" w:rsidRDefault="006242FE" w:rsidP="002C008B">
            <w:pPr>
              <w:rPr>
                <w:rStyle w:val="Strong"/>
              </w:rPr>
            </w:pPr>
            <w:r>
              <w:rPr>
                <w:rStyle w:val="Strong"/>
              </w:rPr>
              <w:t>1</w:t>
            </w:r>
          </w:p>
        </w:tc>
        <w:tc>
          <w:tcPr>
            <w:tcW w:w="7880" w:type="dxa"/>
            <w:shd w:val="solid" w:color="FFFFFF" w:fill="auto"/>
            <w:tcMar>
              <w:top w:w="170" w:type="dxa"/>
              <w:left w:w="113" w:type="dxa"/>
              <w:bottom w:w="170" w:type="dxa"/>
              <w:right w:w="113" w:type="dxa"/>
            </w:tcMar>
            <w:vAlign w:val="center"/>
          </w:tcPr>
          <w:p w14:paraId="584E3456" w14:textId="77777777" w:rsidR="002C008B" w:rsidRPr="000325C4" w:rsidRDefault="006242FE" w:rsidP="00B0122D">
            <w:pPr>
              <w:rPr>
                <w:rStyle w:val="Strong"/>
              </w:rPr>
            </w:pPr>
            <w:r w:rsidRPr="000325C4">
              <w:rPr>
                <w:rStyle w:val="Strong"/>
              </w:rPr>
              <w:t>Development of an employer regulatory risk framework</w:t>
            </w:r>
          </w:p>
          <w:p w14:paraId="68E0A152" w14:textId="4D53976B" w:rsidR="00175FFF" w:rsidRPr="006242FE" w:rsidRDefault="006242FE" w:rsidP="000325C4">
            <w:pPr>
              <w:pStyle w:val="BulletListLevel1"/>
            </w:pPr>
            <w:r>
              <w:t>A risk framework that assists in identifying and regulating employers who are not compliant with the requirement to hold th</w:t>
            </w:r>
            <w:r w:rsidR="000325C4">
              <w:t>e requisite policy of insurance</w:t>
            </w:r>
          </w:p>
        </w:tc>
      </w:tr>
      <w:tr w:rsidR="006242FE" w:rsidRPr="00332547" w14:paraId="0D5F7931" w14:textId="77777777" w:rsidTr="00417A0A">
        <w:trPr>
          <w:trHeight w:val="60"/>
        </w:trPr>
        <w:tc>
          <w:tcPr>
            <w:tcW w:w="1106" w:type="dxa"/>
            <w:shd w:val="clear" w:color="auto" w:fill="CEDFDC" w:themeFill="accent2" w:themeFillTint="33"/>
            <w:tcMar>
              <w:top w:w="170" w:type="dxa"/>
              <w:left w:w="113" w:type="dxa"/>
              <w:bottom w:w="170" w:type="dxa"/>
              <w:right w:w="113" w:type="dxa"/>
            </w:tcMar>
            <w:vAlign w:val="center"/>
          </w:tcPr>
          <w:p w14:paraId="05A25266" w14:textId="630D9193" w:rsidR="006242FE" w:rsidRPr="00AF4942" w:rsidRDefault="006242FE" w:rsidP="002C008B">
            <w:pPr>
              <w:rPr>
                <w:rStyle w:val="Strong"/>
              </w:rPr>
            </w:pPr>
            <w:r>
              <w:rPr>
                <w:rStyle w:val="Strong"/>
              </w:rPr>
              <w:t>2</w:t>
            </w:r>
          </w:p>
        </w:tc>
        <w:tc>
          <w:tcPr>
            <w:tcW w:w="7880" w:type="dxa"/>
            <w:shd w:val="solid" w:color="FFFFFF" w:fill="auto"/>
            <w:tcMar>
              <w:top w:w="170" w:type="dxa"/>
              <w:left w:w="113" w:type="dxa"/>
              <w:bottom w:w="170" w:type="dxa"/>
              <w:right w:w="113" w:type="dxa"/>
            </w:tcMar>
            <w:vAlign w:val="center"/>
          </w:tcPr>
          <w:p w14:paraId="40286362" w14:textId="6D5436C7" w:rsidR="006242FE" w:rsidRPr="000325C4" w:rsidRDefault="00F8346C" w:rsidP="005905BC">
            <w:pPr>
              <w:rPr>
                <w:rStyle w:val="Strong"/>
              </w:rPr>
            </w:pPr>
            <w:r>
              <w:rPr>
                <w:rStyle w:val="Strong"/>
              </w:rPr>
              <w:t>GP Clinical Guidelines for Mental Health Claims</w:t>
            </w:r>
          </w:p>
          <w:p w14:paraId="1F9A838C" w14:textId="1E3F2D21" w:rsidR="006242FE" w:rsidRDefault="00F8346C" w:rsidP="007A4B9F">
            <w:pPr>
              <w:pStyle w:val="BulletListLevel1"/>
            </w:pPr>
            <w:r>
              <w:t>GP engagement in injury management and return to work processes</w:t>
            </w:r>
          </w:p>
          <w:p w14:paraId="3F3FCB1A" w14:textId="6ED8ECC5" w:rsidR="00F8346C" w:rsidRPr="006242FE" w:rsidRDefault="00F8346C" w:rsidP="007A4B9F">
            <w:pPr>
              <w:pStyle w:val="BulletListLevel1"/>
            </w:pPr>
            <w:r>
              <w:t>Impact of psychological injury and mental health claims</w:t>
            </w:r>
          </w:p>
        </w:tc>
      </w:tr>
      <w:tr w:rsidR="006242FE" w:rsidRPr="00332547" w14:paraId="02F5B4F4" w14:textId="77777777" w:rsidTr="00417A0A">
        <w:trPr>
          <w:trHeight w:val="60"/>
        </w:trPr>
        <w:tc>
          <w:tcPr>
            <w:tcW w:w="1106" w:type="dxa"/>
            <w:shd w:val="clear" w:color="auto" w:fill="CEDFDC" w:themeFill="accent2" w:themeFillTint="33"/>
            <w:tcMar>
              <w:top w:w="170" w:type="dxa"/>
              <w:left w:w="113" w:type="dxa"/>
              <w:bottom w:w="170" w:type="dxa"/>
              <w:right w:w="113" w:type="dxa"/>
            </w:tcMar>
            <w:vAlign w:val="center"/>
          </w:tcPr>
          <w:p w14:paraId="55996D3D" w14:textId="05B5535A" w:rsidR="006242FE" w:rsidRPr="00AF4942" w:rsidRDefault="006242FE" w:rsidP="002C008B">
            <w:pPr>
              <w:rPr>
                <w:rStyle w:val="Strong"/>
              </w:rPr>
            </w:pPr>
            <w:r>
              <w:rPr>
                <w:rStyle w:val="Strong"/>
              </w:rPr>
              <w:t>3</w:t>
            </w:r>
          </w:p>
        </w:tc>
        <w:tc>
          <w:tcPr>
            <w:tcW w:w="7880" w:type="dxa"/>
            <w:shd w:val="solid" w:color="FFFFFF" w:fill="auto"/>
            <w:tcMar>
              <w:top w:w="170" w:type="dxa"/>
              <w:left w:w="113" w:type="dxa"/>
              <w:bottom w:w="170" w:type="dxa"/>
              <w:right w:w="113" w:type="dxa"/>
            </w:tcMar>
            <w:vAlign w:val="center"/>
          </w:tcPr>
          <w:p w14:paraId="098F02FB" w14:textId="7D47E7AA" w:rsidR="006242FE" w:rsidRPr="000325C4" w:rsidRDefault="00AB2E6A" w:rsidP="005905BC">
            <w:pPr>
              <w:rPr>
                <w:rStyle w:val="Strong"/>
              </w:rPr>
            </w:pPr>
            <w:r>
              <w:rPr>
                <w:rStyle w:val="Strong"/>
              </w:rPr>
              <w:t>Standard operating environment replacement s</w:t>
            </w:r>
            <w:r w:rsidR="006242FE" w:rsidRPr="000325C4">
              <w:rPr>
                <w:rStyle w:val="Strong"/>
              </w:rPr>
              <w:t>trategy</w:t>
            </w:r>
          </w:p>
          <w:p w14:paraId="7A009233" w14:textId="08C7BECB" w:rsidR="006242FE" w:rsidRPr="006242FE" w:rsidRDefault="006242FE" w:rsidP="006242FE">
            <w:pPr>
              <w:pStyle w:val="BulletListLevel1"/>
            </w:pPr>
            <w:r>
              <w:t>Standard operating environment, desktop and laptop replacement, and infrastructure upgrade. Delivery of a new operating environment and infrastructure</w:t>
            </w:r>
          </w:p>
        </w:tc>
      </w:tr>
    </w:tbl>
    <w:p w14:paraId="31238F61" w14:textId="77777777" w:rsidR="00BC34ED" w:rsidRDefault="00BC34ED">
      <w:pPr>
        <w:keepLines w:val="0"/>
        <w:spacing w:after="0" w:line="240" w:lineRule="auto"/>
        <w:rPr>
          <w:lang w:val="en-US"/>
        </w:rPr>
      </w:pPr>
    </w:p>
    <w:p w14:paraId="3C404572" w14:textId="77777777" w:rsidR="00774708" w:rsidRDefault="00774708">
      <w:pPr>
        <w:keepLines w:val="0"/>
        <w:spacing w:after="0" w:line="240" w:lineRule="auto"/>
        <w:rPr>
          <w:lang w:val="en-US"/>
        </w:rPr>
        <w:sectPr w:rsidR="00774708" w:rsidSect="00FE39B5">
          <w:pgSz w:w="11906" w:h="16838" w:code="9"/>
          <w:pgMar w:top="1702" w:right="1440" w:bottom="1440" w:left="1440" w:header="624" w:footer="0" w:gutter="0"/>
          <w:cols w:space="708"/>
          <w:docGrid w:linePitch="360"/>
        </w:sectPr>
      </w:pPr>
      <w:bookmarkStart w:id="182" w:name="_Toc399316937"/>
      <w:r>
        <w:rPr>
          <w:lang w:val="en-US"/>
        </w:rPr>
        <w:br w:type="page"/>
      </w:r>
    </w:p>
    <w:p w14:paraId="08B4EBA7" w14:textId="77777777" w:rsidR="00AF5CFC" w:rsidRPr="00206802" w:rsidRDefault="00723015" w:rsidP="00206802">
      <w:pPr>
        <w:pStyle w:val="Heading1nonumber"/>
        <w:rPr>
          <w:color w:val="808080" w:themeColor="background1" w:themeShade="80"/>
          <w:sz w:val="40"/>
        </w:rPr>
      </w:pPr>
      <w:bookmarkStart w:id="183" w:name="_Toc430091179"/>
      <w:r w:rsidRPr="00206802">
        <w:rPr>
          <w:color w:val="808080" w:themeColor="background1" w:themeShade="80"/>
          <w:sz w:val="40"/>
        </w:rPr>
        <w:lastRenderedPageBreak/>
        <w:t>Section 2: Scheme Performance</w:t>
      </w:r>
      <w:bookmarkEnd w:id="182"/>
      <w:bookmarkEnd w:id="183"/>
      <w:r w:rsidRPr="00206802">
        <w:rPr>
          <w:color w:val="808080" w:themeColor="background1" w:themeShade="80"/>
          <w:sz w:val="40"/>
        </w:rPr>
        <w:t xml:space="preserve"> </w:t>
      </w:r>
    </w:p>
    <w:p w14:paraId="2005C7AA" w14:textId="77777777" w:rsidR="00FD59EC" w:rsidRPr="00FD59EC" w:rsidRDefault="00FD59EC" w:rsidP="00101F61">
      <w:pPr>
        <w:pStyle w:val="Heading1nonumber"/>
      </w:pPr>
      <w:bookmarkStart w:id="184" w:name="_Toc430091180"/>
      <w:r w:rsidRPr="00FD59EC">
        <w:t>Open and transparent reporting</w:t>
      </w:r>
      <w:bookmarkEnd w:id="184"/>
    </w:p>
    <w:p w14:paraId="18C97ADC" w14:textId="4832B865" w:rsidR="00FD59EC" w:rsidRPr="00FD59EC" w:rsidRDefault="00FD59EC" w:rsidP="00FD59EC">
      <w:r w:rsidRPr="00FD59EC">
        <w:t>Work</w:t>
      </w:r>
      <w:r w:rsidR="00FC4A12">
        <w:t>Cover WA is an industry leader with the</w:t>
      </w:r>
      <w:r w:rsidRPr="00FD59EC">
        <w:t xml:space="preserve"> transparency of scheme data.</w:t>
      </w:r>
    </w:p>
    <w:p w14:paraId="047B02F2" w14:textId="430016D7" w:rsidR="00FD59EC" w:rsidRPr="00FD59EC" w:rsidRDefault="00FD59EC" w:rsidP="00FD59EC">
      <w:pPr>
        <w:rPr>
          <w:sz w:val="22"/>
          <w:szCs w:val="22"/>
          <w:lang w:eastAsia="en-AU"/>
        </w:rPr>
      </w:pPr>
      <w:r w:rsidRPr="00FD59EC">
        <w:t>As a regulatory authority, the Agency monitors the performance of all aspects of the workers’ compensati</w:t>
      </w:r>
      <w:r w:rsidR="000850C9">
        <w:t xml:space="preserve">on and injury management scheme, </w:t>
      </w:r>
      <w:r w:rsidRPr="00FD59EC">
        <w:t>and collects data about all work</w:t>
      </w:r>
      <w:r w:rsidR="000850C9">
        <w:t xml:space="preserve">ers’ compensation claims lodged. </w:t>
      </w:r>
      <w:r w:rsidRPr="00FD59EC">
        <w:t>Codes are applied to the data to classify claims by industry type, industry and occupation.</w:t>
      </w:r>
    </w:p>
    <w:p w14:paraId="7E2CBA27" w14:textId="77777777" w:rsidR="00FD59EC" w:rsidRPr="00FD59EC" w:rsidRDefault="00FD59EC" w:rsidP="00FD59EC">
      <w:r w:rsidRPr="00FD59EC">
        <w:t xml:space="preserve">To provide scheme participants with up-to-date information about scheme trends WorkCover WA regularly publishes a range of statistical reports on the WorkCover WA website. </w:t>
      </w:r>
    </w:p>
    <w:p w14:paraId="14EE6BDF" w14:textId="77777777" w:rsidR="00FD59EC" w:rsidRPr="00FD59EC" w:rsidRDefault="00FD59EC" w:rsidP="00FD59EC">
      <w:r w:rsidRPr="00FD59EC">
        <w:t>During 2014/15 the Agency published the following:</w:t>
      </w:r>
    </w:p>
    <w:p w14:paraId="19AD0DAD" w14:textId="116440E8" w:rsidR="00FD59EC" w:rsidRPr="00FD59EC" w:rsidRDefault="00FD59EC" w:rsidP="00101F61">
      <w:pPr>
        <w:pStyle w:val="BulletListLevel1"/>
      </w:pPr>
      <w:r w:rsidRPr="00FD59EC">
        <w:t>Workers’ Compensation Annual Statistical Report</w:t>
      </w:r>
    </w:p>
    <w:p w14:paraId="1EF25A26" w14:textId="4E1ACE89" w:rsidR="00FD59EC" w:rsidRPr="00FD59EC" w:rsidRDefault="00FD59EC" w:rsidP="00101F61">
      <w:pPr>
        <w:pStyle w:val="BulletListLevel1"/>
      </w:pPr>
      <w:r w:rsidRPr="00FD59EC">
        <w:t>Scheme Quarterly Status Report</w:t>
      </w:r>
    </w:p>
    <w:p w14:paraId="52793567" w14:textId="33C7A01B" w:rsidR="00FD59EC" w:rsidRPr="00FD59EC" w:rsidRDefault="00FD59EC" w:rsidP="00101F61">
      <w:pPr>
        <w:pStyle w:val="BulletListLevel1"/>
      </w:pPr>
      <w:r w:rsidRPr="00FD59EC">
        <w:t xml:space="preserve">Insurer Claim Status Report </w:t>
      </w:r>
    </w:p>
    <w:p w14:paraId="0F0282D8" w14:textId="5A9C690E" w:rsidR="00FD59EC" w:rsidRPr="00FD59EC" w:rsidRDefault="00FD59EC" w:rsidP="00101F61">
      <w:pPr>
        <w:pStyle w:val="BulletListLevel1"/>
      </w:pPr>
      <w:r w:rsidRPr="00FD59EC">
        <w:t>Medical, Allied Health and Vocational Rehabilitation Services Status Report</w:t>
      </w:r>
    </w:p>
    <w:p w14:paraId="7E7831F2" w14:textId="77777777" w:rsidR="000850C9" w:rsidRDefault="00FD59EC" w:rsidP="00FD59EC">
      <w:pPr>
        <w:pStyle w:val="BulletListLevel1"/>
      </w:pPr>
      <w:r w:rsidRPr="00FD59EC">
        <w:t>Conciliation and Arbi</w:t>
      </w:r>
      <w:r w:rsidR="000850C9">
        <w:t>tration Services Status Report.</w:t>
      </w:r>
    </w:p>
    <w:p w14:paraId="4AE8E185" w14:textId="320B9E82" w:rsidR="00FD59EC" w:rsidRPr="00FD59EC" w:rsidRDefault="000850C9" w:rsidP="000850C9">
      <w:pPr>
        <w:pStyle w:val="BulletListLevel1"/>
        <w:numPr>
          <w:ilvl w:val="0"/>
          <w:numId w:val="0"/>
        </w:numPr>
      </w:pPr>
      <w:r>
        <w:t>In May 2015, WorkCover WA</w:t>
      </w:r>
      <w:r w:rsidR="00FD59EC" w:rsidRPr="00FD59EC">
        <w:t xml:space="preserve"> </w:t>
      </w:r>
      <w:r w:rsidR="00CC7CA3">
        <w:t xml:space="preserve">also </w:t>
      </w:r>
      <w:r w:rsidR="00FD59EC" w:rsidRPr="00FD59EC">
        <w:t xml:space="preserve">released the publication </w:t>
      </w:r>
      <w:r w:rsidR="00FD59EC" w:rsidRPr="00101F61">
        <w:rPr>
          <w:i/>
        </w:rPr>
        <w:t>Workers’ Compensation Scheme Trends</w:t>
      </w:r>
      <w:r w:rsidR="00FD59EC" w:rsidRPr="00FD59EC">
        <w:t xml:space="preserve"> </w:t>
      </w:r>
      <w:r w:rsidR="00A92764">
        <w:t xml:space="preserve">(May 2015) </w:t>
      </w:r>
      <w:r w:rsidR="00FD59EC" w:rsidRPr="00FD59EC">
        <w:t>which provides an accessible snapshot of the current WA workers’ compensation and injury management scheme.</w:t>
      </w:r>
    </w:p>
    <w:p w14:paraId="63207AF7" w14:textId="63FF8AD7" w:rsidR="00883051" w:rsidRDefault="00FD59EC" w:rsidP="00FD59EC">
      <w:r w:rsidRPr="00FD59EC">
        <w:t xml:space="preserve">WorkCover WA continues </w:t>
      </w:r>
      <w:r w:rsidR="000850C9">
        <w:t>to work with the scheme actuary</w:t>
      </w:r>
      <w:r w:rsidRPr="00FD59EC">
        <w:t xml:space="preserve"> to produce a</w:t>
      </w:r>
      <w:r w:rsidR="000850C9">
        <w:t>nnual recommended premium rates</w:t>
      </w:r>
      <w:r w:rsidRPr="00FD59EC">
        <w:t xml:space="preserve"> and quarterly statistical summaries from an actuarial perspective; these reports are also available at </w:t>
      </w:r>
      <w:r w:rsidRPr="00FD59EC">
        <w:rPr>
          <w:b/>
        </w:rPr>
        <w:t>workcover.wa.gov.au</w:t>
      </w:r>
      <w:r w:rsidRPr="00FD59EC">
        <w:t>.</w:t>
      </w:r>
    </w:p>
    <w:p w14:paraId="5D7E549D" w14:textId="34E94C09" w:rsidR="00883051" w:rsidRDefault="00883051">
      <w:pPr>
        <w:keepLines w:val="0"/>
        <w:spacing w:after="0" w:line="240" w:lineRule="auto"/>
      </w:pPr>
      <w:r>
        <w:br w:type="page"/>
      </w:r>
    </w:p>
    <w:p w14:paraId="701A32CA" w14:textId="77777777" w:rsidR="00FD59EC" w:rsidRPr="00245969" w:rsidRDefault="00FD59EC" w:rsidP="00245969">
      <w:pPr>
        <w:pStyle w:val="Heading1nonumber"/>
      </w:pPr>
      <w:bookmarkStart w:id="185" w:name="_Toc430091181"/>
      <w:r w:rsidRPr="00245969">
        <w:lastRenderedPageBreak/>
        <w:t>Comparative overview</w:t>
      </w:r>
      <w:bookmarkEnd w:id="185"/>
    </w:p>
    <w:p w14:paraId="381B6027" w14:textId="4C6634A4" w:rsidR="00FD59EC" w:rsidRPr="00883051" w:rsidRDefault="008B0038" w:rsidP="008B0038">
      <w:r w:rsidRPr="00883051">
        <w:t>The Western Australian workers’ compensation and injury management scheme is working well. According to the Comparative Performance Monitoring Report, Seventeenth Edition, analysis of the most recent comparative statistics shows WorkCover WA leads a scheme with</w:t>
      </w:r>
      <w:r w:rsidR="00FD59EC" w:rsidRPr="00883051">
        <w:t>:</w:t>
      </w:r>
    </w:p>
    <w:p w14:paraId="0D4479E2" w14:textId="77777777" w:rsidR="00FD59EC" w:rsidRPr="00883051" w:rsidRDefault="00FD59EC" w:rsidP="00FD59EC">
      <w:pPr>
        <w:numPr>
          <w:ilvl w:val="0"/>
          <w:numId w:val="3"/>
        </w:numPr>
        <w:rPr>
          <w:rFonts w:eastAsiaTheme="minorHAnsi" w:cs="Arial"/>
          <w:bCs/>
        </w:rPr>
      </w:pPr>
      <w:r w:rsidRPr="00883051">
        <w:rPr>
          <w:rFonts w:eastAsiaTheme="minorHAnsi" w:cs="Arial"/>
          <w:bCs/>
        </w:rPr>
        <w:t>the lowest standardised average premium rate across the states and territories</w:t>
      </w:r>
    </w:p>
    <w:p w14:paraId="1704920B" w14:textId="77777777" w:rsidR="00FD59EC" w:rsidRPr="00883051" w:rsidRDefault="00FD59EC" w:rsidP="00FD59EC">
      <w:pPr>
        <w:numPr>
          <w:ilvl w:val="0"/>
          <w:numId w:val="3"/>
        </w:numPr>
        <w:rPr>
          <w:rFonts w:eastAsiaTheme="minorHAnsi" w:cs="Arial"/>
          <w:bCs/>
        </w:rPr>
      </w:pPr>
      <w:r w:rsidRPr="00883051">
        <w:rPr>
          <w:rFonts w:eastAsiaTheme="minorHAnsi" w:cs="Arial"/>
          <w:bCs/>
        </w:rPr>
        <w:t>nearly three quarters of scheme costs expended on services and payments for claimants, on par with the national average</w:t>
      </w:r>
    </w:p>
    <w:p w14:paraId="256379A7" w14:textId="67AA1ED8" w:rsidR="00FD59EC" w:rsidRPr="00883051" w:rsidRDefault="008B0038" w:rsidP="00FD59EC">
      <w:pPr>
        <w:numPr>
          <w:ilvl w:val="0"/>
          <w:numId w:val="3"/>
        </w:numPr>
        <w:rPr>
          <w:rFonts w:eastAsiaTheme="minorHAnsi" w:cs="Arial"/>
          <w:bCs/>
        </w:rPr>
      </w:pPr>
      <w:r w:rsidRPr="00883051">
        <w:rPr>
          <w:rFonts w:eastAsiaTheme="minorHAnsi" w:cs="Arial"/>
          <w:bCs/>
        </w:rPr>
        <w:t>89.5</w:t>
      </w:r>
      <w:r w:rsidR="00FD59EC" w:rsidRPr="00883051">
        <w:rPr>
          <w:rFonts w:eastAsiaTheme="minorHAnsi" w:cs="Arial"/>
          <w:bCs/>
        </w:rPr>
        <w:t xml:space="preserve"> per cent of claim disputes resolved within six months, well</w:t>
      </w:r>
      <w:r w:rsidRPr="00883051">
        <w:rPr>
          <w:rFonts w:eastAsiaTheme="minorHAnsi" w:cs="Arial"/>
          <w:bCs/>
        </w:rPr>
        <w:t xml:space="preserve"> above the national average of 63.9</w:t>
      </w:r>
      <w:r w:rsidR="00FD59EC" w:rsidRPr="00883051">
        <w:rPr>
          <w:rFonts w:eastAsiaTheme="minorHAnsi" w:cs="Arial"/>
          <w:bCs/>
        </w:rPr>
        <w:t xml:space="preserve"> per cent</w:t>
      </w:r>
    </w:p>
    <w:p w14:paraId="743EC458" w14:textId="24660376" w:rsidR="00FD59EC" w:rsidRPr="00883051" w:rsidRDefault="008B0038" w:rsidP="00FD59EC">
      <w:pPr>
        <w:numPr>
          <w:ilvl w:val="0"/>
          <w:numId w:val="3"/>
        </w:numPr>
        <w:rPr>
          <w:rFonts w:eastAsiaTheme="minorHAnsi" w:cs="Arial"/>
          <w:bCs/>
        </w:rPr>
      </w:pPr>
      <w:r w:rsidRPr="00883051">
        <w:rPr>
          <w:rFonts w:eastAsiaTheme="minorHAnsi" w:cs="Arial"/>
          <w:bCs/>
        </w:rPr>
        <w:t>a disputation rate of 3.1</w:t>
      </w:r>
      <w:r w:rsidR="00FD59EC" w:rsidRPr="00883051">
        <w:rPr>
          <w:rFonts w:eastAsiaTheme="minorHAnsi" w:cs="Arial"/>
          <w:bCs/>
        </w:rPr>
        <w:t xml:space="preserve"> per cent, the </w:t>
      </w:r>
      <w:r w:rsidRPr="00883051">
        <w:rPr>
          <w:rFonts w:eastAsiaTheme="minorHAnsi" w:cs="Arial"/>
          <w:bCs/>
        </w:rPr>
        <w:t xml:space="preserve">second </w:t>
      </w:r>
      <w:r w:rsidR="00FD59EC" w:rsidRPr="00883051">
        <w:rPr>
          <w:rFonts w:eastAsiaTheme="minorHAnsi" w:cs="Arial"/>
          <w:bCs/>
        </w:rPr>
        <w:t>lowest of all Australian jurisdictions</w:t>
      </w:r>
    </w:p>
    <w:p w14:paraId="26FF6B84" w14:textId="77777777" w:rsidR="00FD59EC" w:rsidRPr="00FD59EC" w:rsidRDefault="00FD59EC" w:rsidP="00245969">
      <w:pPr>
        <w:pStyle w:val="Heading1nonumber"/>
      </w:pPr>
      <w:bookmarkStart w:id="186" w:name="_Toc430091182"/>
      <w:r w:rsidRPr="00FD59EC">
        <w:t>2014/15 scheme performance report</w:t>
      </w:r>
      <w:bookmarkEnd w:id="186"/>
    </w:p>
    <w:p w14:paraId="2FCC710F" w14:textId="77777777" w:rsidR="00FD59EC" w:rsidRPr="00FD59EC" w:rsidRDefault="00FD59EC" w:rsidP="00E30D70">
      <w:r w:rsidRPr="00FD59EC">
        <w:rPr>
          <w:b/>
          <w:bCs/>
        </w:rPr>
        <w:t>Important:</w:t>
      </w:r>
      <w:r w:rsidRPr="00FD59EC">
        <w:t xml:space="preserve"> Due to the nature of the processes involved in the capture, verification and analysis of claims data, information relating to time lost as a result of workers’ compensation claims is only available one year retrospectively. Therefore, some information from 2014/15 was unavailable at the time of publishing this report and we have reported on information from 2013/14.</w:t>
      </w:r>
    </w:p>
    <w:p w14:paraId="511A1893" w14:textId="77777777" w:rsidR="00FD59EC" w:rsidRPr="00FD59EC" w:rsidRDefault="00FD59EC" w:rsidP="00245969">
      <w:pPr>
        <w:pStyle w:val="Heading2nonumber"/>
        <w:rPr>
          <w:lang w:val="en-US"/>
        </w:rPr>
      </w:pPr>
      <w:bookmarkStart w:id="187" w:name="_Toc399316938"/>
      <w:bookmarkStart w:id="188" w:name="_Toc430091183"/>
      <w:r w:rsidRPr="00FD59EC">
        <w:rPr>
          <w:lang w:val="en-US"/>
        </w:rPr>
        <w:t>Claim numbers</w:t>
      </w:r>
      <w:bookmarkEnd w:id="187"/>
      <w:bookmarkEnd w:id="188"/>
    </w:p>
    <w:p w14:paraId="712DAE38" w14:textId="77777777" w:rsidR="00FD59EC" w:rsidRPr="00FD59EC" w:rsidRDefault="00FD59EC" w:rsidP="00FD59EC">
      <w:r w:rsidRPr="00FD59EC">
        <w:t>In 2013/14, 35,562 claims were lodged. Of these, 48 per cent involved at least one day or shift off work (claims with lost-time). Of all lost-time claims lodged in 2013/14, 32 per cent of claims had 60 or more days or shifts lost (long duration claims).</w:t>
      </w:r>
    </w:p>
    <w:p w14:paraId="00818CFD" w14:textId="1196FF7A" w:rsidR="00883051" w:rsidRDefault="00FD59EC" w:rsidP="00FD59EC">
      <w:pPr>
        <w:rPr>
          <w:color w:val="FF0000"/>
          <w:shd w:val="clear" w:color="auto" w:fill="F2F2F2" w:themeFill="background2" w:themeFillShade="F2"/>
        </w:rPr>
      </w:pPr>
      <w:r w:rsidRPr="00FD59EC">
        <w:t xml:space="preserve">Further information on scheme performance is available from the WorkCover WA website under Resources - research, evaluation and statistics </w:t>
      </w:r>
      <w:r w:rsidRPr="000A5BB7">
        <w:t>(http://bit.ly/Ze9YBW).</w:t>
      </w:r>
    </w:p>
    <w:p w14:paraId="68D3A11E" w14:textId="77777777" w:rsidR="00883051" w:rsidRDefault="00883051">
      <w:pPr>
        <w:keepLines w:val="0"/>
        <w:spacing w:after="0" w:line="240" w:lineRule="auto"/>
        <w:rPr>
          <w:color w:val="FF0000"/>
          <w:shd w:val="clear" w:color="auto" w:fill="F2F2F2" w:themeFill="background2" w:themeFillShade="F2"/>
        </w:rPr>
      </w:pPr>
      <w:r>
        <w:rPr>
          <w:color w:val="FF0000"/>
          <w:shd w:val="clear" w:color="auto" w:fill="F2F2F2" w:themeFill="background2" w:themeFillShade="F2"/>
        </w:rPr>
        <w:br w:type="page"/>
      </w:r>
    </w:p>
    <w:p w14:paraId="5AA765F5" w14:textId="77777777" w:rsidR="00C345F4" w:rsidRDefault="00C345F4">
      <w:pPr>
        <w:keepLines w:val="0"/>
        <w:spacing w:after="0" w:line="240" w:lineRule="auto"/>
        <w:rPr>
          <w:color w:val="FF0000"/>
          <w:shd w:val="clear" w:color="auto" w:fill="F2F2F2" w:themeFill="background2" w:themeFillShade="F2"/>
        </w:rPr>
      </w:pP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13 - Claim Numbers 2013/14"/>
        <w:tblDescription w:val="Table 13 details number of lost time claims and lost time claims"/>
      </w:tblPr>
      <w:tblGrid>
        <w:gridCol w:w="3374"/>
        <w:gridCol w:w="2976"/>
      </w:tblGrid>
      <w:tr w:rsidR="00FD59EC" w:rsidRPr="00FD59EC" w14:paraId="7D612253" w14:textId="77777777" w:rsidTr="00667578">
        <w:trPr>
          <w:tblHeader/>
        </w:trPr>
        <w:tc>
          <w:tcPr>
            <w:tcW w:w="6350" w:type="dxa"/>
            <w:gridSpan w:val="2"/>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Pr>
          <w:p w14:paraId="050A7618" w14:textId="77777777" w:rsidR="00FD59EC" w:rsidRPr="00FD59EC" w:rsidRDefault="00FD59EC" w:rsidP="00FD59EC">
            <w:pPr>
              <w:rPr>
                <w:b/>
                <w:bCs/>
                <w:color w:val="FFFFFF" w:themeColor="background1"/>
              </w:rPr>
            </w:pPr>
            <w:r w:rsidRPr="00FD59EC">
              <w:rPr>
                <w:b/>
                <w:bCs/>
                <w:color w:val="FFFFFF" w:themeColor="background1"/>
              </w:rPr>
              <w:t>Table 13: Claim Numbers – 2013/14</w:t>
            </w:r>
          </w:p>
        </w:tc>
      </w:tr>
      <w:tr w:rsidR="00FD59EC" w:rsidRPr="00FD59EC" w14:paraId="0F4B16B8" w14:textId="77777777" w:rsidTr="00667578">
        <w:tc>
          <w:tcPr>
            <w:tcW w:w="3374" w:type="dxa"/>
            <w:tcBorders>
              <w:top w:val="single" w:sz="2" w:space="0" w:color="2D4541" w:themeColor="accent2"/>
            </w:tcBorders>
            <w:shd w:val="clear" w:color="auto" w:fill="D4E2E0" w:themeFill="accent5"/>
            <w:vAlign w:val="center"/>
          </w:tcPr>
          <w:p w14:paraId="126ECAEA" w14:textId="77777777" w:rsidR="00FD59EC" w:rsidRPr="00FD59EC" w:rsidRDefault="00FD59EC" w:rsidP="00FD59EC">
            <w:r w:rsidRPr="00FD59EC">
              <w:br/>
              <w:t>No lost time claims</w:t>
            </w:r>
          </w:p>
        </w:tc>
        <w:tc>
          <w:tcPr>
            <w:tcW w:w="2976" w:type="dxa"/>
            <w:tcBorders>
              <w:top w:val="single" w:sz="2" w:space="0" w:color="2D4541" w:themeColor="accent2"/>
            </w:tcBorders>
            <w:vAlign w:val="center"/>
          </w:tcPr>
          <w:p w14:paraId="3F6B37DE" w14:textId="77777777" w:rsidR="00FD59EC" w:rsidRPr="00FD59EC" w:rsidRDefault="00FD59EC" w:rsidP="00FD59EC">
            <w:pPr>
              <w:rPr>
                <w:rFonts w:cs="Arial"/>
              </w:rPr>
            </w:pPr>
            <w:r w:rsidRPr="00FD59EC">
              <w:t>18,605</w:t>
            </w:r>
          </w:p>
        </w:tc>
      </w:tr>
      <w:tr w:rsidR="00FD59EC" w:rsidRPr="00FD59EC" w14:paraId="328DCB8A" w14:textId="77777777" w:rsidTr="00667578">
        <w:tc>
          <w:tcPr>
            <w:tcW w:w="3374" w:type="dxa"/>
            <w:shd w:val="clear" w:color="auto" w:fill="D4E2E0" w:themeFill="accent5"/>
            <w:vAlign w:val="center"/>
          </w:tcPr>
          <w:p w14:paraId="4EB346DE" w14:textId="77777777" w:rsidR="00FD59EC" w:rsidRPr="00FD59EC" w:rsidRDefault="00FD59EC" w:rsidP="00FD59EC">
            <w:r w:rsidRPr="00FD59EC">
              <w:br/>
              <w:t>Lost time claims</w:t>
            </w:r>
          </w:p>
        </w:tc>
        <w:tc>
          <w:tcPr>
            <w:tcW w:w="2976" w:type="dxa"/>
            <w:vAlign w:val="center"/>
          </w:tcPr>
          <w:p w14:paraId="4EB28B10" w14:textId="77777777" w:rsidR="00FD59EC" w:rsidRPr="00FD59EC" w:rsidRDefault="00FD59EC" w:rsidP="00FD59EC">
            <w:pPr>
              <w:rPr>
                <w:rFonts w:cs="Arial"/>
              </w:rPr>
            </w:pPr>
            <w:r w:rsidRPr="00FD59EC">
              <w:t>16,957</w:t>
            </w:r>
          </w:p>
        </w:tc>
      </w:tr>
      <w:tr w:rsidR="00FD59EC" w:rsidRPr="00FD59EC" w14:paraId="3ECF4FBD" w14:textId="77777777" w:rsidTr="00667578">
        <w:tc>
          <w:tcPr>
            <w:tcW w:w="3374" w:type="dxa"/>
            <w:shd w:val="clear" w:color="auto" w:fill="F5EDC1" w:themeFill="accent4"/>
            <w:vAlign w:val="center"/>
          </w:tcPr>
          <w:p w14:paraId="04C6481A" w14:textId="77777777" w:rsidR="00FD59EC" w:rsidRPr="00FD59EC" w:rsidRDefault="00FD59EC" w:rsidP="00FD59EC">
            <w:r w:rsidRPr="00FD59EC">
              <w:br/>
              <w:t>Total number of 1–59 days/shifts lost claims</w:t>
            </w:r>
          </w:p>
        </w:tc>
        <w:tc>
          <w:tcPr>
            <w:tcW w:w="2976" w:type="dxa"/>
            <w:vAlign w:val="center"/>
          </w:tcPr>
          <w:p w14:paraId="45C8AE30" w14:textId="77777777" w:rsidR="00FD59EC" w:rsidRPr="00FD59EC" w:rsidRDefault="00FD59EC" w:rsidP="00FD59EC">
            <w:pPr>
              <w:rPr>
                <w:rFonts w:cs="Arial"/>
              </w:rPr>
            </w:pPr>
            <w:r w:rsidRPr="00FD59EC">
              <w:t>11,600</w:t>
            </w:r>
          </w:p>
        </w:tc>
      </w:tr>
      <w:tr w:rsidR="00FD59EC" w:rsidRPr="00FD59EC" w14:paraId="19467120" w14:textId="77777777" w:rsidTr="00667578">
        <w:tc>
          <w:tcPr>
            <w:tcW w:w="3374" w:type="dxa"/>
            <w:shd w:val="clear" w:color="auto" w:fill="F5EDC1" w:themeFill="accent4"/>
            <w:vAlign w:val="center"/>
          </w:tcPr>
          <w:p w14:paraId="3232D982" w14:textId="77777777" w:rsidR="00FD59EC" w:rsidRPr="00FD59EC" w:rsidRDefault="00FD59EC" w:rsidP="00FD59EC">
            <w:r w:rsidRPr="00FD59EC">
              <w:t>Total number of long duration claims (60+ days/shifts lost)</w:t>
            </w:r>
          </w:p>
        </w:tc>
        <w:tc>
          <w:tcPr>
            <w:tcW w:w="2976" w:type="dxa"/>
            <w:vAlign w:val="center"/>
          </w:tcPr>
          <w:p w14:paraId="63CF0D84" w14:textId="77777777" w:rsidR="00FD59EC" w:rsidRPr="00FD59EC" w:rsidRDefault="00FD59EC" w:rsidP="00FD59EC">
            <w:pPr>
              <w:rPr>
                <w:rFonts w:cs="Arial"/>
              </w:rPr>
            </w:pPr>
            <w:r w:rsidRPr="00FD59EC">
              <w:t>5,357</w:t>
            </w:r>
          </w:p>
        </w:tc>
      </w:tr>
    </w:tbl>
    <w:p w14:paraId="3E6E88E1" w14:textId="406E5869" w:rsidR="00FD59EC" w:rsidRPr="00FD59EC" w:rsidRDefault="00FD59EC" w:rsidP="00245969">
      <w:pPr>
        <w:pStyle w:val="Heading2nonumber"/>
        <w:rPr>
          <w:lang w:val="en-US"/>
        </w:rPr>
      </w:pPr>
      <w:bookmarkStart w:id="189" w:name="_Toc399316939"/>
      <w:bookmarkStart w:id="190" w:name="_Toc430091184"/>
      <w:r w:rsidRPr="00FD59EC">
        <w:rPr>
          <w:lang w:val="en-US"/>
        </w:rPr>
        <w:t>Claim trends</w:t>
      </w:r>
      <w:bookmarkEnd w:id="189"/>
      <w:bookmarkEnd w:id="190"/>
    </w:p>
    <w:p w14:paraId="3185F8AE" w14:textId="77777777" w:rsidR="00FD59EC" w:rsidRPr="00FD59EC" w:rsidRDefault="00FD59EC" w:rsidP="00FD59EC">
      <w:r w:rsidRPr="00FD59EC">
        <w:t>From 2009/10 to 2013/14, the annual number of claims lodged in the workers’ compensation scheme of WA decreased from 36,580 to 35,562 (three per cent). In 2011/12, claims peaked at 38,708 and dropped in 2013/14 by eight per cent.</w:t>
      </w:r>
    </w:p>
    <w:p w14:paraId="7BA1F5FC" w14:textId="79722934" w:rsidR="00883051" w:rsidRDefault="00FD59EC" w:rsidP="00FD59EC">
      <w:r w:rsidRPr="00FD59EC">
        <w:t>The number of long duration claims (claims with 60 or more days/shifts lost) increased over the last five years, whereas claims with shorter duration and no lost-time decreased.</w:t>
      </w:r>
    </w:p>
    <w:p w14:paraId="161C6B58" w14:textId="2BA3B63D" w:rsidR="00883051" w:rsidRDefault="00546571">
      <w:pPr>
        <w:keepLines w:val="0"/>
        <w:spacing w:after="0" w:line="240" w:lineRule="auto"/>
      </w:pPr>
      <w:r>
        <w:rPr>
          <w:noProof/>
          <w:lang w:eastAsia="en-AU"/>
        </w:rPr>
        <w:drawing>
          <wp:anchor distT="0" distB="0" distL="114300" distR="114300" simplePos="0" relativeHeight="251719680" behindDoc="0" locked="0" layoutInCell="1" allowOverlap="1" wp14:anchorId="68010341" wp14:editId="539A7210">
            <wp:simplePos x="0" y="0"/>
            <wp:positionH relativeFrom="column">
              <wp:posOffset>2774403</wp:posOffset>
            </wp:positionH>
            <wp:positionV relativeFrom="page">
              <wp:posOffset>7061835</wp:posOffset>
            </wp:positionV>
            <wp:extent cx="6416040" cy="2842260"/>
            <wp:effectExtent l="0" t="0" r="3810" b="0"/>
            <wp:wrapSquare wrapText="bothSides"/>
            <wp:docPr id="26" name="Picture 26"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17" cstate="print">
                      <a:extLst>
                        <a:ext uri="{28A0092B-C50C-407E-A947-70E740481C1C}">
                          <a14:useLocalDpi xmlns:a14="http://schemas.microsoft.com/office/drawing/2010/main" val="0"/>
                        </a:ext>
                      </a:extLst>
                    </a:blip>
                    <a:srcRect t="39269" b="29401"/>
                    <a:stretch/>
                  </pic:blipFill>
                  <pic:spPr bwMode="auto">
                    <a:xfrm>
                      <a:off x="0" y="0"/>
                      <a:ext cx="6416040"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051">
        <w:br w:type="page"/>
      </w:r>
    </w:p>
    <w:p w14:paraId="7308C187" w14:textId="77777777" w:rsidR="00C345F4" w:rsidRDefault="00C345F4">
      <w:pPr>
        <w:keepLines w:val="0"/>
        <w:spacing w:after="0" w:line="240" w:lineRule="auto"/>
      </w:pPr>
    </w:p>
    <w:tbl>
      <w:tblPr>
        <w:tblStyle w:val="TableGrid"/>
        <w:tblW w:w="8562"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14 Claim Trends"/>
        <w:tblDescription w:val="Table 14 details the Claim Trends in the financial year"/>
      </w:tblPr>
      <w:tblGrid>
        <w:gridCol w:w="2074"/>
        <w:gridCol w:w="1300"/>
        <w:gridCol w:w="1322"/>
        <w:gridCol w:w="1322"/>
        <w:gridCol w:w="1293"/>
        <w:gridCol w:w="1251"/>
      </w:tblGrid>
      <w:tr w:rsidR="00FD59EC" w:rsidRPr="00FD59EC" w14:paraId="762EF921" w14:textId="77777777" w:rsidTr="00667578">
        <w:trPr>
          <w:tblHeader/>
        </w:trPr>
        <w:tc>
          <w:tcPr>
            <w:tcW w:w="8562" w:type="dxa"/>
            <w:gridSpan w:val="6"/>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Pr>
          <w:p w14:paraId="0F66CF64" w14:textId="77777777" w:rsidR="00FD59EC" w:rsidRPr="00FD59EC" w:rsidRDefault="00FD59EC" w:rsidP="00FD59EC">
            <w:pPr>
              <w:rPr>
                <w:b/>
                <w:bCs/>
                <w:color w:val="FFFFFF" w:themeColor="background1"/>
              </w:rPr>
            </w:pPr>
            <w:r w:rsidRPr="00FD59EC">
              <w:rPr>
                <w:b/>
                <w:bCs/>
                <w:color w:val="FFFFFF" w:themeColor="background1"/>
              </w:rPr>
              <w:t>Table 14: Claim Trends</w:t>
            </w:r>
          </w:p>
        </w:tc>
      </w:tr>
      <w:tr w:rsidR="00FD59EC" w:rsidRPr="00FD59EC" w14:paraId="3D89D3CA" w14:textId="77777777" w:rsidTr="00667578">
        <w:tc>
          <w:tcPr>
            <w:tcW w:w="2074" w:type="dxa"/>
            <w:tcBorders>
              <w:top w:val="single" w:sz="2" w:space="0" w:color="2D4541" w:themeColor="accent2"/>
              <w:bottom w:val="single" w:sz="4" w:space="0" w:color="BAD0CD" w:themeColor="accent5" w:themeShade="E6"/>
            </w:tcBorders>
            <w:shd w:val="clear" w:color="auto" w:fill="CEDFDC" w:themeFill="accent2" w:themeFillTint="33"/>
          </w:tcPr>
          <w:p w14:paraId="031863F9" w14:textId="77777777" w:rsidR="00FD59EC" w:rsidRPr="00FD59EC" w:rsidRDefault="00FD59EC" w:rsidP="00FD59EC">
            <w:pPr>
              <w:rPr>
                <w:b/>
                <w:bCs/>
              </w:rPr>
            </w:pPr>
            <w:r w:rsidRPr="00FD59EC">
              <w:rPr>
                <w:b/>
                <w:bCs/>
              </w:rPr>
              <w:t>Lodgement year</w:t>
            </w:r>
          </w:p>
        </w:tc>
        <w:tc>
          <w:tcPr>
            <w:tcW w:w="1300" w:type="dxa"/>
            <w:tcBorders>
              <w:top w:val="single" w:sz="2" w:space="0" w:color="2D4541" w:themeColor="accent2"/>
              <w:bottom w:val="single" w:sz="4" w:space="0" w:color="BAD0CD" w:themeColor="accent5" w:themeShade="E6"/>
            </w:tcBorders>
            <w:shd w:val="clear" w:color="auto" w:fill="CEDFDC" w:themeFill="accent2" w:themeFillTint="33"/>
          </w:tcPr>
          <w:p w14:paraId="59BFFA08" w14:textId="77777777" w:rsidR="00FD59EC" w:rsidRPr="00FD59EC" w:rsidRDefault="00FD59EC" w:rsidP="00FD59EC">
            <w:pPr>
              <w:keepNext/>
              <w:tabs>
                <w:tab w:val="left" w:pos="3544"/>
              </w:tabs>
              <w:spacing w:before="60" w:line="240" w:lineRule="auto"/>
              <w:outlineLvl w:val="3"/>
              <w:rPr>
                <w:rFonts w:eastAsiaTheme="majorEastAsia" w:cs="Arial"/>
                <w:b/>
                <w:szCs w:val="28"/>
                <w:lang w:val="en-US" w:eastAsia="en-AU"/>
              </w:rPr>
            </w:pPr>
            <w:r w:rsidRPr="00FD59EC">
              <w:rPr>
                <w:rFonts w:eastAsiaTheme="majorEastAsia" w:cs="Arial"/>
                <w:b/>
                <w:szCs w:val="28"/>
                <w:lang w:val="en-US" w:eastAsia="en-AU"/>
              </w:rPr>
              <w:t>2009/10</w:t>
            </w:r>
          </w:p>
        </w:tc>
        <w:tc>
          <w:tcPr>
            <w:tcW w:w="1322" w:type="dxa"/>
            <w:tcBorders>
              <w:top w:val="single" w:sz="2" w:space="0" w:color="2D4541" w:themeColor="accent2"/>
              <w:bottom w:val="single" w:sz="4" w:space="0" w:color="BAD0CD" w:themeColor="accent5" w:themeShade="E6"/>
            </w:tcBorders>
            <w:shd w:val="clear" w:color="auto" w:fill="CEDFDC" w:themeFill="accent2" w:themeFillTint="33"/>
          </w:tcPr>
          <w:p w14:paraId="34E7F60D" w14:textId="77777777" w:rsidR="00FD59EC" w:rsidRPr="00FD59EC" w:rsidRDefault="00FD59EC" w:rsidP="00FD59EC">
            <w:pPr>
              <w:keepNext/>
              <w:tabs>
                <w:tab w:val="left" w:pos="3544"/>
              </w:tabs>
              <w:spacing w:before="60" w:line="240" w:lineRule="auto"/>
              <w:outlineLvl w:val="3"/>
              <w:rPr>
                <w:rFonts w:eastAsiaTheme="majorEastAsia" w:cs="Arial"/>
                <w:b/>
                <w:szCs w:val="28"/>
                <w:lang w:val="en-US" w:eastAsia="en-AU"/>
              </w:rPr>
            </w:pPr>
            <w:r w:rsidRPr="00FD59EC">
              <w:rPr>
                <w:rFonts w:eastAsiaTheme="majorEastAsia" w:cs="Arial"/>
                <w:b/>
                <w:szCs w:val="28"/>
                <w:lang w:val="en-US" w:eastAsia="en-AU"/>
              </w:rPr>
              <w:t>2010/11</w:t>
            </w:r>
          </w:p>
        </w:tc>
        <w:tc>
          <w:tcPr>
            <w:tcW w:w="1322" w:type="dxa"/>
            <w:tcBorders>
              <w:top w:val="single" w:sz="2" w:space="0" w:color="2D4541" w:themeColor="accent2"/>
              <w:bottom w:val="single" w:sz="4" w:space="0" w:color="BAD0CD" w:themeColor="accent5" w:themeShade="E6"/>
            </w:tcBorders>
            <w:shd w:val="clear" w:color="auto" w:fill="CEDFDC" w:themeFill="accent2" w:themeFillTint="33"/>
          </w:tcPr>
          <w:p w14:paraId="41D725D7" w14:textId="77777777" w:rsidR="00FD59EC" w:rsidRPr="00FD59EC" w:rsidRDefault="00FD59EC" w:rsidP="00FD59EC">
            <w:pPr>
              <w:keepNext/>
              <w:tabs>
                <w:tab w:val="left" w:pos="3544"/>
              </w:tabs>
              <w:spacing w:before="60" w:line="240" w:lineRule="auto"/>
              <w:outlineLvl w:val="3"/>
              <w:rPr>
                <w:rFonts w:eastAsiaTheme="majorEastAsia" w:cs="Arial"/>
                <w:b/>
                <w:szCs w:val="28"/>
                <w:lang w:val="en-US" w:eastAsia="en-AU"/>
              </w:rPr>
            </w:pPr>
            <w:r w:rsidRPr="00FD59EC">
              <w:rPr>
                <w:rFonts w:eastAsiaTheme="majorEastAsia" w:cs="Arial"/>
                <w:b/>
                <w:szCs w:val="28"/>
                <w:lang w:val="en-US" w:eastAsia="en-AU"/>
              </w:rPr>
              <w:t>2011/12</w:t>
            </w:r>
          </w:p>
        </w:tc>
        <w:tc>
          <w:tcPr>
            <w:tcW w:w="1293" w:type="dxa"/>
            <w:tcBorders>
              <w:top w:val="single" w:sz="2" w:space="0" w:color="2D4541" w:themeColor="accent2"/>
              <w:bottom w:val="single" w:sz="4" w:space="0" w:color="BAD0CD" w:themeColor="accent5" w:themeShade="E6"/>
            </w:tcBorders>
            <w:shd w:val="clear" w:color="auto" w:fill="CEDFDC" w:themeFill="accent2" w:themeFillTint="33"/>
          </w:tcPr>
          <w:p w14:paraId="75D39021" w14:textId="77777777" w:rsidR="00FD59EC" w:rsidRPr="00FD59EC" w:rsidRDefault="00FD59EC" w:rsidP="00FD59EC">
            <w:pPr>
              <w:keepNext/>
              <w:tabs>
                <w:tab w:val="left" w:pos="3544"/>
              </w:tabs>
              <w:spacing w:before="60" w:line="240" w:lineRule="auto"/>
              <w:outlineLvl w:val="3"/>
              <w:rPr>
                <w:rFonts w:eastAsiaTheme="majorEastAsia" w:cs="Arial"/>
                <w:b/>
                <w:szCs w:val="28"/>
                <w:lang w:val="en-US" w:eastAsia="en-AU"/>
              </w:rPr>
            </w:pPr>
            <w:r w:rsidRPr="00FD59EC">
              <w:rPr>
                <w:rFonts w:eastAsiaTheme="majorEastAsia" w:cs="Arial"/>
                <w:b/>
                <w:szCs w:val="28"/>
                <w:lang w:val="en-US" w:eastAsia="en-AU"/>
              </w:rPr>
              <w:t>2012/13</w:t>
            </w:r>
          </w:p>
        </w:tc>
        <w:tc>
          <w:tcPr>
            <w:tcW w:w="1251" w:type="dxa"/>
            <w:tcBorders>
              <w:top w:val="single" w:sz="2" w:space="0" w:color="2D4541" w:themeColor="accent2"/>
              <w:bottom w:val="single" w:sz="4" w:space="0" w:color="BAD0CD" w:themeColor="accent5" w:themeShade="E6"/>
            </w:tcBorders>
            <w:shd w:val="clear" w:color="auto" w:fill="CEDFDC" w:themeFill="accent2" w:themeFillTint="33"/>
          </w:tcPr>
          <w:p w14:paraId="504D38D3" w14:textId="77777777" w:rsidR="00FD59EC" w:rsidRPr="00FD59EC" w:rsidRDefault="00FD59EC" w:rsidP="00FD59EC">
            <w:pPr>
              <w:keepNext/>
              <w:tabs>
                <w:tab w:val="left" w:pos="3544"/>
              </w:tabs>
              <w:spacing w:before="60" w:line="240" w:lineRule="auto"/>
              <w:outlineLvl w:val="3"/>
              <w:rPr>
                <w:rFonts w:eastAsiaTheme="majorEastAsia" w:cs="Arial"/>
                <w:b/>
                <w:szCs w:val="28"/>
                <w:lang w:val="en-US" w:eastAsia="en-AU"/>
              </w:rPr>
            </w:pPr>
            <w:r w:rsidRPr="00FD59EC">
              <w:rPr>
                <w:rFonts w:eastAsiaTheme="majorEastAsia" w:cs="Arial"/>
                <w:b/>
                <w:szCs w:val="28"/>
                <w:lang w:val="en-US" w:eastAsia="en-AU"/>
              </w:rPr>
              <w:t>2013/14</w:t>
            </w:r>
          </w:p>
        </w:tc>
      </w:tr>
      <w:tr w:rsidR="00FD59EC" w:rsidRPr="00FD59EC" w14:paraId="47E7B9BA" w14:textId="77777777" w:rsidTr="00667578">
        <w:tc>
          <w:tcPr>
            <w:tcW w:w="2074" w:type="dxa"/>
            <w:tcBorders>
              <w:top w:val="single" w:sz="8" w:space="0" w:color="BAD0CD" w:themeColor="accent5" w:themeShade="E6"/>
            </w:tcBorders>
            <w:shd w:val="clear" w:color="auto" w:fill="D4E2E0" w:themeFill="accent5"/>
            <w:vAlign w:val="center"/>
          </w:tcPr>
          <w:p w14:paraId="6B8EBDC1" w14:textId="77777777" w:rsidR="00FD59EC" w:rsidRPr="00FD59EC" w:rsidRDefault="00FD59EC" w:rsidP="00FD59EC">
            <w:r w:rsidRPr="00FD59EC">
              <w:br/>
              <w:t>Total number of workers’ compensation claims lodged</w:t>
            </w:r>
          </w:p>
        </w:tc>
        <w:tc>
          <w:tcPr>
            <w:tcW w:w="1300" w:type="dxa"/>
            <w:tcBorders>
              <w:top w:val="single" w:sz="8" w:space="0" w:color="BAD0CD" w:themeColor="accent5" w:themeShade="E6"/>
            </w:tcBorders>
            <w:vAlign w:val="center"/>
          </w:tcPr>
          <w:p w14:paraId="5E1278FE" w14:textId="77777777" w:rsidR="00FD59EC" w:rsidRPr="00FD59EC" w:rsidRDefault="00FD59EC" w:rsidP="00FD59EC">
            <w:pPr>
              <w:rPr>
                <w:rFonts w:cs="Arial"/>
              </w:rPr>
            </w:pPr>
            <w:r w:rsidRPr="00FD59EC">
              <w:t xml:space="preserve"> 36,580 </w:t>
            </w:r>
          </w:p>
        </w:tc>
        <w:tc>
          <w:tcPr>
            <w:tcW w:w="1322" w:type="dxa"/>
            <w:tcBorders>
              <w:top w:val="single" w:sz="8" w:space="0" w:color="BAD0CD" w:themeColor="accent5" w:themeShade="E6"/>
            </w:tcBorders>
            <w:vAlign w:val="center"/>
          </w:tcPr>
          <w:p w14:paraId="05B88710" w14:textId="77777777" w:rsidR="00FD59EC" w:rsidRPr="00FD59EC" w:rsidRDefault="00FD59EC" w:rsidP="00FD59EC">
            <w:pPr>
              <w:rPr>
                <w:rFonts w:cs="Arial"/>
              </w:rPr>
            </w:pPr>
            <w:r w:rsidRPr="00FD59EC">
              <w:t xml:space="preserve"> 37,710 </w:t>
            </w:r>
          </w:p>
        </w:tc>
        <w:tc>
          <w:tcPr>
            <w:tcW w:w="1322" w:type="dxa"/>
            <w:tcBorders>
              <w:top w:val="single" w:sz="8" w:space="0" w:color="BAD0CD" w:themeColor="accent5" w:themeShade="E6"/>
            </w:tcBorders>
            <w:vAlign w:val="center"/>
          </w:tcPr>
          <w:p w14:paraId="13221BAD" w14:textId="77777777" w:rsidR="00FD59EC" w:rsidRPr="00FD59EC" w:rsidRDefault="00FD59EC" w:rsidP="00FD59EC">
            <w:pPr>
              <w:rPr>
                <w:rFonts w:cs="Arial"/>
              </w:rPr>
            </w:pPr>
            <w:r w:rsidRPr="00FD59EC">
              <w:t xml:space="preserve"> 38,708 </w:t>
            </w:r>
          </w:p>
        </w:tc>
        <w:tc>
          <w:tcPr>
            <w:tcW w:w="1293" w:type="dxa"/>
            <w:tcBorders>
              <w:top w:val="single" w:sz="8" w:space="0" w:color="BAD0CD" w:themeColor="accent5" w:themeShade="E6"/>
            </w:tcBorders>
            <w:vAlign w:val="center"/>
          </w:tcPr>
          <w:p w14:paraId="1E8C6B6E" w14:textId="77777777" w:rsidR="00FD59EC" w:rsidRPr="00FD59EC" w:rsidRDefault="00FD59EC" w:rsidP="00FD59EC">
            <w:pPr>
              <w:rPr>
                <w:rFonts w:cs="Arial"/>
              </w:rPr>
            </w:pPr>
            <w:r w:rsidRPr="00FD59EC">
              <w:t xml:space="preserve"> 37,342 </w:t>
            </w:r>
          </w:p>
        </w:tc>
        <w:tc>
          <w:tcPr>
            <w:tcW w:w="1251" w:type="dxa"/>
            <w:tcBorders>
              <w:top w:val="single" w:sz="8" w:space="0" w:color="BAD0CD" w:themeColor="accent5" w:themeShade="E6"/>
            </w:tcBorders>
            <w:vAlign w:val="center"/>
          </w:tcPr>
          <w:p w14:paraId="0C021B8D" w14:textId="77777777" w:rsidR="00FD59EC" w:rsidRPr="00FD59EC" w:rsidRDefault="00FD59EC" w:rsidP="00FD59EC">
            <w:pPr>
              <w:rPr>
                <w:rFonts w:cs="Arial"/>
              </w:rPr>
            </w:pPr>
            <w:r w:rsidRPr="00FD59EC">
              <w:t xml:space="preserve"> 35,562 </w:t>
            </w:r>
          </w:p>
        </w:tc>
      </w:tr>
      <w:tr w:rsidR="00FD59EC" w:rsidRPr="00FD59EC" w14:paraId="73F56F7B" w14:textId="77777777" w:rsidTr="00667578">
        <w:tc>
          <w:tcPr>
            <w:tcW w:w="2074" w:type="dxa"/>
            <w:shd w:val="clear" w:color="auto" w:fill="D4E2E0" w:themeFill="accent5"/>
            <w:vAlign w:val="center"/>
          </w:tcPr>
          <w:p w14:paraId="1FCCF5AE" w14:textId="77777777" w:rsidR="00FD59EC" w:rsidRPr="00FD59EC" w:rsidRDefault="00FD59EC" w:rsidP="00FD59EC">
            <w:r w:rsidRPr="00FD59EC">
              <w:br/>
              <w:t>Total number of no lost time claims lodged</w:t>
            </w:r>
          </w:p>
        </w:tc>
        <w:tc>
          <w:tcPr>
            <w:tcW w:w="1300" w:type="dxa"/>
            <w:vAlign w:val="center"/>
          </w:tcPr>
          <w:p w14:paraId="14F9D746" w14:textId="77777777" w:rsidR="00FD59EC" w:rsidRPr="00FD59EC" w:rsidRDefault="00FD59EC" w:rsidP="00FD59EC">
            <w:pPr>
              <w:rPr>
                <w:rFonts w:cs="Arial"/>
              </w:rPr>
            </w:pPr>
            <w:r w:rsidRPr="00FD59EC">
              <w:t xml:space="preserve"> 20,119 </w:t>
            </w:r>
          </w:p>
        </w:tc>
        <w:tc>
          <w:tcPr>
            <w:tcW w:w="1322" w:type="dxa"/>
            <w:vAlign w:val="center"/>
          </w:tcPr>
          <w:p w14:paraId="4FC461B5" w14:textId="77777777" w:rsidR="00FD59EC" w:rsidRPr="00FD59EC" w:rsidRDefault="00FD59EC" w:rsidP="00FD59EC">
            <w:pPr>
              <w:rPr>
                <w:rFonts w:cs="Arial"/>
              </w:rPr>
            </w:pPr>
            <w:r w:rsidRPr="00FD59EC">
              <w:t xml:space="preserve"> 20,223 </w:t>
            </w:r>
          </w:p>
        </w:tc>
        <w:tc>
          <w:tcPr>
            <w:tcW w:w="1322" w:type="dxa"/>
            <w:vAlign w:val="center"/>
          </w:tcPr>
          <w:p w14:paraId="3BE54F52" w14:textId="77777777" w:rsidR="00FD59EC" w:rsidRPr="00FD59EC" w:rsidRDefault="00FD59EC" w:rsidP="00FD59EC">
            <w:pPr>
              <w:rPr>
                <w:rFonts w:cs="Arial"/>
              </w:rPr>
            </w:pPr>
            <w:r w:rsidRPr="00FD59EC">
              <w:t xml:space="preserve"> 20,561 </w:t>
            </w:r>
          </w:p>
        </w:tc>
        <w:tc>
          <w:tcPr>
            <w:tcW w:w="1293" w:type="dxa"/>
            <w:vAlign w:val="center"/>
          </w:tcPr>
          <w:p w14:paraId="6720CC36" w14:textId="77777777" w:rsidR="00FD59EC" w:rsidRPr="00FD59EC" w:rsidRDefault="00FD59EC" w:rsidP="00FD59EC">
            <w:pPr>
              <w:rPr>
                <w:rFonts w:cs="Arial"/>
              </w:rPr>
            </w:pPr>
            <w:r w:rsidRPr="00FD59EC">
              <w:t xml:space="preserve"> 19,428 </w:t>
            </w:r>
          </w:p>
        </w:tc>
        <w:tc>
          <w:tcPr>
            <w:tcW w:w="1251" w:type="dxa"/>
            <w:vAlign w:val="center"/>
          </w:tcPr>
          <w:p w14:paraId="70472222" w14:textId="77777777" w:rsidR="00FD59EC" w:rsidRPr="00FD59EC" w:rsidRDefault="00FD59EC" w:rsidP="00FD59EC">
            <w:pPr>
              <w:rPr>
                <w:rFonts w:cs="Arial"/>
              </w:rPr>
            </w:pPr>
            <w:r w:rsidRPr="00FD59EC">
              <w:t xml:space="preserve"> 18,605 </w:t>
            </w:r>
          </w:p>
        </w:tc>
      </w:tr>
      <w:tr w:rsidR="00FD59EC" w:rsidRPr="00FD59EC" w14:paraId="5979766C" w14:textId="77777777" w:rsidTr="00667578">
        <w:tc>
          <w:tcPr>
            <w:tcW w:w="2074" w:type="dxa"/>
            <w:shd w:val="clear" w:color="auto" w:fill="D4E2E0" w:themeFill="accent5"/>
            <w:vAlign w:val="center"/>
          </w:tcPr>
          <w:p w14:paraId="29C2A8B6" w14:textId="77777777" w:rsidR="00FD59EC" w:rsidRPr="00FD59EC" w:rsidRDefault="00FD59EC" w:rsidP="00FD59EC">
            <w:r w:rsidRPr="00FD59EC">
              <w:br/>
              <w:t>Total number of 1–59 days/shifts lost claims</w:t>
            </w:r>
          </w:p>
        </w:tc>
        <w:tc>
          <w:tcPr>
            <w:tcW w:w="1300" w:type="dxa"/>
            <w:vAlign w:val="center"/>
          </w:tcPr>
          <w:p w14:paraId="2BCF1EAB" w14:textId="77777777" w:rsidR="00FD59EC" w:rsidRPr="00FD59EC" w:rsidRDefault="00FD59EC" w:rsidP="00FD59EC">
            <w:pPr>
              <w:rPr>
                <w:rFonts w:cs="Arial"/>
              </w:rPr>
            </w:pPr>
            <w:r w:rsidRPr="00FD59EC">
              <w:t xml:space="preserve"> 12,610 </w:t>
            </w:r>
          </w:p>
        </w:tc>
        <w:tc>
          <w:tcPr>
            <w:tcW w:w="1322" w:type="dxa"/>
            <w:vAlign w:val="center"/>
          </w:tcPr>
          <w:p w14:paraId="43D843B6" w14:textId="77777777" w:rsidR="00FD59EC" w:rsidRPr="00FD59EC" w:rsidRDefault="00FD59EC" w:rsidP="00FD59EC">
            <w:pPr>
              <w:rPr>
                <w:rFonts w:cs="Arial"/>
              </w:rPr>
            </w:pPr>
            <w:r w:rsidRPr="00FD59EC">
              <w:t xml:space="preserve"> 13,176 </w:t>
            </w:r>
          </w:p>
        </w:tc>
        <w:tc>
          <w:tcPr>
            <w:tcW w:w="1322" w:type="dxa"/>
            <w:vAlign w:val="center"/>
          </w:tcPr>
          <w:p w14:paraId="5AAA82CB" w14:textId="77777777" w:rsidR="00FD59EC" w:rsidRPr="00FD59EC" w:rsidRDefault="00FD59EC" w:rsidP="00FD59EC">
            <w:pPr>
              <w:rPr>
                <w:rFonts w:cs="Arial"/>
              </w:rPr>
            </w:pPr>
            <w:r w:rsidRPr="00FD59EC">
              <w:t xml:space="preserve"> 13,498 </w:t>
            </w:r>
          </w:p>
        </w:tc>
        <w:tc>
          <w:tcPr>
            <w:tcW w:w="1293" w:type="dxa"/>
            <w:vAlign w:val="center"/>
          </w:tcPr>
          <w:p w14:paraId="5A68923E" w14:textId="77777777" w:rsidR="00FD59EC" w:rsidRPr="00FD59EC" w:rsidRDefault="00FD59EC" w:rsidP="00FD59EC">
            <w:pPr>
              <w:rPr>
                <w:rFonts w:cs="Arial"/>
              </w:rPr>
            </w:pPr>
            <w:r w:rsidRPr="00FD59EC">
              <w:t xml:space="preserve"> 13,079 </w:t>
            </w:r>
          </w:p>
        </w:tc>
        <w:tc>
          <w:tcPr>
            <w:tcW w:w="1251" w:type="dxa"/>
            <w:vAlign w:val="center"/>
          </w:tcPr>
          <w:p w14:paraId="78BF2EF5" w14:textId="77777777" w:rsidR="00FD59EC" w:rsidRPr="00FD59EC" w:rsidRDefault="00FD59EC" w:rsidP="00FD59EC">
            <w:pPr>
              <w:rPr>
                <w:rFonts w:cs="Arial"/>
              </w:rPr>
            </w:pPr>
            <w:r w:rsidRPr="00FD59EC">
              <w:t xml:space="preserve"> 11,600 </w:t>
            </w:r>
          </w:p>
        </w:tc>
      </w:tr>
      <w:tr w:rsidR="00FD59EC" w:rsidRPr="00FD59EC" w14:paraId="47CDF37A" w14:textId="77777777" w:rsidTr="00667578">
        <w:tc>
          <w:tcPr>
            <w:tcW w:w="2074" w:type="dxa"/>
            <w:shd w:val="clear" w:color="auto" w:fill="D4E2E0" w:themeFill="accent5"/>
            <w:vAlign w:val="center"/>
          </w:tcPr>
          <w:p w14:paraId="23C0EC2C" w14:textId="77777777" w:rsidR="00FD59EC" w:rsidRPr="00FD59EC" w:rsidRDefault="00FD59EC" w:rsidP="00FD59EC">
            <w:r w:rsidRPr="00FD59EC">
              <w:t>Total number of long duration claims (60+ days/shifts lost)</w:t>
            </w:r>
          </w:p>
        </w:tc>
        <w:tc>
          <w:tcPr>
            <w:tcW w:w="1300" w:type="dxa"/>
            <w:vAlign w:val="center"/>
          </w:tcPr>
          <w:p w14:paraId="3B310CC8" w14:textId="77777777" w:rsidR="00FD59EC" w:rsidRPr="00FD59EC" w:rsidRDefault="00FD59EC" w:rsidP="00FD59EC">
            <w:pPr>
              <w:rPr>
                <w:rFonts w:cs="Arial"/>
              </w:rPr>
            </w:pPr>
            <w:r w:rsidRPr="00FD59EC">
              <w:t xml:space="preserve"> 3,851 </w:t>
            </w:r>
          </w:p>
        </w:tc>
        <w:tc>
          <w:tcPr>
            <w:tcW w:w="1322" w:type="dxa"/>
            <w:vAlign w:val="center"/>
          </w:tcPr>
          <w:p w14:paraId="63C4225B" w14:textId="77777777" w:rsidR="00FD59EC" w:rsidRPr="00FD59EC" w:rsidRDefault="00FD59EC" w:rsidP="00FD59EC">
            <w:pPr>
              <w:rPr>
                <w:rFonts w:cs="Arial"/>
              </w:rPr>
            </w:pPr>
            <w:r w:rsidRPr="00FD59EC">
              <w:t xml:space="preserve"> 4,311 </w:t>
            </w:r>
          </w:p>
        </w:tc>
        <w:tc>
          <w:tcPr>
            <w:tcW w:w="1322" w:type="dxa"/>
            <w:vAlign w:val="center"/>
          </w:tcPr>
          <w:p w14:paraId="7666E4C2" w14:textId="77777777" w:rsidR="00FD59EC" w:rsidRPr="00FD59EC" w:rsidRDefault="00FD59EC" w:rsidP="00FD59EC">
            <w:pPr>
              <w:rPr>
                <w:rFonts w:cs="Arial"/>
              </w:rPr>
            </w:pPr>
            <w:r w:rsidRPr="00FD59EC">
              <w:t xml:space="preserve"> 4,649 </w:t>
            </w:r>
          </w:p>
        </w:tc>
        <w:tc>
          <w:tcPr>
            <w:tcW w:w="1293" w:type="dxa"/>
            <w:vAlign w:val="center"/>
          </w:tcPr>
          <w:p w14:paraId="6462CF4D" w14:textId="77777777" w:rsidR="00FD59EC" w:rsidRPr="00FD59EC" w:rsidRDefault="00FD59EC" w:rsidP="00FD59EC">
            <w:pPr>
              <w:rPr>
                <w:rFonts w:cs="Arial"/>
              </w:rPr>
            </w:pPr>
            <w:r w:rsidRPr="00FD59EC">
              <w:t xml:space="preserve"> 4,835 </w:t>
            </w:r>
          </w:p>
        </w:tc>
        <w:tc>
          <w:tcPr>
            <w:tcW w:w="1251" w:type="dxa"/>
            <w:vAlign w:val="center"/>
          </w:tcPr>
          <w:p w14:paraId="3DB79B4F" w14:textId="77777777" w:rsidR="00FD59EC" w:rsidRPr="00FD59EC" w:rsidRDefault="00FD59EC" w:rsidP="00FD59EC">
            <w:pPr>
              <w:rPr>
                <w:rFonts w:cs="Arial"/>
              </w:rPr>
            </w:pPr>
            <w:r w:rsidRPr="00FD59EC">
              <w:t xml:space="preserve"> 5,357 </w:t>
            </w:r>
          </w:p>
        </w:tc>
      </w:tr>
    </w:tbl>
    <w:p w14:paraId="4BE879D4" w14:textId="77777777" w:rsidR="00FD59EC" w:rsidRPr="00FD59EC" w:rsidRDefault="00FD59EC" w:rsidP="00FD59EC">
      <w:pPr>
        <w:keepLines w:val="0"/>
        <w:spacing w:after="0" w:line="240" w:lineRule="auto"/>
        <w:rPr>
          <w:rFonts w:eastAsiaTheme="majorEastAsia" w:cs="Arial"/>
          <w:b/>
          <w:bCs/>
          <w:iCs/>
          <w:color w:val="205352"/>
          <w:sz w:val="30"/>
          <w:szCs w:val="30"/>
          <w:lang w:val="en-US"/>
        </w:rPr>
      </w:pPr>
      <w:r w:rsidRPr="00FD59EC">
        <w:rPr>
          <w:lang w:val="en-US"/>
        </w:rPr>
        <w:br w:type="page"/>
      </w:r>
    </w:p>
    <w:p w14:paraId="309698A7" w14:textId="77777777" w:rsidR="00FD59EC" w:rsidRPr="00FD59EC" w:rsidRDefault="00FD59EC" w:rsidP="00245969">
      <w:pPr>
        <w:pStyle w:val="Heading2nonumber"/>
        <w:rPr>
          <w:lang w:val="en-US"/>
        </w:rPr>
      </w:pPr>
      <w:bookmarkStart w:id="191" w:name="_Toc399316940"/>
      <w:bookmarkStart w:id="192" w:name="_Toc430091185"/>
      <w:r w:rsidRPr="00FD59EC">
        <w:rPr>
          <w:lang w:val="en-US"/>
        </w:rPr>
        <w:lastRenderedPageBreak/>
        <w:t>Frequency rates</w:t>
      </w:r>
      <w:bookmarkEnd w:id="191"/>
      <w:bookmarkEnd w:id="192"/>
    </w:p>
    <w:p w14:paraId="1C6B01F5" w14:textId="77777777" w:rsidR="00FD59EC" w:rsidRPr="00FD59EC" w:rsidRDefault="00FD59EC" w:rsidP="00FD59EC">
      <w:r w:rsidRPr="00FD59EC">
        <w:t>The number of lost-time claims per million hours worked (frequency rate) decreased by 13 per cent between 2009/10 and 2013/14. However, the frequency rate of longer duration claims increased for reporting period.</w:t>
      </w:r>
    </w:p>
    <w:tbl>
      <w:tblPr>
        <w:tblStyle w:val="TableGrid"/>
        <w:tblW w:w="0" w:type="auto"/>
        <w:tblInd w:w="-3"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15 Frequency Rates"/>
        <w:tblDescription w:val="Table 15 details the frequency rates in the financial year"/>
      </w:tblPr>
      <w:tblGrid>
        <w:gridCol w:w="1642"/>
        <w:gridCol w:w="1128"/>
        <w:gridCol w:w="1302"/>
        <w:gridCol w:w="1302"/>
        <w:gridCol w:w="1302"/>
        <w:gridCol w:w="1157"/>
      </w:tblGrid>
      <w:tr w:rsidR="00FD59EC" w:rsidRPr="00FD59EC" w14:paraId="613643DA" w14:textId="77777777" w:rsidTr="00667578">
        <w:trPr>
          <w:tblHeader/>
        </w:trPr>
        <w:tc>
          <w:tcPr>
            <w:tcW w:w="7833" w:type="dxa"/>
            <w:gridSpan w:val="6"/>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Pr>
          <w:p w14:paraId="5036CBD3" w14:textId="77777777" w:rsidR="00FD59EC" w:rsidRPr="00FD59EC" w:rsidRDefault="00FD59EC" w:rsidP="00FD59EC">
            <w:pPr>
              <w:rPr>
                <w:b/>
                <w:bCs/>
                <w:color w:val="FFFFFF" w:themeColor="background1"/>
              </w:rPr>
            </w:pPr>
            <w:r w:rsidRPr="00FD59EC">
              <w:rPr>
                <w:b/>
                <w:bCs/>
                <w:color w:val="FFFFFF" w:themeColor="background1"/>
              </w:rPr>
              <w:t>Table 15: Frequency Rates</w:t>
            </w:r>
          </w:p>
        </w:tc>
      </w:tr>
      <w:tr w:rsidR="00FD59EC" w:rsidRPr="00FD59EC" w14:paraId="69DEBFCA" w14:textId="77777777" w:rsidTr="00667578">
        <w:tc>
          <w:tcPr>
            <w:tcW w:w="1642" w:type="dxa"/>
            <w:tcBorders>
              <w:top w:val="single" w:sz="2" w:space="0" w:color="2D4541" w:themeColor="accent2"/>
              <w:bottom w:val="single" w:sz="4" w:space="0" w:color="BAD0CD" w:themeColor="accent5" w:themeShade="E6"/>
            </w:tcBorders>
            <w:shd w:val="clear" w:color="auto" w:fill="CEDFDC" w:themeFill="accent2" w:themeFillTint="33"/>
          </w:tcPr>
          <w:p w14:paraId="79D5F91A" w14:textId="77777777" w:rsidR="00FD59EC" w:rsidRPr="00FD59EC" w:rsidRDefault="00FD59EC" w:rsidP="00FD59EC">
            <w:pPr>
              <w:rPr>
                <w:b/>
                <w:bCs/>
              </w:rPr>
            </w:pPr>
            <w:r w:rsidRPr="00FD59EC">
              <w:rPr>
                <w:b/>
                <w:bCs/>
              </w:rPr>
              <w:t>Lodgement year</w:t>
            </w:r>
          </w:p>
        </w:tc>
        <w:tc>
          <w:tcPr>
            <w:tcW w:w="1128" w:type="dxa"/>
            <w:tcBorders>
              <w:top w:val="single" w:sz="2" w:space="0" w:color="2D4541" w:themeColor="accent2"/>
              <w:bottom w:val="single" w:sz="4" w:space="0" w:color="BAD0CD" w:themeColor="accent5" w:themeShade="E6"/>
            </w:tcBorders>
            <w:shd w:val="clear" w:color="auto" w:fill="CEDFDC" w:themeFill="accent2" w:themeFillTint="33"/>
          </w:tcPr>
          <w:p w14:paraId="20C264C4" w14:textId="77777777" w:rsidR="00FD59EC" w:rsidRPr="00FD59EC" w:rsidRDefault="00FD59EC" w:rsidP="00FD59EC">
            <w:pPr>
              <w:rPr>
                <w:b/>
                <w:bCs/>
              </w:rPr>
            </w:pPr>
            <w:r w:rsidRPr="00FD59EC">
              <w:rPr>
                <w:b/>
                <w:bCs/>
              </w:rPr>
              <w:t>2009/10</w:t>
            </w:r>
          </w:p>
        </w:tc>
        <w:tc>
          <w:tcPr>
            <w:tcW w:w="1302" w:type="dxa"/>
            <w:tcBorders>
              <w:top w:val="single" w:sz="2" w:space="0" w:color="2D4541" w:themeColor="accent2"/>
              <w:bottom w:val="single" w:sz="4" w:space="0" w:color="BAD0CD" w:themeColor="accent5" w:themeShade="E6"/>
            </w:tcBorders>
            <w:shd w:val="clear" w:color="auto" w:fill="CEDFDC" w:themeFill="accent2" w:themeFillTint="33"/>
          </w:tcPr>
          <w:p w14:paraId="5CA072AA" w14:textId="77777777" w:rsidR="00FD59EC" w:rsidRPr="00FD59EC" w:rsidRDefault="00FD59EC" w:rsidP="00FD59EC">
            <w:pPr>
              <w:rPr>
                <w:b/>
                <w:bCs/>
              </w:rPr>
            </w:pPr>
            <w:r w:rsidRPr="00FD59EC">
              <w:rPr>
                <w:b/>
                <w:bCs/>
              </w:rPr>
              <w:t>2010/11</w:t>
            </w:r>
          </w:p>
        </w:tc>
        <w:tc>
          <w:tcPr>
            <w:tcW w:w="1302" w:type="dxa"/>
            <w:tcBorders>
              <w:top w:val="single" w:sz="2" w:space="0" w:color="2D4541" w:themeColor="accent2"/>
              <w:bottom w:val="single" w:sz="4" w:space="0" w:color="BAD0CD" w:themeColor="accent5" w:themeShade="E6"/>
            </w:tcBorders>
            <w:shd w:val="clear" w:color="auto" w:fill="CEDFDC" w:themeFill="accent2" w:themeFillTint="33"/>
          </w:tcPr>
          <w:p w14:paraId="125BDE32" w14:textId="77777777" w:rsidR="00FD59EC" w:rsidRPr="00FD59EC" w:rsidRDefault="00FD59EC" w:rsidP="00FD59EC">
            <w:pPr>
              <w:rPr>
                <w:b/>
                <w:bCs/>
              </w:rPr>
            </w:pPr>
            <w:r w:rsidRPr="00FD59EC">
              <w:rPr>
                <w:b/>
                <w:bCs/>
              </w:rPr>
              <w:t>2011/12</w:t>
            </w:r>
          </w:p>
        </w:tc>
        <w:tc>
          <w:tcPr>
            <w:tcW w:w="1302" w:type="dxa"/>
            <w:tcBorders>
              <w:top w:val="single" w:sz="2" w:space="0" w:color="2D4541" w:themeColor="accent2"/>
              <w:bottom w:val="single" w:sz="4" w:space="0" w:color="BAD0CD" w:themeColor="accent5" w:themeShade="E6"/>
            </w:tcBorders>
            <w:shd w:val="clear" w:color="auto" w:fill="CEDFDC" w:themeFill="accent2" w:themeFillTint="33"/>
          </w:tcPr>
          <w:p w14:paraId="6967CFFF" w14:textId="77777777" w:rsidR="00FD59EC" w:rsidRPr="00FD59EC" w:rsidRDefault="00FD59EC" w:rsidP="00FD59EC">
            <w:pPr>
              <w:rPr>
                <w:b/>
                <w:bCs/>
              </w:rPr>
            </w:pPr>
            <w:r w:rsidRPr="00FD59EC">
              <w:rPr>
                <w:b/>
                <w:bCs/>
              </w:rPr>
              <w:t>2012/13</w:t>
            </w:r>
          </w:p>
        </w:tc>
        <w:tc>
          <w:tcPr>
            <w:tcW w:w="1157" w:type="dxa"/>
            <w:tcBorders>
              <w:top w:val="single" w:sz="2" w:space="0" w:color="2D4541" w:themeColor="accent2"/>
              <w:bottom w:val="single" w:sz="4" w:space="0" w:color="BAD0CD" w:themeColor="accent5" w:themeShade="E6"/>
            </w:tcBorders>
            <w:shd w:val="clear" w:color="auto" w:fill="CEDFDC" w:themeFill="accent2" w:themeFillTint="33"/>
          </w:tcPr>
          <w:p w14:paraId="4EA34D71" w14:textId="77777777" w:rsidR="00FD59EC" w:rsidRPr="00FD59EC" w:rsidRDefault="00FD59EC" w:rsidP="00FD59EC">
            <w:pPr>
              <w:rPr>
                <w:b/>
                <w:bCs/>
              </w:rPr>
            </w:pPr>
            <w:r w:rsidRPr="00FD59EC">
              <w:rPr>
                <w:b/>
                <w:bCs/>
              </w:rPr>
              <w:t>2013/14</w:t>
            </w:r>
          </w:p>
        </w:tc>
      </w:tr>
      <w:tr w:rsidR="00FD59EC" w:rsidRPr="00FD59EC" w14:paraId="07548744" w14:textId="77777777" w:rsidTr="00C225F3">
        <w:tc>
          <w:tcPr>
            <w:tcW w:w="1642" w:type="dxa"/>
            <w:tcBorders>
              <w:top w:val="single" w:sz="8" w:space="0" w:color="BAD0CD" w:themeColor="accent5" w:themeShade="E6"/>
            </w:tcBorders>
            <w:shd w:val="clear" w:color="auto" w:fill="D4E2E0" w:themeFill="accent5"/>
            <w:vAlign w:val="center"/>
          </w:tcPr>
          <w:p w14:paraId="21709D20" w14:textId="77777777" w:rsidR="00FD59EC" w:rsidRPr="00FD59EC" w:rsidRDefault="00FD59EC" w:rsidP="00FD59EC">
            <w:r w:rsidRPr="00FD59EC">
              <w:br/>
              <w:t>Frequency rate of lost time claims (at least one day/shift lost)</w:t>
            </w:r>
          </w:p>
        </w:tc>
        <w:tc>
          <w:tcPr>
            <w:tcW w:w="1128" w:type="dxa"/>
            <w:tcBorders>
              <w:top w:val="single" w:sz="8" w:space="0" w:color="BAD0CD" w:themeColor="accent5" w:themeShade="E6"/>
            </w:tcBorders>
            <w:shd w:val="clear" w:color="auto" w:fill="auto"/>
            <w:vAlign w:val="center"/>
          </w:tcPr>
          <w:p w14:paraId="784887F3" w14:textId="77777777" w:rsidR="00FD59EC" w:rsidRPr="00FD59EC" w:rsidRDefault="00FD59EC" w:rsidP="00FD59EC">
            <w:r w:rsidRPr="00FD59EC">
              <w:t xml:space="preserve"> 9.0 </w:t>
            </w:r>
          </w:p>
        </w:tc>
        <w:tc>
          <w:tcPr>
            <w:tcW w:w="1302" w:type="dxa"/>
            <w:tcBorders>
              <w:top w:val="single" w:sz="8" w:space="0" w:color="BAD0CD" w:themeColor="accent5" w:themeShade="E6"/>
            </w:tcBorders>
            <w:shd w:val="clear" w:color="auto" w:fill="auto"/>
            <w:vAlign w:val="center"/>
          </w:tcPr>
          <w:p w14:paraId="11945F61" w14:textId="77777777" w:rsidR="00FD59EC" w:rsidRPr="00FD59EC" w:rsidRDefault="00FD59EC" w:rsidP="00FD59EC">
            <w:r w:rsidRPr="00FD59EC">
              <w:t xml:space="preserve"> 9.2 </w:t>
            </w:r>
          </w:p>
        </w:tc>
        <w:tc>
          <w:tcPr>
            <w:tcW w:w="1302" w:type="dxa"/>
            <w:tcBorders>
              <w:top w:val="single" w:sz="8" w:space="0" w:color="BAD0CD" w:themeColor="accent5" w:themeShade="E6"/>
            </w:tcBorders>
            <w:shd w:val="clear" w:color="auto" w:fill="auto"/>
            <w:vAlign w:val="center"/>
          </w:tcPr>
          <w:p w14:paraId="041BC783" w14:textId="77777777" w:rsidR="00FD59EC" w:rsidRPr="00FD59EC" w:rsidRDefault="00FD59EC" w:rsidP="00FD59EC">
            <w:r w:rsidRPr="00FD59EC">
              <w:t xml:space="preserve"> 8.9 </w:t>
            </w:r>
          </w:p>
        </w:tc>
        <w:tc>
          <w:tcPr>
            <w:tcW w:w="1302" w:type="dxa"/>
            <w:tcBorders>
              <w:top w:val="single" w:sz="8" w:space="0" w:color="BAD0CD" w:themeColor="accent5" w:themeShade="E6"/>
            </w:tcBorders>
            <w:shd w:val="clear" w:color="auto" w:fill="auto"/>
            <w:vAlign w:val="center"/>
          </w:tcPr>
          <w:p w14:paraId="38C193B4" w14:textId="77777777" w:rsidR="00FD59EC" w:rsidRPr="00FD59EC" w:rsidRDefault="00FD59EC" w:rsidP="00FD59EC">
            <w:r w:rsidRPr="00FD59EC">
              <w:t xml:space="preserve"> 8.5 </w:t>
            </w:r>
          </w:p>
        </w:tc>
        <w:tc>
          <w:tcPr>
            <w:tcW w:w="1157" w:type="dxa"/>
            <w:tcBorders>
              <w:top w:val="single" w:sz="8" w:space="0" w:color="BAD0CD" w:themeColor="accent5" w:themeShade="E6"/>
            </w:tcBorders>
            <w:shd w:val="clear" w:color="auto" w:fill="auto"/>
            <w:vAlign w:val="center"/>
          </w:tcPr>
          <w:p w14:paraId="754C332F" w14:textId="77777777" w:rsidR="00FD59EC" w:rsidRPr="00FD59EC" w:rsidRDefault="00FD59EC" w:rsidP="00FD59EC">
            <w:r w:rsidRPr="00FD59EC">
              <w:t xml:space="preserve"> 7.8 </w:t>
            </w:r>
          </w:p>
        </w:tc>
      </w:tr>
      <w:tr w:rsidR="00FD59EC" w:rsidRPr="00FD59EC" w14:paraId="7583CA88" w14:textId="77777777" w:rsidTr="00C225F3">
        <w:tc>
          <w:tcPr>
            <w:tcW w:w="1642" w:type="dxa"/>
            <w:shd w:val="clear" w:color="auto" w:fill="D4E2E0" w:themeFill="accent5"/>
            <w:vAlign w:val="center"/>
          </w:tcPr>
          <w:p w14:paraId="50D5F27A" w14:textId="77777777" w:rsidR="00FD59EC" w:rsidRPr="00FD59EC" w:rsidRDefault="00FD59EC" w:rsidP="00FD59EC">
            <w:r w:rsidRPr="00FD59EC">
              <w:br/>
              <w:t>Frequency rate of 1–59 days/shifts lost claims</w:t>
            </w:r>
          </w:p>
        </w:tc>
        <w:tc>
          <w:tcPr>
            <w:tcW w:w="1128" w:type="dxa"/>
            <w:shd w:val="clear" w:color="auto" w:fill="auto"/>
            <w:vAlign w:val="center"/>
          </w:tcPr>
          <w:p w14:paraId="3AC403B1" w14:textId="77777777" w:rsidR="00FD59EC" w:rsidRPr="00FD59EC" w:rsidRDefault="00FD59EC" w:rsidP="00FD59EC">
            <w:r w:rsidRPr="00FD59EC">
              <w:t xml:space="preserve"> 6.9 </w:t>
            </w:r>
          </w:p>
        </w:tc>
        <w:tc>
          <w:tcPr>
            <w:tcW w:w="1302" w:type="dxa"/>
            <w:shd w:val="clear" w:color="auto" w:fill="auto"/>
            <w:vAlign w:val="center"/>
          </w:tcPr>
          <w:p w14:paraId="0CCE812F" w14:textId="77777777" w:rsidR="00FD59EC" w:rsidRPr="00FD59EC" w:rsidRDefault="00FD59EC" w:rsidP="00FD59EC">
            <w:r w:rsidRPr="00FD59EC">
              <w:t xml:space="preserve"> 7.0 </w:t>
            </w:r>
          </w:p>
        </w:tc>
        <w:tc>
          <w:tcPr>
            <w:tcW w:w="1302" w:type="dxa"/>
            <w:shd w:val="clear" w:color="auto" w:fill="auto"/>
            <w:vAlign w:val="center"/>
          </w:tcPr>
          <w:p w14:paraId="693EA06B" w14:textId="77777777" w:rsidR="00FD59EC" w:rsidRPr="00FD59EC" w:rsidRDefault="00FD59EC" w:rsidP="00FD59EC">
            <w:r w:rsidRPr="00FD59EC">
              <w:t xml:space="preserve"> 6.6 </w:t>
            </w:r>
          </w:p>
        </w:tc>
        <w:tc>
          <w:tcPr>
            <w:tcW w:w="1302" w:type="dxa"/>
            <w:shd w:val="clear" w:color="auto" w:fill="auto"/>
            <w:vAlign w:val="center"/>
          </w:tcPr>
          <w:p w14:paraId="229D197E" w14:textId="77777777" w:rsidR="00FD59EC" w:rsidRPr="00FD59EC" w:rsidRDefault="00FD59EC" w:rsidP="00FD59EC">
            <w:r w:rsidRPr="00FD59EC">
              <w:t xml:space="preserve"> 6.2 </w:t>
            </w:r>
          </w:p>
        </w:tc>
        <w:tc>
          <w:tcPr>
            <w:tcW w:w="1157" w:type="dxa"/>
            <w:shd w:val="clear" w:color="auto" w:fill="auto"/>
            <w:vAlign w:val="center"/>
          </w:tcPr>
          <w:p w14:paraId="7FE7AA78" w14:textId="77777777" w:rsidR="00FD59EC" w:rsidRPr="00FD59EC" w:rsidRDefault="00FD59EC" w:rsidP="00FD59EC">
            <w:r w:rsidRPr="00FD59EC">
              <w:t xml:space="preserve"> 5.3 </w:t>
            </w:r>
          </w:p>
        </w:tc>
      </w:tr>
      <w:tr w:rsidR="00FD59EC" w:rsidRPr="00FD59EC" w14:paraId="53348B21" w14:textId="77777777" w:rsidTr="00C225F3">
        <w:tc>
          <w:tcPr>
            <w:tcW w:w="1642" w:type="dxa"/>
            <w:shd w:val="clear" w:color="auto" w:fill="D4E2E0" w:themeFill="accent5"/>
            <w:vAlign w:val="center"/>
          </w:tcPr>
          <w:p w14:paraId="5BFDB6DF" w14:textId="77777777" w:rsidR="00FD59EC" w:rsidRPr="00FD59EC" w:rsidRDefault="00FD59EC" w:rsidP="00FD59EC">
            <w:r w:rsidRPr="00FD59EC">
              <w:br/>
              <w:t>Frequency rate of long duration claims (60+ days/shifts lost)</w:t>
            </w:r>
          </w:p>
        </w:tc>
        <w:tc>
          <w:tcPr>
            <w:tcW w:w="1128" w:type="dxa"/>
            <w:shd w:val="clear" w:color="auto" w:fill="auto"/>
            <w:vAlign w:val="center"/>
          </w:tcPr>
          <w:p w14:paraId="2F5D5F68" w14:textId="77777777" w:rsidR="00FD59EC" w:rsidRPr="00FD59EC" w:rsidRDefault="00FD59EC" w:rsidP="00FD59EC">
            <w:r w:rsidRPr="00FD59EC">
              <w:t xml:space="preserve"> 2.1 </w:t>
            </w:r>
          </w:p>
        </w:tc>
        <w:tc>
          <w:tcPr>
            <w:tcW w:w="1302" w:type="dxa"/>
            <w:shd w:val="clear" w:color="auto" w:fill="auto"/>
            <w:vAlign w:val="center"/>
          </w:tcPr>
          <w:p w14:paraId="2C21DCD1" w14:textId="77777777" w:rsidR="00FD59EC" w:rsidRPr="00FD59EC" w:rsidRDefault="00FD59EC" w:rsidP="00FD59EC">
            <w:r w:rsidRPr="00FD59EC">
              <w:t xml:space="preserve"> 2.3 </w:t>
            </w:r>
          </w:p>
        </w:tc>
        <w:tc>
          <w:tcPr>
            <w:tcW w:w="1302" w:type="dxa"/>
            <w:shd w:val="clear" w:color="auto" w:fill="auto"/>
            <w:vAlign w:val="center"/>
          </w:tcPr>
          <w:p w14:paraId="2A211512" w14:textId="77777777" w:rsidR="00FD59EC" w:rsidRPr="00FD59EC" w:rsidRDefault="00FD59EC" w:rsidP="00FD59EC">
            <w:r w:rsidRPr="00FD59EC">
              <w:t xml:space="preserve"> 2.3 </w:t>
            </w:r>
          </w:p>
        </w:tc>
        <w:tc>
          <w:tcPr>
            <w:tcW w:w="1302" w:type="dxa"/>
            <w:shd w:val="clear" w:color="auto" w:fill="auto"/>
            <w:vAlign w:val="center"/>
          </w:tcPr>
          <w:p w14:paraId="52321088" w14:textId="77777777" w:rsidR="00FD59EC" w:rsidRPr="00FD59EC" w:rsidRDefault="00FD59EC" w:rsidP="00FD59EC">
            <w:r w:rsidRPr="00FD59EC">
              <w:t xml:space="preserve"> 2.3 </w:t>
            </w:r>
          </w:p>
        </w:tc>
        <w:tc>
          <w:tcPr>
            <w:tcW w:w="1157" w:type="dxa"/>
            <w:shd w:val="clear" w:color="auto" w:fill="auto"/>
            <w:vAlign w:val="center"/>
          </w:tcPr>
          <w:p w14:paraId="65B105B3" w14:textId="77777777" w:rsidR="00FD59EC" w:rsidRPr="00FD59EC" w:rsidRDefault="00FD59EC" w:rsidP="00FD59EC">
            <w:r w:rsidRPr="00FD59EC">
              <w:t xml:space="preserve"> 2.5 </w:t>
            </w:r>
          </w:p>
        </w:tc>
      </w:tr>
    </w:tbl>
    <w:p w14:paraId="21CA486F" w14:textId="77777777" w:rsidR="00FD59EC" w:rsidRPr="00FD59EC" w:rsidRDefault="00FD59EC" w:rsidP="00FD59EC">
      <w:pPr>
        <w:keepLines w:val="0"/>
        <w:spacing w:after="0" w:line="240" w:lineRule="auto"/>
        <w:rPr>
          <w:rFonts w:ascii="Verdana" w:hAnsi="Verdana" w:cs="Arial"/>
          <w:b/>
          <w:bCs/>
          <w:color w:val="86731E" w:themeColor="text1"/>
          <w:szCs w:val="20"/>
          <w:lang w:val="en-US"/>
        </w:rPr>
      </w:pPr>
    </w:p>
    <w:p w14:paraId="68497CD3" w14:textId="6A7B7521" w:rsidR="00FD59EC" w:rsidRPr="00FD59EC" w:rsidRDefault="00FD59EC" w:rsidP="00245969">
      <w:pPr>
        <w:pStyle w:val="Heading3nonumber"/>
        <w:rPr>
          <w:lang w:val="en-US"/>
        </w:rPr>
      </w:pPr>
      <w:bookmarkStart w:id="193" w:name="_Toc399316941"/>
      <w:bookmarkStart w:id="194" w:name="_Toc430091186"/>
      <w:r w:rsidRPr="00FD59EC">
        <w:rPr>
          <w:lang w:val="en-US"/>
        </w:rPr>
        <w:t>Frequency of lost time claims by industry</w:t>
      </w:r>
      <w:bookmarkEnd w:id="193"/>
      <w:bookmarkEnd w:id="194"/>
      <w:r w:rsidRPr="00FD59EC">
        <w:rPr>
          <w:lang w:val="en-US"/>
        </w:rPr>
        <w:t xml:space="preserve"> </w:t>
      </w:r>
    </w:p>
    <w:p w14:paraId="3CC84B41" w14:textId="10A22DE9" w:rsidR="001C0112" w:rsidRDefault="00FD59EC" w:rsidP="00FD59EC">
      <w:r w:rsidRPr="00FD59EC">
        <w:t>In 2013/14, the industries with the highest lost-time claim frequencies we</w:t>
      </w:r>
      <w:r w:rsidR="000850C9">
        <w:t>re Arts and recreation services;</w:t>
      </w:r>
      <w:r w:rsidRPr="00FD59EC">
        <w:t xml:space="preserve"> Ag</w:t>
      </w:r>
      <w:r w:rsidR="000850C9">
        <w:t xml:space="preserve">riculture, forestry and fishing; Manufacturing; </w:t>
      </w:r>
      <w:r w:rsidRPr="00FD59EC">
        <w:t>He</w:t>
      </w:r>
      <w:r w:rsidR="000850C9">
        <w:t>alth care and social assistance;</w:t>
      </w:r>
      <w:r w:rsidRPr="00FD59EC">
        <w:t xml:space="preserve"> and Construction.</w:t>
      </w:r>
    </w:p>
    <w:p w14:paraId="4F3F2E63" w14:textId="77777777" w:rsidR="001C0112" w:rsidRDefault="001C0112">
      <w:pPr>
        <w:keepLines w:val="0"/>
        <w:spacing w:after="0" w:line="240" w:lineRule="auto"/>
      </w:pPr>
      <w:r>
        <w:br w:type="page"/>
      </w:r>
    </w:p>
    <w:tbl>
      <w:tblPr>
        <w:tblStyle w:val="TableGrid"/>
        <w:tblW w:w="8959" w:type="dxa"/>
        <w:tblInd w:w="108"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16 Frequency of lost time claims by industry 2013/14"/>
        <w:tblDescription w:val="Table 16 details frequency of lost time claims by industry"/>
      </w:tblPr>
      <w:tblGrid>
        <w:gridCol w:w="5557"/>
        <w:gridCol w:w="3402"/>
      </w:tblGrid>
      <w:tr w:rsidR="00FD59EC" w:rsidRPr="00FD59EC" w14:paraId="57E68E43" w14:textId="77777777" w:rsidTr="001C0112">
        <w:trPr>
          <w:tblHeader/>
        </w:trPr>
        <w:tc>
          <w:tcPr>
            <w:tcW w:w="8959" w:type="dxa"/>
            <w:gridSpan w:val="2"/>
            <w:tcBorders>
              <w:bottom w:val="single" w:sz="4" w:space="0" w:color="BAD0CD" w:themeColor="accent5" w:themeShade="E6"/>
            </w:tcBorders>
            <w:shd w:val="clear" w:color="auto" w:fill="2D4541" w:themeFill="accent2"/>
          </w:tcPr>
          <w:p w14:paraId="6AFBC5F7" w14:textId="77777777" w:rsidR="00FD59EC" w:rsidRPr="00FD59EC" w:rsidRDefault="00FD59EC" w:rsidP="00FD59EC">
            <w:pPr>
              <w:rPr>
                <w:b/>
                <w:bCs/>
              </w:rPr>
            </w:pPr>
            <w:r w:rsidRPr="00FD59EC">
              <w:lastRenderedPageBreak/>
              <w:br w:type="page"/>
            </w:r>
            <w:r w:rsidRPr="00FD59EC">
              <w:rPr>
                <w:b/>
                <w:bCs/>
                <w:color w:val="FFFFFF" w:themeColor="background2"/>
              </w:rPr>
              <w:t>Table 16: Frequency of lost time claims by industry 2013/14</w:t>
            </w:r>
          </w:p>
        </w:tc>
      </w:tr>
      <w:tr w:rsidR="00FD59EC" w:rsidRPr="00FD59EC" w14:paraId="5E0ACE00" w14:textId="77777777" w:rsidTr="001C0112">
        <w:tc>
          <w:tcPr>
            <w:tcW w:w="5557" w:type="dxa"/>
            <w:tcBorders>
              <w:bottom w:val="single" w:sz="4" w:space="0" w:color="BAD0CD" w:themeColor="accent5" w:themeShade="E6"/>
            </w:tcBorders>
            <w:shd w:val="clear" w:color="auto" w:fill="CEDFDC" w:themeFill="accent2" w:themeFillTint="33"/>
          </w:tcPr>
          <w:p w14:paraId="42EC9228" w14:textId="77777777" w:rsidR="00FD59EC" w:rsidRPr="00FD59EC" w:rsidRDefault="00FD59EC" w:rsidP="00FD59EC">
            <w:pPr>
              <w:rPr>
                <w:b/>
                <w:bCs/>
              </w:rPr>
            </w:pPr>
            <w:r w:rsidRPr="00FD59EC">
              <w:rPr>
                <w:b/>
                <w:bCs/>
              </w:rPr>
              <w:t>Frequency of lost time claims by industry</w:t>
            </w:r>
          </w:p>
        </w:tc>
        <w:tc>
          <w:tcPr>
            <w:tcW w:w="3402" w:type="dxa"/>
            <w:tcBorders>
              <w:bottom w:val="single" w:sz="4" w:space="0" w:color="BAD0CD" w:themeColor="accent5" w:themeShade="E6"/>
            </w:tcBorders>
            <w:shd w:val="clear" w:color="auto" w:fill="CEDFDC" w:themeFill="accent2" w:themeFillTint="33"/>
            <w:vAlign w:val="center"/>
          </w:tcPr>
          <w:p w14:paraId="08AFDF01" w14:textId="77777777" w:rsidR="00FD59EC" w:rsidRPr="00FD59EC" w:rsidRDefault="00FD59EC" w:rsidP="00FD59EC">
            <w:pPr>
              <w:rPr>
                <w:b/>
                <w:bCs/>
              </w:rPr>
            </w:pPr>
            <w:r w:rsidRPr="00FD59EC">
              <w:rPr>
                <w:b/>
                <w:bCs/>
              </w:rPr>
              <w:t>Frequency Rate</w:t>
            </w:r>
          </w:p>
        </w:tc>
      </w:tr>
      <w:tr w:rsidR="00FD59EC" w:rsidRPr="00FD59EC" w14:paraId="351A7BA7" w14:textId="77777777" w:rsidTr="001C0112">
        <w:tc>
          <w:tcPr>
            <w:tcW w:w="5557" w:type="dxa"/>
            <w:tcBorders>
              <w:top w:val="single" w:sz="8" w:space="0" w:color="BAD0CD" w:themeColor="accent5" w:themeShade="E6"/>
            </w:tcBorders>
            <w:shd w:val="clear" w:color="auto" w:fill="D4E2E0" w:themeFill="accent5"/>
          </w:tcPr>
          <w:p w14:paraId="5F8DCF62" w14:textId="77777777" w:rsidR="00FD59EC" w:rsidRPr="00FD59EC" w:rsidRDefault="00FD59EC" w:rsidP="00FD59EC">
            <w:pPr>
              <w:rPr>
                <w:lang w:eastAsia="en-AU"/>
              </w:rPr>
            </w:pPr>
            <w:r w:rsidRPr="00FD59EC">
              <w:t>Arts and recreation services</w:t>
            </w:r>
          </w:p>
        </w:tc>
        <w:tc>
          <w:tcPr>
            <w:tcW w:w="3402" w:type="dxa"/>
            <w:tcBorders>
              <w:top w:val="single" w:sz="8" w:space="0" w:color="BAD0CD" w:themeColor="accent5" w:themeShade="E6"/>
            </w:tcBorders>
            <w:shd w:val="clear" w:color="auto" w:fill="auto"/>
          </w:tcPr>
          <w:p w14:paraId="5E59C654" w14:textId="77777777" w:rsidR="00FD59EC" w:rsidRPr="00FD59EC" w:rsidRDefault="00FD59EC" w:rsidP="00FD59EC">
            <w:r w:rsidRPr="00FD59EC">
              <w:t>15.3</w:t>
            </w:r>
          </w:p>
        </w:tc>
      </w:tr>
      <w:tr w:rsidR="00FD59EC" w:rsidRPr="00FD59EC" w14:paraId="0BF7AAAA" w14:textId="77777777" w:rsidTr="001C0112">
        <w:tc>
          <w:tcPr>
            <w:tcW w:w="5557" w:type="dxa"/>
            <w:tcBorders>
              <w:top w:val="single" w:sz="8" w:space="0" w:color="BAD0CD" w:themeColor="accent5" w:themeShade="E6"/>
            </w:tcBorders>
            <w:shd w:val="clear" w:color="auto" w:fill="D4E2E0" w:themeFill="accent5"/>
          </w:tcPr>
          <w:p w14:paraId="5406882A" w14:textId="77777777" w:rsidR="00FD59EC" w:rsidRPr="00FD59EC" w:rsidRDefault="00FD59EC" w:rsidP="00FD59EC">
            <w:pPr>
              <w:rPr>
                <w:lang w:eastAsia="en-AU"/>
              </w:rPr>
            </w:pPr>
            <w:r w:rsidRPr="00FD59EC">
              <w:t>Agriculture, forestry and fishing</w:t>
            </w:r>
          </w:p>
        </w:tc>
        <w:tc>
          <w:tcPr>
            <w:tcW w:w="3402" w:type="dxa"/>
            <w:tcBorders>
              <w:top w:val="single" w:sz="8" w:space="0" w:color="BAD0CD" w:themeColor="accent5" w:themeShade="E6"/>
            </w:tcBorders>
            <w:shd w:val="clear" w:color="auto" w:fill="auto"/>
          </w:tcPr>
          <w:p w14:paraId="19A28C93" w14:textId="77777777" w:rsidR="00FD59EC" w:rsidRPr="00FD59EC" w:rsidRDefault="00FD59EC" w:rsidP="00FD59EC">
            <w:r w:rsidRPr="00FD59EC">
              <w:t>13.5</w:t>
            </w:r>
          </w:p>
        </w:tc>
      </w:tr>
      <w:tr w:rsidR="00FD59EC" w:rsidRPr="00FD59EC" w14:paraId="4E08AB86" w14:textId="77777777" w:rsidTr="001C0112">
        <w:tc>
          <w:tcPr>
            <w:tcW w:w="5557" w:type="dxa"/>
            <w:tcBorders>
              <w:top w:val="single" w:sz="8" w:space="0" w:color="BAD0CD" w:themeColor="accent5" w:themeShade="E6"/>
            </w:tcBorders>
            <w:shd w:val="clear" w:color="auto" w:fill="D4E2E0" w:themeFill="accent5"/>
          </w:tcPr>
          <w:p w14:paraId="375AE545" w14:textId="77777777" w:rsidR="00FD59EC" w:rsidRPr="00FD59EC" w:rsidRDefault="00FD59EC" w:rsidP="00FD59EC">
            <w:pPr>
              <w:rPr>
                <w:lang w:eastAsia="en-AU"/>
              </w:rPr>
            </w:pPr>
            <w:r w:rsidRPr="00FD59EC">
              <w:t>Manufacturing</w:t>
            </w:r>
          </w:p>
        </w:tc>
        <w:tc>
          <w:tcPr>
            <w:tcW w:w="3402" w:type="dxa"/>
            <w:tcBorders>
              <w:top w:val="single" w:sz="8" w:space="0" w:color="BAD0CD" w:themeColor="accent5" w:themeShade="E6"/>
            </w:tcBorders>
            <w:shd w:val="clear" w:color="auto" w:fill="auto"/>
          </w:tcPr>
          <w:p w14:paraId="351A53AC" w14:textId="77777777" w:rsidR="00FD59EC" w:rsidRPr="00FD59EC" w:rsidRDefault="00FD59EC" w:rsidP="00FD59EC">
            <w:r w:rsidRPr="00FD59EC">
              <w:t>12.5</w:t>
            </w:r>
          </w:p>
        </w:tc>
      </w:tr>
      <w:tr w:rsidR="00FD59EC" w:rsidRPr="00FD59EC" w14:paraId="1DE2BCFF" w14:textId="77777777" w:rsidTr="001C0112">
        <w:tc>
          <w:tcPr>
            <w:tcW w:w="5557" w:type="dxa"/>
            <w:tcBorders>
              <w:top w:val="single" w:sz="8" w:space="0" w:color="BAD0CD" w:themeColor="accent5" w:themeShade="E6"/>
            </w:tcBorders>
            <w:shd w:val="clear" w:color="auto" w:fill="D4E2E0" w:themeFill="accent5"/>
          </w:tcPr>
          <w:p w14:paraId="3DA91CCE" w14:textId="77777777" w:rsidR="00FD59EC" w:rsidRPr="00FD59EC" w:rsidRDefault="00FD59EC" w:rsidP="00FD59EC">
            <w:pPr>
              <w:rPr>
                <w:lang w:eastAsia="en-AU"/>
              </w:rPr>
            </w:pPr>
            <w:r w:rsidRPr="00FD59EC">
              <w:t>Health care and social assistance</w:t>
            </w:r>
          </w:p>
        </w:tc>
        <w:tc>
          <w:tcPr>
            <w:tcW w:w="3402" w:type="dxa"/>
            <w:tcBorders>
              <w:top w:val="single" w:sz="8" w:space="0" w:color="BAD0CD" w:themeColor="accent5" w:themeShade="E6"/>
            </w:tcBorders>
            <w:shd w:val="clear" w:color="auto" w:fill="auto"/>
          </w:tcPr>
          <w:p w14:paraId="1BC2DE9C" w14:textId="77777777" w:rsidR="00FD59EC" w:rsidRPr="00FD59EC" w:rsidRDefault="00FD59EC" w:rsidP="00FD59EC">
            <w:r w:rsidRPr="00FD59EC">
              <w:t>12.4</w:t>
            </w:r>
          </w:p>
        </w:tc>
      </w:tr>
      <w:tr w:rsidR="00FD59EC" w:rsidRPr="00FD59EC" w14:paraId="3FAE760C" w14:textId="77777777" w:rsidTr="001C0112">
        <w:tc>
          <w:tcPr>
            <w:tcW w:w="5557" w:type="dxa"/>
            <w:tcBorders>
              <w:top w:val="single" w:sz="8" w:space="0" w:color="BAD0CD" w:themeColor="accent5" w:themeShade="E6"/>
            </w:tcBorders>
            <w:shd w:val="clear" w:color="auto" w:fill="D4E2E0" w:themeFill="accent5"/>
          </w:tcPr>
          <w:p w14:paraId="1E795091" w14:textId="77777777" w:rsidR="00FD59EC" w:rsidRPr="00FD59EC" w:rsidRDefault="00FD59EC" w:rsidP="00FD59EC">
            <w:pPr>
              <w:rPr>
                <w:lang w:eastAsia="en-AU"/>
              </w:rPr>
            </w:pPr>
            <w:r w:rsidRPr="00FD59EC">
              <w:t>Construction</w:t>
            </w:r>
          </w:p>
        </w:tc>
        <w:tc>
          <w:tcPr>
            <w:tcW w:w="3402" w:type="dxa"/>
            <w:tcBorders>
              <w:top w:val="single" w:sz="8" w:space="0" w:color="BAD0CD" w:themeColor="accent5" w:themeShade="E6"/>
            </w:tcBorders>
            <w:shd w:val="clear" w:color="auto" w:fill="auto"/>
          </w:tcPr>
          <w:p w14:paraId="2F147A8E" w14:textId="77777777" w:rsidR="00FD59EC" w:rsidRPr="00FD59EC" w:rsidRDefault="00FD59EC" w:rsidP="00FD59EC">
            <w:r w:rsidRPr="00FD59EC">
              <w:t>10.9</w:t>
            </w:r>
          </w:p>
        </w:tc>
      </w:tr>
      <w:tr w:rsidR="00FD59EC" w:rsidRPr="00FD59EC" w14:paraId="11089BD4" w14:textId="77777777" w:rsidTr="001C0112">
        <w:tc>
          <w:tcPr>
            <w:tcW w:w="5557" w:type="dxa"/>
            <w:tcBorders>
              <w:top w:val="single" w:sz="8" w:space="0" w:color="BAD0CD" w:themeColor="accent5" w:themeShade="E6"/>
            </w:tcBorders>
            <w:shd w:val="clear" w:color="auto" w:fill="D4E2E0" w:themeFill="accent5"/>
          </w:tcPr>
          <w:p w14:paraId="22F389BF" w14:textId="77777777" w:rsidR="00FD59EC" w:rsidRPr="00FD59EC" w:rsidRDefault="00FD59EC" w:rsidP="00FD59EC">
            <w:pPr>
              <w:rPr>
                <w:lang w:eastAsia="en-AU"/>
              </w:rPr>
            </w:pPr>
            <w:r w:rsidRPr="00FD59EC">
              <w:t>Transport, postal and warehousing</w:t>
            </w:r>
          </w:p>
        </w:tc>
        <w:tc>
          <w:tcPr>
            <w:tcW w:w="3402" w:type="dxa"/>
            <w:tcBorders>
              <w:top w:val="single" w:sz="8" w:space="0" w:color="BAD0CD" w:themeColor="accent5" w:themeShade="E6"/>
            </w:tcBorders>
            <w:shd w:val="clear" w:color="auto" w:fill="auto"/>
          </w:tcPr>
          <w:p w14:paraId="73F820A0" w14:textId="77777777" w:rsidR="00FD59EC" w:rsidRPr="00FD59EC" w:rsidRDefault="00FD59EC" w:rsidP="00FD59EC">
            <w:r w:rsidRPr="00FD59EC">
              <w:t>10.3</w:t>
            </w:r>
          </w:p>
        </w:tc>
      </w:tr>
      <w:tr w:rsidR="00FD59EC" w:rsidRPr="00FD59EC" w14:paraId="37628D30" w14:textId="77777777" w:rsidTr="001C0112">
        <w:tc>
          <w:tcPr>
            <w:tcW w:w="5557" w:type="dxa"/>
            <w:tcBorders>
              <w:top w:val="single" w:sz="8" w:space="0" w:color="BAD0CD" w:themeColor="accent5" w:themeShade="E6"/>
            </w:tcBorders>
            <w:shd w:val="clear" w:color="auto" w:fill="D4E2E0" w:themeFill="accent5"/>
          </w:tcPr>
          <w:p w14:paraId="124ED7AE" w14:textId="77777777" w:rsidR="00FD59EC" w:rsidRPr="00FD59EC" w:rsidRDefault="00FD59EC" w:rsidP="00FD59EC">
            <w:pPr>
              <w:rPr>
                <w:lang w:eastAsia="en-AU"/>
              </w:rPr>
            </w:pPr>
            <w:r w:rsidRPr="00FD59EC">
              <w:t>Wholesale trade</w:t>
            </w:r>
          </w:p>
        </w:tc>
        <w:tc>
          <w:tcPr>
            <w:tcW w:w="3402" w:type="dxa"/>
            <w:tcBorders>
              <w:top w:val="single" w:sz="8" w:space="0" w:color="BAD0CD" w:themeColor="accent5" w:themeShade="E6"/>
            </w:tcBorders>
            <w:shd w:val="clear" w:color="auto" w:fill="auto"/>
          </w:tcPr>
          <w:p w14:paraId="75B4E282" w14:textId="77777777" w:rsidR="00FD59EC" w:rsidRPr="00FD59EC" w:rsidRDefault="00FD59EC" w:rsidP="00FD59EC">
            <w:r w:rsidRPr="00FD59EC">
              <w:t>9.4</w:t>
            </w:r>
          </w:p>
        </w:tc>
      </w:tr>
      <w:tr w:rsidR="00FD59EC" w:rsidRPr="00FD59EC" w14:paraId="44FE0A56" w14:textId="77777777" w:rsidTr="001C0112">
        <w:tc>
          <w:tcPr>
            <w:tcW w:w="5557" w:type="dxa"/>
            <w:shd w:val="clear" w:color="auto" w:fill="F5EDC1" w:themeFill="accent4"/>
          </w:tcPr>
          <w:p w14:paraId="5ACF3CEF" w14:textId="40705113" w:rsidR="00FD59EC" w:rsidRPr="00FD59EC" w:rsidRDefault="00FD59EC" w:rsidP="00C7209C">
            <w:pPr>
              <w:tabs>
                <w:tab w:val="left" w:pos="2805"/>
              </w:tabs>
              <w:rPr>
                <w:lang w:eastAsia="en-AU"/>
              </w:rPr>
            </w:pPr>
            <w:r w:rsidRPr="00FD59EC">
              <w:t>All industry average</w:t>
            </w:r>
            <w:r w:rsidR="00C7209C">
              <w:tab/>
            </w:r>
          </w:p>
        </w:tc>
        <w:tc>
          <w:tcPr>
            <w:tcW w:w="3402" w:type="dxa"/>
            <w:shd w:val="clear" w:color="auto" w:fill="F5EDC1" w:themeFill="accent4"/>
          </w:tcPr>
          <w:p w14:paraId="5B617623" w14:textId="77777777" w:rsidR="00FD59EC" w:rsidRPr="00FD59EC" w:rsidRDefault="00FD59EC" w:rsidP="00FD59EC">
            <w:r w:rsidRPr="00FD59EC">
              <w:t>7.8</w:t>
            </w:r>
          </w:p>
        </w:tc>
      </w:tr>
      <w:tr w:rsidR="00FD59EC" w:rsidRPr="00FD59EC" w14:paraId="5D7EB1E7" w14:textId="77777777" w:rsidTr="001C0112">
        <w:tc>
          <w:tcPr>
            <w:tcW w:w="5557" w:type="dxa"/>
            <w:shd w:val="clear" w:color="auto" w:fill="D4E2E0" w:themeFill="accent5"/>
          </w:tcPr>
          <w:p w14:paraId="60DF551D" w14:textId="77777777" w:rsidR="00FD59EC" w:rsidRPr="00FD59EC" w:rsidRDefault="00FD59EC" w:rsidP="00FD59EC">
            <w:pPr>
              <w:rPr>
                <w:lang w:eastAsia="en-AU"/>
              </w:rPr>
            </w:pPr>
            <w:r w:rsidRPr="00FD59EC">
              <w:t>Education and training</w:t>
            </w:r>
          </w:p>
        </w:tc>
        <w:tc>
          <w:tcPr>
            <w:tcW w:w="3402" w:type="dxa"/>
            <w:shd w:val="clear" w:color="auto" w:fill="auto"/>
          </w:tcPr>
          <w:p w14:paraId="72D12B80" w14:textId="77777777" w:rsidR="00FD59EC" w:rsidRPr="00FD59EC" w:rsidRDefault="00FD59EC" w:rsidP="00FD59EC">
            <w:r w:rsidRPr="00FD59EC">
              <w:t>7.7</w:t>
            </w:r>
          </w:p>
        </w:tc>
      </w:tr>
      <w:tr w:rsidR="00FD59EC" w:rsidRPr="00FD59EC" w14:paraId="6E1FA4E3" w14:textId="77777777" w:rsidTr="001C0112">
        <w:tc>
          <w:tcPr>
            <w:tcW w:w="5557" w:type="dxa"/>
            <w:shd w:val="clear" w:color="auto" w:fill="D4E2E0" w:themeFill="accent5"/>
          </w:tcPr>
          <w:p w14:paraId="607BD40A" w14:textId="77777777" w:rsidR="00FD59EC" w:rsidRPr="00FD59EC" w:rsidRDefault="00FD59EC" w:rsidP="00FD59EC">
            <w:pPr>
              <w:rPr>
                <w:lang w:eastAsia="en-AU"/>
              </w:rPr>
            </w:pPr>
            <w:r w:rsidRPr="00FD59EC">
              <w:t>Accommodation and food services</w:t>
            </w:r>
          </w:p>
        </w:tc>
        <w:tc>
          <w:tcPr>
            <w:tcW w:w="3402" w:type="dxa"/>
            <w:shd w:val="clear" w:color="auto" w:fill="auto"/>
          </w:tcPr>
          <w:p w14:paraId="09827DC5" w14:textId="77777777" w:rsidR="00FD59EC" w:rsidRPr="00FD59EC" w:rsidRDefault="00FD59EC" w:rsidP="00FD59EC">
            <w:r w:rsidRPr="00FD59EC">
              <w:t>7.0</w:t>
            </w:r>
          </w:p>
        </w:tc>
      </w:tr>
      <w:tr w:rsidR="00FD59EC" w:rsidRPr="00FD59EC" w14:paraId="43C8E585" w14:textId="77777777" w:rsidTr="001C0112">
        <w:tc>
          <w:tcPr>
            <w:tcW w:w="5557" w:type="dxa"/>
            <w:shd w:val="clear" w:color="auto" w:fill="D4E2E0" w:themeFill="accent5"/>
          </w:tcPr>
          <w:p w14:paraId="4F058CC1" w14:textId="77777777" w:rsidR="00FD59EC" w:rsidRPr="00FD59EC" w:rsidRDefault="00FD59EC" w:rsidP="00FD59EC">
            <w:pPr>
              <w:rPr>
                <w:lang w:eastAsia="en-AU"/>
              </w:rPr>
            </w:pPr>
            <w:r w:rsidRPr="00FD59EC">
              <w:t>Retail trade</w:t>
            </w:r>
          </w:p>
        </w:tc>
        <w:tc>
          <w:tcPr>
            <w:tcW w:w="3402" w:type="dxa"/>
            <w:shd w:val="clear" w:color="auto" w:fill="auto"/>
          </w:tcPr>
          <w:p w14:paraId="22F59E5C" w14:textId="77777777" w:rsidR="00FD59EC" w:rsidRPr="00FD59EC" w:rsidRDefault="00FD59EC" w:rsidP="00FD59EC">
            <w:r w:rsidRPr="00FD59EC">
              <w:t>6.6</w:t>
            </w:r>
          </w:p>
        </w:tc>
      </w:tr>
      <w:tr w:rsidR="00FD59EC" w:rsidRPr="00FD59EC" w14:paraId="595E5130" w14:textId="77777777" w:rsidTr="001C0112">
        <w:tc>
          <w:tcPr>
            <w:tcW w:w="5557" w:type="dxa"/>
            <w:shd w:val="clear" w:color="auto" w:fill="D4E2E0" w:themeFill="accent5"/>
          </w:tcPr>
          <w:p w14:paraId="0D19FEB4" w14:textId="77777777" w:rsidR="00FD59EC" w:rsidRPr="00FD59EC" w:rsidRDefault="00FD59EC" w:rsidP="00FD59EC">
            <w:pPr>
              <w:rPr>
                <w:lang w:eastAsia="en-AU"/>
              </w:rPr>
            </w:pPr>
            <w:r w:rsidRPr="00FD59EC">
              <w:t>Public administration and safety</w:t>
            </w:r>
          </w:p>
        </w:tc>
        <w:tc>
          <w:tcPr>
            <w:tcW w:w="3402" w:type="dxa"/>
            <w:shd w:val="clear" w:color="auto" w:fill="auto"/>
          </w:tcPr>
          <w:p w14:paraId="394CFBA2" w14:textId="77777777" w:rsidR="00FD59EC" w:rsidRPr="00FD59EC" w:rsidRDefault="00FD59EC" w:rsidP="00FD59EC">
            <w:r w:rsidRPr="00FD59EC">
              <w:t>6.5</w:t>
            </w:r>
          </w:p>
        </w:tc>
      </w:tr>
      <w:tr w:rsidR="00FD59EC" w:rsidRPr="00FD59EC" w14:paraId="0020561E" w14:textId="77777777" w:rsidTr="001C0112">
        <w:tc>
          <w:tcPr>
            <w:tcW w:w="5557" w:type="dxa"/>
            <w:shd w:val="clear" w:color="auto" w:fill="D4E2E0" w:themeFill="accent5"/>
          </w:tcPr>
          <w:p w14:paraId="125D8864" w14:textId="77777777" w:rsidR="00FD59EC" w:rsidRPr="00FD59EC" w:rsidRDefault="00FD59EC" w:rsidP="00FD59EC">
            <w:pPr>
              <w:rPr>
                <w:lang w:eastAsia="en-AU"/>
              </w:rPr>
            </w:pPr>
            <w:r w:rsidRPr="00FD59EC">
              <w:t>Other services</w:t>
            </w:r>
          </w:p>
        </w:tc>
        <w:tc>
          <w:tcPr>
            <w:tcW w:w="3402" w:type="dxa"/>
            <w:shd w:val="clear" w:color="auto" w:fill="auto"/>
          </w:tcPr>
          <w:p w14:paraId="294611A9" w14:textId="77777777" w:rsidR="00FD59EC" w:rsidRPr="00FD59EC" w:rsidRDefault="00FD59EC" w:rsidP="00FD59EC">
            <w:r w:rsidRPr="00FD59EC">
              <w:t>6.3</w:t>
            </w:r>
          </w:p>
        </w:tc>
      </w:tr>
      <w:tr w:rsidR="00FD59EC" w:rsidRPr="00FD59EC" w14:paraId="175CB202" w14:textId="77777777" w:rsidTr="001C0112">
        <w:tc>
          <w:tcPr>
            <w:tcW w:w="5557" w:type="dxa"/>
            <w:shd w:val="clear" w:color="auto" w:fill="D4E2E0" w:themeFill="accent5"/>
          </w:tcPr>
          <w:p w14:paraId="73946894" w14:textId="77777777" w:rsidR="00FD59EC" w:rsidRPr="00FD59EC" w:rsidRDefault="00FD59EC" w:rsidP="00FD59EC">
            <w:pPr>
              <w:rPr>
                <w:lang w:eastAsia="en-AU"/>
              </w:rPr>
            </w:pPr>
            <w:r w:rsidRPr="00FD59EC">
              <w:t>Mining</w:t>
            </w:r>
          </w:p>
        </w:tc>
        <w:tc>
          <w:tcPr>
            <w:tcW w:w="3402" w:type="dxa"/>
            <w:shd w:val="clear" w:color="auto" w:fill="auto"/>
          </w:tcPr>
          <w:p w14:paraId="1F7CF200" w14:textId="77777777" w:rsidR="00FD59EC" w:rsidRPr="00FD59EC" w:rsidRDefault="00FD59EC" w:rsidP="00FD59EC">
            <w:r w:rsidRPr="00FD59EC">
              <w:t>5.9</w:t>
            </w:r>
          </w:p>
        </w:tc>
      </w:tr>
      <w:tr w:rsidR="00FD59EC" w:rsidRPr="00FD59EC" w14:paraId="313F768B" w14:textId="77777777" w:rsidTr="001C0112">
        <w:tc>
          <w:tcPr>
            <w:tcW w:w="5557" w:type="dxa"/>
            <w:shd w:val="clear" w:color="auto" w:fill="D4E2E0" w:themeFill="accent5"/>
          </w:tcPr>
          <w:p w14:paraId="5A25BF8E" w14:textId="77777777" w:rsidR="00FD59EC" w:rsidRPr="00FD59EC" w:rsidRDefault="00FD59EC" w:rsidP="00FD59EC">
            <w:pPr>
              <w:rPr>
                <w:lang w:eastAsia="en-AU"/>
              </w:rPr>
            </w:pPr>
            <w:r w:rsidRPr="00FD59EC">
              <w:t>Electricity, gas, water and waste services</w:t>
            </w:r>
          </w:p>
        </w:tc>
        <w:tc>
          <w:tcPr>
            <w:tcW w:w="3402" w:type="dxa"/>
            <w:shd w:val="clear" w:color="auto" w:fill="auto"/>
          </w:tcPr>
          <w:p w14:paraId="753299B4" w14:textId="77777777" w:rsidR="00FD59EC" w:rsidRPr="00FD59EC" w:rsidRDefault="00FD59EC" w:rsidP="00FD59EC">
            <w:r w:rsidRPr="00FD59EC">
              <w:t>5.3</w:t>
            </w:r>
          </w:p>
        </w:tc>
      </w:tr>
      <w:tr w:rsidR="00FD59EC" w:rsidRPr="00FD59EC" w14:paraId="54F60743" w14:textId="77777777" w:rsidTr="001C0112">
        <w:tc>
          <w:tcPr>
            <w:tcW w:w="5557" w:type="dxa"/>
            <w:shd w:val="clear" w:color="auto" w:fill="D4E2E0" w:themeFill="accent5"/>
          </w:tcPr>
          <w:p w14:paraId="6AB3788D" w14:textId="77777777" w:rsidR="00FD59EC" w:rsidRPr="00FD59EC" w:rsidRDefault="00FD59EC" w:rsidP="00FD59EC">
            <w:pPr>
              <w:rPr>
                <w:lang w:eastAsia="en-AU"/>
              </w:rPr>
            </w:pPr>
            <w:r w:rsidRPr="00FD59EC">
              <w:t>Administrative and support services</w:t>
            </w:r>
          </w:p>
        </w:tc>
        <w:tc>
          <w:tcPr>
            <w:tcW w:w="3402" w:type="dxa"/>
            <w:shd w:val="clear" w:color="auto" w:fill="auto"/>
          </w:tcPr>
          <w:p w14:paraId="0224B30F" w14:textId="77777777" w:rsidR="00FD59EC" w:rsidRPr="00FD59EC" w:rsidRDefault="00FD59EC" w:rsidP="00FD59EC">
            <w:r w:rsidRPr="00FD59EC">
              <w:t>3.8</w:t>
            </w:r>
          </w:p>
        </w:tc>
      </w:tr>
      <w:tr w:rsidR="00FD59EC" w:rsidRPr="00FD59EC" w14:paraId="131581C5" w14:textId="77777777" w:rsidTr="001C0112">
        <w:tc>
          <w:tcPr>
            <w:tcW w:w="5557" w:type="dxa"/>
            <w:shd w:val="clear" w:color="auto" w:fill="D4E2E0" w:themeFill="accent5"/>
          </w:tcPr>
          <w:p w14:paraId="7D8173C0" w14:textId="77777777" w:rsidR="00FD59EC" w:rsidRPr="00FD59EC" w:rsidRDefault="00FD59EC" w:rsidP="00FD59EC">
            <w:pPr>
              <w:rPr>
                <w:lang w:eastAsia="en-AU"/>
              </w:rPr>
            </w:pPr>
            <w:r w:rsidRPr="00FD59EC">
              <w:t>Rental, hiring and real estate services</w:t>
            </w:r>
          </w:p>
        </w:tc>
        <w:tc>
          <w:tcPr>
            <w:tcW w:w="3402" w:type="dxa"/>
            <w:shd w:val="clear" w:color="auto" w:fill="auto"/>
          </w:tcPr>
          <w:p w14:paraId="6A42787F" w14:textId="77777777" w:rsidR="00FD59EC" w:rsidRPr="00FD59EC" w:rsidRDefault="00FD59EC" w:rsidP="00FD59EC">
            <w:r w:rsidRPr="00FD59EC">
              <w:t>3.7</w:t>
            </w:r>
          </w:p>
        </w:tc>
      </w:tr>
      <w:tr w:rsidR="00FD59EC" w:rsidRPr="00FD59EC" w14:paraId="14F28293" w14:textId="77777777" w:rsidTr="001C0112">
        <w:tc>
          <w:tcPr>
            <w:tcW w:w="5557" w:type="dxa"/>
            <w:shd w:val="clear" w:color="auto" w:fill="D4E2E0" w:themeFill="accent5"/>
          </w:tcPr>
          <w:p w14:paraId="3B20300B" w14:textId="77777777" w:rsidR="00FD59EC" w:rsidRPr="00FD59EC" w:rsidRDefault="00FD59EC" w:rsidP="00FD59EC">
            <w:pPr>
              <w:rPr>
                <w:lang w:eastAsia="en-AU"/>
              </w:rPr>
            </w:pPr>
            <w:r w:rsidRPr="00FD59EC">
              <w:t>Information media and telecommunications</w:t>
            </w:r>
          </w:p>
        </w:tc>
        <w:tc>
          <w:tcPr>
            <w:tcW w:w="3402" w:type="dxa"/>
            <w:shd w:val="clear" w:color="auto" w:fill="auto"/>
          </w:tcPr>
          <w:p w14:paraId="5CDFE8CA" w14:textId="77777777" w:rsidR="00FD59EC" w:rsidRPr="00FD59EC" w:rsidRDefault="00FD59EC" w:rsidP="00FD59EC">
            <w:r w:rsidRPr="00FD59EC">
              <w:t>2.9</w:t>
            </w:r>
          </w:p>
        </w:tc>
      </w:tr>
      <w:tr w:rsidR="00FD59EC" w:rsidRPr="00FD59EC" w14:paraId="135721BA" w14:textId="77777777" w:rsidTr="001C0112">
        <w:tc>
          <w:tcPr>
            <w:tcW w:w="5557" w:type="dxa"/>
            <w:shd w:val="clear" w:color="auto" w:fill="D4E2E0" w:themeFill="accent5"/>
          </w:tcPr>
          <w:p w14:paraId="3687F82D" w14:textId="77777777" w:rsidR="00FD59EC" w:rsidRPr="00FD59EC" w:rsidRDefault="00FD59EC" w:rsidP="00FD59EC">
            <w:pPr>
              <w:rPr>
                <w:lang w:eastAsia="en-AU"/>
              </w:rPr>
            </w:pPr>
            <w:r w:rsidRPr="00FD59EC">
              <w:t>Professional, scientific and technical services</w:t>
            </w:r>
          </w:p>
        </w:tc>
        <w:tc>
          <w:tcPr>
            <w:tcW w:w="3402" w:type="dxa"/>
            <w:shd w:val="clear" w:color="auto" w:fill="auto"/>
          </w:tcPr>
          <w:p w14:paraId="1948A7B9" w14:textId="77777777" w:rsidR="00FD59EC" w:rsidRPr="00FD59EC" w:rsidRDefault="00FD59EC" w:rsidP="00FD59EC">
            <w:r w:rsidRPr="00FD59EC">
              <w:t>1.9</w:t>
            </w:r>
          </w:p>
        </w:tc>
      </w:tr>
      <w:tr w:rsidR="00FD59EC" w:rsidRPr="00FD59EC" w14:paraId="34906531" w14:textId="77777777" w:rsidTr="001C0112">
        <w:tc>
          <w:tcPr>
            <w:tcW w:w="5557" w:type="dxa"/>
            <w:shd w:val="clear" w:color="auto" w:fill="D4E2E0" w:themeFill="accent5"/>
          </w:tcPr>
          <w:p w14:paraId="10B594EB" w14:textId="77777777" w:rsidR="00FD59EC" w:rsidRPr="00FD59EC" w:rsidRDefault="00FD59EC" w:rsidP="00FD59EC">
            <w:pPr>
              <w:rPr>
                <w:lang w:eastAsia="en-AU"/>
              </w:rPr>
            </w:pPr>
            <w:r w:rsidRPr="00FD59EC">
              <w:t>Financial and insurance services</w:t>
            </w:r>
          </w:p>
        </w:tc>
        <w:tc>
          <w:tcPr>
            <w:tcW w:w="3402" w:type="dxa"/>
            <w:shd w:val="clear" w:color="auto" w:fill="auto"/>
          </w:tcPr>
          <w:p w14:paraId="211EC5A1" w14:textId="77777777" w:rsidR="00FD59EC" w:rsidRPr="00FD59EC" w:rsidRDefault="00FD59EC" w:rsidP="00FD59EC">
            <w:r w:rsidRPr="00FD59EC">
              <w:t>0.9</w:t>
            </w:r>
          </w:p>
        </w:tc>
      </w:tr>
    </w:tbl>
    <w:p w14:paraId="2286C904" w14:textId="77777777" w:rsidR="00FD59EC" w:rsidRPr="00FD59EC" w:rsidRDefault="00FD59EC" w:rsidP="00FD59EC"/>
    <w:p w14:paraId="27DA6B7B" w14:textId="77777777" w:rsidR="00FD59EC" w:rsidRPr="00FD59EC" w:rsidRDefault="00FD59EC" w:rsidP="00245969">
      <w:pPr>
        <w:pStyle w:val="Heading2nonumber"/>
        <w:rPr>
          <w:lang w:val="en-US"/>
        </w:rPr>
      </w:pPr>
      <w:bookmarkStart w:id="195" w:name="_Toc399316942"/>
      <w:bookmarkStart w:id="196" w:name="_Toc430091187"/>
      <w:r w:rsidRPr="00FD59EC">
        <w:rPr>
          <w:lang w:val="en-US"/>
        </w:rPr>
        <w:lastRenderedPageBreak/>
        <w:t>Scheme payments 2014/1</w:t>
      </w:r>
      <w:bookmarkEnd w:id="195"/>
      <w:r w:rsidRPr="00FD59EC">
        <w:rPr>
          <w:lang w:val="en-US"/>
        </w:rPr>
        <w:t>5</w:t>
      </w:r>
      <w:bookmarkEnd w:id="196"/>
    </w:p>
    <w:p w14:paraId="015A1D09" w14:textId="624C9398" w:rsidR="00FD59EC" w:rsidRPr="00FD59EC" w:rsidRDefault="00934C59" w:rsidP="00FD59EC">
      <w:r>
        <w:t>During 2014/15</w:t>
      </w:r>
      <w:r w:rsidR="00FD59EC" w:rsidRPr="00FD59EC">
        <w:t xml:space="preserve">, 67 per cent of scheme payments were paid directly to workers in the form of income payment and common law and lump sum </w:t>
      </w:r>
      <w:r>
        <w:t>payouts, while 22</w:t>
      </w:r>
      <w:r w:rsidR="00FD59EC" w:rsidRPr="00FD59EC">
        <w:t xml:space="preserve"> per cent of payments were made for treatment services such as medical, allied health and vocati</w:t>
      </w:r>
      <w:r>
        <w:t>onal rehabilitation services. 11</w:t>
      </w:r>
      <w:r w:rsidR="00FD59EC" w:rsidRPr="00FD59EC">
        <w:t xml:space="preserve"> per cent of payments were related to legal and other services.</w:t>
      </w:r>
    </w:p>
    <w:tbl>
      <w:tblPr>
        <w:tblStyle w:val="TableGrid"/>
        <w:tblW w:w="9072"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17 Scheme Payments 2014/15"/>
        <w:tblDescription w:val="Table 17 details the scheme payments for the financial year"/>
      </w:tblPr>
      <w:tblGrid>
        <w:gridCol w:w="4962"/>
        <w:gridCol w:w="2574"/>
        <w:gridCol w:w="1536"/>
      </w:tblGrid>
      <w:tr w:rsidR="00FD59EC" w:rsidRPr="00FD59EC" w14:paraId="41439A65" w14:textId="77777777" w:rsidTr="00667578">
        <w:trPr>
          <w:tblHeader/>
        </w:trPr>
        <w:tc>
          <w:tcPr>
            <w:tcW w:w="9072" w:type="dxa"/>
            <w:gridSpan w:val="3"/>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2D4541" w:themeFill="accent2"/>
            <w:hideMark/>
          </w:tcPr>
          <w:p w14:paraId="7918A374" w14:textId="77777777" w:rsidR="00FD59EC" w:rsidRPr="00FD59EC" w:rsidRDefault="00FD59EC" w:rsidP="00FD59EC">
            <w:pPr>
              <w:rPr>
                <w:rFonts w:eastAsiaTheme="majorEastAsia"/>
                <w:b/>
                <w:bCs/>
                <w:color w:val="FFFFFF" w:themeColor="background2"/>
              </w:rPr>
            </w:pPr>
            <w:r w:rsidRPr="00FD59EC">
              <w:rPr>
                <w:rFonts w:eastAsiaTheme="majorEastAsia"/>
                <w:b/>
                <w:bCs/>
                <w:color w:val="FFFFFF" w:themeColor="background2"/>
                <w:lang w:eastAsia="en-AU"/>
              </w:rPr>
              <w:t xml:space="preserve">Table 17: Scheme payments 2014/15 </w:t>
            </w:r>
          </w:p>
        </w:tc>
      </w:tr>
      <w:tr w:rsidR="00FD59EC" w:rsidRPr="00FD59EC" w14:paraId="0E373E24" w14:textId="77777777" w:rsidTr="00667578">
        <w:tc>
          <w:tcPr>
            <w:tcW w:w="4962" w:type="dxa"/>
            <w:tcBorders>
              <w:top w:val="single" w:sz="8"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hideMark/>
          </w:tcPr>
          <w:p w14:paraId="5986E071" w14:textId="77777777" w:rsidR="00FD59EC" w:rsidRPr="00FD59EC" w:rsidRDefault="00FD59EC" w:rsidP="00FD59EC">
            <w:pPr>
              <w:rPr>
                <w:rFonts w:eastAsiaTheme="majorEastAsia"/>
              </w:rPr>
            </w:pPr>
            <w:r w:rsidRPr="00FD59EC">
              <w:rPr>
                <w:lang w:eastAsia="en-AU"/>
              </w:rPr>
              <w:t>Income payment</w:t>
            </w:r>
          </w:p>
        </w:tc>
        <w:tc>
          <w:tcPr>
            <w:tcW w:w="2574" w:type="dxa"/>
            <w:tcBorders>
              <w:top w:val="single" w:sz="8"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vAlign w:val="center"/>
            <w:hideMark/>
          </w:tcPr>
          <w:p w14:paraId="265D4165" w14:textId="262806A1" w:rsidR="00FD59EC" w:rsidRPr="00FD59EC" w:rsidRDefault="00FD59EC" w:rsidP="00934C59">
            <w:r w:rsidRPr="00FD59EC">
              <w:rPr>
                <w:lang w:eastAsia="en-AU"/>
              </w:rPr>
              <w:t>$</w:t>
            </w:r>
            <w:r w:rsidR="00934C59">
              <w:rPr>
                <w:lang w:eastAsia="en-AU"/>
              </w:rPr>
              <w:t>368.2</w:t>
            </w:r>
            <w:r w:rsidRPr="00FD59EC">
              <w:rPr>
                <w:lang w:eastAsia="en-AU"/>
              </w:rPr>
              <w:t xml:space="preserve"> million</w:t>
            </w:r>
          </w:p>
        </w:tc>
        <w:tc>
          <w:tcPr>
            <w:tcW w:w="1536" w:type="dxa"/>
            <w:tcBorders>
              <w:top w:val="single" w:sz="8"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hideMark/>
          </w:tcPr>
          <w:p w14:paraId="62A27A35" w14:textId="0A4839B7" w:rsidR="00FD59EC" w:rsidRPr="00FD59EC" w:rsidRDefault="00934C59" w:rsidP="00FD59EC">
            <w:pPr>
              <w:rPr>
                <w:lang w:eastAsia="en-AU"/>
              </w:rPr>
            </w:pPr>
            <w:r>
              <w:rPr>
                <w:lang w:eastAsia="en-AU"/>
              </w:rPr>
              <w:t>38</w:t>
            </w:r>
            <w:r w:rsidR="00FD59EC" w:rsidRPr="00FD59EC">
              <w:rPr>
                <w:lang w:eastAsia="en-AU"/>
              </w:rPr>
              <w:t>%</w:t>
            </w:r>
          </w:p>
        </w:tc>
      </w:tr>
      <w:tr w:rsidR="00FD59EC" w:rsidRPr="00FD59EC" w14:paraId="422078C3" w14:textId="77777777" w:rsidTr="00667578">
        <w:tc>
          <w:tcPr>
            <w:tcW w:w="4962" w:type="dxa"/>
            <w:tcBorders>
              <w:top w:val="single" w:sz="8"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hideMark/>
          </w:tcPr>
          <w:p w14:paraId="78579A5B" w14:textId="77777777" w:rsidR="00FD59EC" w:rsidRPr="00FD59EC" w:rsidRDefault="00FD59EC" w:rsidP="00FD59EC">
            <w:pPr>
              <w:rPr>
                <w:lang w:eastAsia="en-AU"/>
              </w:rPr>
            </w:pPr>
            <w:r w:rsidRPr="00FD59EC">
              <w:rPr>
                <w:lang w:eastAsia="en-AU"/>
              </w:rPr>
              <w:t>Common law and lump sum payments</w:t>
            </w:r>
          </w:p>
        </w:tc>
        <w:tc>
          <w:tcPr>
            <w:tcW w:w="2574" w:type="dxa"/>
            <w:tcBorders>
              <w:top w:val="single" w:sz="8"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vAlign w:val="center"/>
            <w:hideMark/>
          </w:tcPr>
          <w:p w14:paraId="53C98680" w14:textId="5F7BCA6F" w:rsidR="00FD59EC" w:rsidRPr="00FD59EC" w:rsidRDefault="00934C59" w:rsidP="00FD59EC">
            <w:r>
              <w:rPr>
                <w:lang w:eastAsia="en-AU"/>
              </w:rPr>
              <w:t>$272.4</w:t>
            </w:r>
            <w:r w:rsidR="00FD59EC" w:rsidRPr="00FD59EC">
              <w:rPr>
                <w:lang w:eastAsia="en-AU"/>
              </w:rPr>
              <w:t xml:space="preserve"> million</w:t>
            </w:r>
          </w:p>
        </w:tc>
        <w:tc>
          <w:tcPr>
            <w:tcW w:w="1536" w:type="dxa"/>
            <w:tcBorders>
              <w:top w:val="single" w:sz="8"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hideMark/>
          </w:tcPr>
          <w:p w14:paraId="7539B6A3" w14:textId="77777777" w:rsidR="00FD59EC" w:rsidRPr="00FD59EC" w:rsidRDefault="00FD59EC" w:rsidP="00FD59EC">
            <w:pPr>
              <w:rPr>
                <w:lang w:eastAsia="en-AU"/>
              </w:rPr>
            </w:pPr>
            <w:r w:rsidRPr="00FD59EC">
              <w:rPr>
                <w:lang w:eastAsia="en-AU"/>
              </w:rPr>
              <w:t>28%</w:t>
            </w:r>
          </w:p>
        </w:tc>
      </w:tr>
      <w:tr w:rsidR="00FD59EC" w:rsidRPr="00FD59EC" w14:paraId="740B1351" w14:textId="77777777" w:rsidTr="00667578">
        <w:tc>
          <w:tcPr>
            <w:tcW w:w="4962" w:type="dxa"/>
            <w:tcBorders>
              <w:top w:val="single" w:sz="8"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hideMark/>
          </w:tcPr>
          <w:p w14:paraId="72C599E4" w14:textId="77777777" w:rsidR="00FD59EC" w:rsidRPr="00FD59EC" w:rsidRDefault="00FD59EC" w:rsidP="00FD59EC">
            <w:pPr>
              <w:rPr>
                <w:lang w:eastAsia="en-AU"/>
              </w:rPr>
            </w:pPr>
            <w:r w:rsidRPr="00FD59EC">
              <w:rPr>
                <w:lang w:eastAsia="en-AU"/>
              </w:rPr>
              <w:t>Treatment service payments</w:t>
            </w:r>
          </w:p>
        </w:tc>
        <w:tc>
          <w:tcPr>
            <w:tcW w:w="2574" w:type="dxa"/>
            <w:tcBorders>
              <w:top w:val="single" w:sz="8"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vAlign w:val="center"/>
            <w:hideMark/>
          </w:tcPr>
          <w:p w14:paraId="21ADC3DB" w14:textId="70E9722E" w:rsidR="00FD59EC" w:rsidRPr="00FD59EC" w:rsidRDefault="00934C59" w:rsidP="00FD59EC">
            <w:r>
              <w:rPr>
                <w:lang w:eastAsia="en-AU"/>
              </w:rPr>
              <w:t>$212.7</w:t>
            </w:r>
            <w:r w:rsidR="00FD59EC" w:rsidRPr="00FD59EC">
              <w:rPr>
                <w:lang w:eastAsia="en-AU"/>
              </w:rPr>
              <w:t xml:space="preserve"> million</w:t>
            </w:r>
          </w:p>
        </w:tc>
        <w:tc>
          <w:tcPr>
            <w:tcW w:w="1536" w:type="dxa"/>
            <w:tcBorders>
              <w:top w:val="single" w:sz="8"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hideMark/>
          </w:tcPr>
          <w:p w14:paraId="223F5E22" w14:textId="62C1A1D8" w:rsidR="00FD59EC" w:rsidRPr="00FD59EC" w:rsidRDefault="00934C59" w:rsidP="00FD59EC">
            <w:pPr>
              <w:rPr>
                <w:lang w:eastAsia="en-AU"/>
              </w:rPr>
            </w:pPr>
            <w:r>
              <w:rPr>
                <w:lang w:eastAsia="en-AU"/>
              </w:rPr>
              <w:t>22</w:t>
            </w:r>
            <w:r w:rsidR="00FD59EC" w:rsidRPr="00FD59EC">
              <w:rPr>
                <w:lang w:eastAsia="en-AU"/>
              </w:rPr>
              <w:t>%</w:t>
            </w:r>
          </w:p>
        </w:tc>
      </w:tr>
      <w:tr w:rsidR="00FD59EC" w:rsidRPr="00FD59EC" w14:paraId="4A2E809B" w14:textId="77777777" w:rsidTr="00667578">
        <w:tc>
          <w:tcPr>
            <w:tcW w:w="4962" w:type="dxa"/>
            <w:tcBorders>
              <w:top w:val="single" w:sz="8"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hideMark/>
          </w:tcPr>
          <w:p w14:paraId="67F109E0" w14:textId="77777777" w:rsidR="00FD59EC" w:rsidRPr="00FD59EC" w:rsidRDefault="00FD59EC" w:rsidP="00FD59EC">
            <w:pPr>
              <w:rPr>
                <w:lang w:eastAsia="en-AU"/>
              </w:rPr>
            </w:pPr>
            <w:r w:rsidRPr="00FD59EC">
              <w:rPr>
                <w:lang w:eastAsia="en-AU"/>
              </w:rPr>
              <w:t>Legal and other service payments</w:t>
            </w:r>
          </w:p>
        </w:tc>
        <w:tc>
          <w:tcPr>
            <w:tcW w:w="2574" w:type="dxa"/>
            <w:tcBorders>
              <w:top w:val="single" w:sz="8"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vAlign w:val="center"/>
            <w:hideMark/>
          </w:tcPr>
          <w:p w14:paraId="2514D588" w14:textId="36155981" w:rsidR="00FD59EC" w:rsidRPr="00FD59EC" w:rsidRDefault="00934C59" w:rsidP="00FD59EC">
            <w:r>
              <w:rPr>
                <w:lang w:eastAsia="en-AU"/>
              </w:rPr>
              <w:t>$103.3</w:t>
            </w:r>
            <w:r w:rsidR="00FD59EC" w:rsidRPr="00FD59EC">
              <w:rPr>
                <w:lang w:eastAsia="en-AU"/>
              </w:rPr>
              <w:t xml:space="preserve"> million</w:t>
            </w:r>
          </w:p>
        </w:tc>
        <w:tc>
          <w:tcPr>
            <w:tcW w:w="1536" w:type="dxa"/>
            <w:tcBorders>
              <w:top w:val="single" w:sz="8"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hideMark/>
          </w:tcPr>
          <w:p w14:paraId="2B507F40" w14:textId="7AD4C1CA" w:rsidR="00FD59EC" w:rsidRPr="00FD59EC" w:rsidRDefault="00934C59" w:rsidP="00FD59EC">
            <w:pPr>
              <w:rPr>
                <w:lang w:eastAsia="en-AU"/>
              </w:rPr>
            </w:pPr>
            <w:r>
              <w:rPr>
                <w:lang w:eastAsia="en-AU"/>
              </w:rPr>
              <w:t>11</w:t>
            </w:r>
            <w:r w:rsidR="00FD59EC" w:rsidRPr="00FD59EC">
              <w:rPr>
                <w:lang w:eastAsia="en-AU"/>
              </w:rPr>
              <w:t>%</w:t>
            </w:r>
          </w:p>
        </w:tc>
      </w:tr>
    </w:tbl>
    <w:p w14:paraId="7508A9A6" w14:textId="77777777" w:rsidR="00FD59EC" w:rsidRPr="00FD59EC" w:rsidRDefault="00FD59EC" w:rsidP="00FD59EC"/>
    <w:p w14:paraId="6861425C" w14:textId="77777777" w:rsidR="00FD59EC" w:rsidRPr="00FD59EC" w:rsidRDefault="00FD59EC" w:rsidP="00527BC1">
      <w:pPr>
        <w:pStyle w:val="Heading2nonumber"/>
        <w:rPr>
          <w:lang w:val="en-US"/>
        </w:rPr>
      </w:pPr>
      <w:bookmarkStart w:id="197" w:name="_Toc399316943"/>
      <w:bookmarkStart w:id="198" w:name="_Toc430091188"/>
      <w:r w:rsidRPr="00FD59EC">
        <w:rPr>
          <w:lang w:val="en-US"/>
        </w:rPr>
        <w:t>Average recommended premium rates</w:t>
      </w:r>
      <w:bookmarkEnd w:id="197"/>
      <w:bookmarkEnd w:id="198"/>
    </w:p>
    <w:p w14:paraId="763BA367" w14:textId="69E4977E" w:rsidR="00FD59EC" w:rsidRPr="00FD59EC" w:rsidRDefault="00FD59EC" w:rsidP="00FD59EC">
      <w:r w:rsidRPr="00FD59EC">
        <w:t xml:space="preserve">WorkCover WA publishes </w:t>
      </w:r>
      <w:r w:rsidR="000850C9">
        <w:t xml:space="preserve">annual </w:t>
      </w:r>
      <w:r w:rsidRPr="00FD59EC">
        <w:t>recommended premium rates for workers’ compensation insurance for each industry. The average recommended premium rate for 2015/16 represents a decrease of 4.7 per cent on the previous rate, down from 1.556 per cent of total wages to 1.483 per cent of total wages.</w:t>
      </w:r>
    </w:p>
    <w:p w14:paraId="68F89A68" w14:textId="77777777" w:rsidR="00FD59EC" w:rsidRPr="00FD59EC" w:rsidRDefault="00FD59EC" w:rsidP="00FD59EC">
      <w:r w:rsidRPr="00FD59EC">
        <w:t>The decrease in premium rates for 2015/16 was largely driven by:</w:t>
      </w:r>
    </w:p>
    <w:p w14:paraId="24486884" w14:textId="77777777" w:rsidR="00FD59EC" w:rsidRPr="00FD59EC" w:rsidRDefault="00FD59EC" w:rsidP="00FD59EC">
      <w:pPr>
        <w:numPr>
          <w:ilvl w:val="0"/>
          <w:numId w:val="3"/>
        </w:numPr>
        <w:rPr>
          <w:rFonts w:eastAsiaTheme="minorHAnsi" w:cs="Arial"/>
          <w:bCs/>
        </w:rPr>
      </w:pPr>
      <w:r w:rsidRPr="00FD59EC">
        <w:rPr>
          <w:rFonts w:eastAsiaTheme="minorHAnsi" w:cs="Arial"/>
          <w:bCs/>
        </w:rPr>
        <w:t>wages growth in excess of wage inflation in Western Australia and a decrease in the future rate of inflation</w:t>
      </w:r>
    </w:p>
    <w:p w14:paraId="08DE568A" w14:textId="77777777" w:rsidR="00FD59EC" w:rsidRPr="00FD59EC" w:rsidRDefault="00FD59EC" w:rsidP="00FD59EC">
      <w:pPr>
        <w:numPr>
          <w:ilvl w:val="0"/>
          <w:numId w:val="3"/>
        </w:numPr>
        <w:rPr>
          <w:rFonts w:eastAsiaTheme="minorHAnsi" w:cs="Arial"/>
          <w:bCs/>
        </w:rPr>
      </w:pPr>
      <w:r w:rsidRPr="00FD59EC">
        <w:rPr>
          <w:rFonts w:eastAsiaTheme="minorHAnsi" w:cs="Arial"/>
          <w:bCs/>
        </w:rPr>
        <w:t>a decrease in the claim numbers for 2013/14 and in the half year to 31 December 2014</w:t>
      </w:r>
    </w:p>
    <w:p w14:paraId="54AAA3A7" w14:textId="77777777" w:rsidR="00FD59EC" w:rsidRPr="00FD59EC" w:rsidRDefault="00FD59EC" w:rsidP="00FD59EC">
      <w:pPr>
        <w:numPr>
          <w:ilvl w:val="0"/>
          <w:numId w:val="3"/>
        </w:numPr>
        <w:rPr>
          <w:rFonts w:eastAsiaTheme="minorHAnsi" w:cs="Arial"/>
          <w:bCs/>
        </w:rPr>
      </w:pPr>
      <w:r w:rsidRPr="00FD59EC">
        <w:rPr>
          <w:rFonts w:eastAsiaTheme="minorHAnsi" w:cs="Arial"/>
          <w:bCs/>
        </w:rPr>
        <w:t>a lower rate of growth of claims with more than 60 days lost</w:t>
      </w:r>
    </w:p>
    <w:p w14:paraId="31552E5D" w14:textId="2D6576F4" w:rsidR="001C0112" w:rsidRDefault="00FD59EC" w:rsidP="00B66AB8">
      <w:pPr>
        <w:rPr>
          <w:rFonts w:eastAsiaTheme="minorHAnsi" w:cs="Arial"/>
          <w:bCs/>
        </w:rPr>
      </w:pPr>
      <w:r w:rsidRPr="00FD59EC">
        <w:rPr>
          <w:rFonts w:eastAsiaTheme="minorHAnsi" w:cs="Arial"/>
          <w:bCs/>
        </w:rPr>
        <w:t>The average recommended premium rate has reduced by 30 per</w:t>
      </w:r>
      <w:r w:rsidR="00FD4209">
        <w:rPr>
          <w:rFonts w:eastAsiaTheme="minorHAnsi" w:cs="Arial"/>
          <w:bCs/>
        </w:rPr>
        <w:t xml:space="preserve"> cent since 2006/07. High wages</w:t>
      </w:r>
      <w:r w:rsidRPr="00FD59EC">
        <w:rPr>
          <w:rFonts w:eastAsiaTheme="minorHAnsi" w:cs="Arial"/>
          <w:bCs/>
        </w:rPr>
        <w:t xml:space="preserve"> growth, improved occupational health and safety performance and strong rates of return for insurers over the last 10 years were the main drivers of these reductions.</w:t>
      </w:r>
    </w:p>
    <w:p w14:paraId="2BE06075" w14:textId="5E597EFB" w:rsidR="00FD59EC" w:rsidRDefault="001C0112" w:rsidP="001C0112">
      <w:pPr>
        <w:keepLines w:val="0"/>
        <w:spacing w:after="0" w:line="240" w:lineRule="auto"/>
        <w:rPr>
          <w:rFonts w:eastAsiaTheme="minorHAnsi" w:cs="Arial"/>
          <w:bCs/>
        </w:rPr>
      </w:pPr>
      <w:r>
        <w:rPr>
          <w:rFonts w:eastAsiaTheme="minorHAnsi" w:cs="Arial"/>
          <w:bCs/>
        </w:rPr>
        <w:br w:type="page"/>
      </w:r>
    </w:p>
    <w:p w14:paraId="5D7A15E0" w14:textId="77777777" w:rsidR="00FE39B5" w:rsidRPr="00FD59EC" w:rsidRDefault="00FE39B5" w:rsidP="001C0112">
      <w:pPr>
        <w:keepLines w:val="0"/>
        <w:spacing w:after="0" w:line="240" w:lineRule="auto"/>
        <w:rPr>
          <w:rFonts w:eastAsiaTheme="minorHAnsi" w:cs="Arial"/>
          <w:bCs/>
        </w:rPr>
      </w:pPr>
    </w:p>
    <w:tbl>
      <w:tblPr>
        <w:tblStyle w:val="TableGrid"/>
        <w:tblW w:w="10181" w:type="dxa"/>
        <w:tblInd w:w="-289"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18 WA Average recommended premium rates"/>
        <w:tblDescription w:val="Table 18 details the WA Average recommended premium rates over the last ten years"/>
      </w:tblPr>
      <w:tblGrid>
        <w:gridCol w:w="1163"/>
        <w:gridCol w:w="1002"/>
        <w:gridCol w:w="1002"/>
        <w:gridCol w:w="1002"/>
        <w:gridCol w:w="1002"/>
        <w:gridCol w:w="1002"/>
        <w:gridCol w:w="1002"/>
        <w:gridCol w:w="1002"/>
        <w:gridCol w:w="1002"/>
        <w:gridCol w:w="1002"/>
      </w:tblGrid>
      <w:tr w:rsidR="00FD59EC" w:rsidRPr="00FD59EC" w14:paraId="2D45CEFC" w14:textId="77777777" w:rsidTr="00C345F4">
        <w:trPr>
          <w:tblHeader/>
        </w:trPr>
        <w:tc>
          <w:tcPr>
            <w:tcW w:w="10181" w:type="dxa"/>
            <w:gridSpan w:val="10"/>
            <w:tcBorders>
              <w:bottom w:val="single" w:sz="4" w:space="0" w:color="BAD0CD" w:themeColor="accent5" w:themeShade="E6"/>
            </w:tcBorders>
            <w:shd w:val="clear" w:color="auto" w:fill="2D4541" w:themeFill="accent2"/>
          </w:tcPr>
          <w:p w14:paraId="59E12498" w14:textId="77777777" w:rsidR="00FD59EC" w:rsidRPr="00FD59EC" w:rsidRDefault="00FD59EC" w:rsidP="00C345F4">
            <w:pPr>
              <w:ind w:left="-79"/>
              <w:rPr>
                <w:b/>
                <w:bCs/>
                <w:color w:val="FFFFFF" w:themeColor="background1"/>
              </w:rPr>
            </w:pPr>
            <w:r w:rsidRPr="00FD59EC">
              <w:rPr>
                <w:b/>
                <w:bCs/>
                <w:color w:val="FFFFFF" w:themeColor="background1"/>
              </w:rPr>
              <w:t xml:space="preserve">Table 18: WA Average recommended premium rates </w:t>
            </w:r>
          </w:p>
        </w:tc>
      </w:tr>
      <w:tr w:rsidR="00FD59EC" w:rsidRPr="00FD59EC" w14:paraId="2BD7FD30" w14:textId="77777777" w:rsidTr="00C345F4">
        <w:trPr>
          <w:trHeight w:val="430"/>
        </w:trPr>
        <w:tc>
          <w:tcPr>
            <w:tcW w:w="1163" w:type="dxa"/>
            <w:shd w:val="clear" w:color="auto" w:fill="CEDFDC" w:themeFill="accent2" w:themeFillTint="33"/>
          </w:tcPr>
          <w:p w14:paraId="6A22655F" w14:textId="77777777" w:rsidR="00FD59EC" w:rsidRPr="00FD59EC" w:rsidRDefault="00FD59EC" w:rsidP="00C345F4">
            <w:pPr>
              <w:ind w:left="-79"/>
              <w:rPr>
                <w:b/>
                <w:bCs/>
              </w:rPr>
            </w:pPr>
            <w:r w:rsidRPr="00FD59EC">
              <w:rPr>
                <w:b/>
                <w:bCs/>
                <w:sz w:val="22"/>
              </w:rPr>
              <w:t>2006/07</w:t>
            </w:r>
          </w:p>
        </w:tc>
        <w:tc>
          <w:tcPr>
            <w:tcW w:w="1002" w:type="dxa"/>
            <w:shd w:val="clear" w:color="auto" w:fill="CEDFDC" w:themeFill="accent2" w:themeFillTint="33"/>
          </w:tcPr>
          <w:p w14:paraId="4497E6D2" w14:textId="77777777" w:rsidR="00FD59EC" w:rsidRPr="00FD59EC" w:rsidRDefault="00FD59EC" w:rsidP="00C345F4">
            <w:pPr>
              <w:ind w:left="-79"/>
              <w:rPr>
                <w:b/>
                <w:bCs/>
              </w:rPr>
            </w:pPr>
            <w:r w:rsidRPr="00FD59EC">
              <w:rPr>
                <w:b/>
                <w:bCs/>
                <w:sz w:val="22"/>
              </w:rPr>
              <w:t>2007/08</w:t>
            </w:r>
          </w:p>
        </w:tc>
        <w:tc>
          <w:tcPr>
            <w:tcW w:w="1002" w:type="dxa"/>
            <w:shd w:val="clear" w:color="auto" w:fill="CEDFDC" w:themeFill="accent2" w:themeFillTint="33"/>
          </w:tcPr>
          <w:p w14:paraId="127EE30E" w14:textId="77777777" w:rsidR="00FD59EC" w:rsidRPr="00FD59EC" w:rsidRDefault="00FD59EC" w:rsidP="00C345F4">
            <w:pPr>
              <w:ind w:left="-79"/>
              <w:rPr>
                <w:b/>
                <w:bCs/>
              </w:rPr>
            </w:pPr>
            <w:r w:rsidRPr="00FD59EC">
              <w:rPr>
                <w:b/>
                <w:bCs/>
                <w:sz w:val="22"/>
              </w:rPr>
              <w:t>2008/09</w:t>
            </w:r>
          </w:p>
        </w:tc>
        <w:tc>
          <w:tcPr>
            <w:tcW w:w="1002" w:type="dxa"/>
            <w:shd w:val="clear" w:color="auto" w:fill="CEDFDC" w:themeFill="accent2" w:themeFillTint="33"/>
          </w:tcPr>
          <w:p w14:paraId="28D93E9E" w14:textId="77777777" w:rsidR="00FD59EC" w:rsidRPr="00FD59EC" w:rsidRDefault="00FD59EC" w:rsidP="00C345F4">
            <w:pPr>
              <w:ind w:left="-79"/>
              <w:rPr>
                <w:b/>
                <w:bCs/>
              </w:rPr>
            </w:pPr>
            <w:r w:rsidRPr="00FD59EC">
              <w:rPr>
                <w:b/>
                <w:bCs/>
                <w:sz w:val="22"/>
              </w:rPr>
              <w:t>2009/10</w:t>
            </w:r>
          </w:p>
        </w:tc>
        <w:tc>
          <w:tcPr>
            <w:tcW w:w="1002" w:type="dxa"/>
            <w:shd w:val="clear" w:color="auto" w:fill="CEDFDC" w:themeFill="accent2" w:themeFillTint="33"/>
          </w:tcPr>
          <w:p w14:paraId="31440585" w14:textId="77777777" w:rsidR="00FD59EC" w:rsidRPr="00FD59EC" w:rsidRDefault="00FD59EC" w:rsidP="00C345F4">
            <w:pPr>
              <w:ind w:left="-79"/>
              <w:rPr>
                <w:b/>
                <w:bCs/>
              </w:rPr>
            </w:pPr>
            <w:r w:rsidRPr="00FD59EC">
              <w:rPr>
                <w:b/>
                <w:bCs/>
                <w:sz w:val="22"/>
              </w:rPr>
              <w:t>2010/11</w:t>
            </w:r>
          </w:p>
        </w:tc>
        <w:tc>
          <w:tcPr>
            <w:tcW w:w="1002" w:type="dxa"/>
            <w:shd w:val="clear" w:color="auto" w:fill="CEDFDC" w:themeFill="accent2" w:themeFillTint="33"/>
          </w:tcPr>
          <w:p w14:paraId="19949C28" w14:textId="77777777" w:rsidR="00FD59EC" w:rsidRPr="00FD59EC" w:rsidRDefault="00FD59EC" w:rsidP="00C345F4">
            <w:pPr>
              <w:ind w:left="-79"/>
              <w:rPr>
                <w:b/>
                <w:bCs/>
              </w:rPr>
            </w:pPr>
            <w:r w:rsidRPr="00FD59EC">
              <w:rPr>
                <w:b/>
                <w:bCs/>
                <w:sz w:val="22"/>
              </w:rPr>
              <w:t>2011/12</w:t>
            </w:r>
          </w:p>
        </w:tc>
        <w:tc>
          <w:tcPr>
            <w:tcW w:w="1002" w:type="dxa"/>
            <w:shd w:val="clear" w:color="auto" w:fill="CEDFDC" w:themeFill="accent2" w:themeFillTint="33"/>
          </w:tcPr>
          <w:p w14:paraId="75376007" w14:textId="77777777" w:rsidR="00FD59EC" w:rsidRPr="00FD59EC" w:rsidRDefault="00FD59EC" w:rsidP="00C345F4">
            <w:pPr>
              <w:ind w:left="-79"/>
              <w:rPr>
                <w:b/>
                <w:bCs/>
              </w:rPr>
            </w:pPr>
            <w:r w:rsidRPr="00FD59EC">
              <w:rPr>
                <w:b/>
                <w:bCs/>
                <w:sz w:val="22"/>
              </w:rPr>
              <w:t>2012/13</w:t>
            </w:r>
          </w:p>
        </w:tc>
        <w:tc>
          <w:tcPr>
            <w:tcW w:w="1002" w:type="dxa"/>
            <w:shd w:val="clear" w:color="auto" w:fill="CEDFDC" w:themeFill="accent2" w:themeFillTint="33"/>
          </w:tcPr>
          <w:p w14:paraId="686BE0E8" w14:textId="77777777" w:rsidR="00FD59EC" w:rsidRPr="00FD59EC" w:rsidRDefault="00FD59EC" w:rsidP="00C345F4">
            <w:pPr>
              <w:ind w:left="-79"/>
              <w:rPr>
                <w:b/>
                <w:bCs/>
              </w:rPr>
            </w:pPr>
            <w:r w:rsidRPr="00FD59EC">
              <w:rPr>
                <w:b/>
                <w:bCs/>
                <w:sz w:val="22"/>
              </w:rPr>
              <w:t>2013/14</w:t>
            </w:r>
          </w:p>
        </w:tc>
        <w:tc>
          <w:tcPr>
            <w:tcW w:w="1002" w:type="dxa"/>
            <w:shd w:val="clear" w:color="auto" w:fill="CEDFDC" w:themeFill="accent2" w:themeFillTint="33"/>
          </w:tcPr>
          <w:p w14:paraId="0DA00192" w14:textId="77777777" w:rsidR="00FD59EC" w:rsidRPr="00FD59EC" w:rsidRDefault="00FD59EC" w:rsidP="00C345F4">
            <w:pPr>
              <w:ind w:left="-79"/>
              <w:rPr>
                <w:b/>
                <w:bCs/>
              </w:rPr>
            </w:pPr>
            <w:r w:rsidRPr="00FD59EC">
              <w:rPr>
                <w:b/>
                <w:bCs/>
                <w:sz w:val="22"/>
              </w:rPr>
              <w:t>2014/15</w:t>
            </w:r>
          </w:p>
        </w:tc>
        <w:tc>
          <w:tcPr>
            <w:tcW w:w="1002" w:type="dxa"/>
            <w:shd w:val="clear" w:color="auto" w:fill="CEDFDC" w:themeFill="accent2" w:themeFillTint="33"/>
            <w:vAlign w:val="center"/>
          </w:tcPr>
          <w:p w14:paraId="4E68F6FC" w14:textId="77777777" w:rsidR="00FD59EC" w:rsidRPr="00FD59EC" w:rsidRDefault="00FD59EC" w:rsidP="00C345F4">
            <w:pPr>
              <w:ind w:left="-79"/>
              <w:rPr>
                <w:b/>
                <w:bCs/>
              </w:rPr>
            </w:pPr>
            <w:r w:rsidRPr="00FD59EC">
              <w:rPr>
                <w:b/>
                <w:bCs/>
                <w:sz w:val="22"/>
              </w:rPr>
              <w:t>2015/16</w:t>
            </w:r>
          </w:p>
        </w:tc>
      </w:tr>
      <w:tr w:rsidR="00FD59EC" w:rsidRPr="00FD59EC" w14:paraId="4F3FF146" w14:textId="77777777" w:rsidTr="00C345F4">
        <w:tc>
          <w:tcPr>
            <w:tcW w:w="1163" w:type="dxa"/>
            <w:tcBorders>
              <w:bottom w:val="single" w:sz="4" w:space="0" w:color="BAD0CD" w:themeColor="accent5" w:themeShade="E6"/>
            </w:tcBorders>
            <w:shd w:val="clear" w:color="auto" w:fill="FFFFFF" w:themeFill="background1"/>
          </w:tcPr>
          <w:p w14:paraId="1818D389" w14:textId="77777777" w:rsidR="00FD59EC" w:rsidRPr="00FD59EC" w:rsidRDefault="00FD59EC" w:rsidP="00C345F4">
            <w:pPr>
              <w:ind w:left="-79"/>
              <w:rPr>
                <w:bCs/>
              </w:rPr>
            </w:pPr>
            <w:r w:rsidRPr="00FD59EC">
              <w:rPr>
                <w:sz w:val="22"/>
              </w:rPr>
              <w:t>2.117</w:t>
            </w:r>
          </w:p>
        </w:tc>
        <w:tc>
          <w:tcPr>
            <w:tcW w:w="1002" w:type="dxa"/>
            <w:tcBorders>
              <w:bottom w:val="single" w:sz="4" w:space="0" w:color="BAD0CD" w:themeColor="accent5" w:themeShade="E6"/>
            </w:tcBorders>
            <w:shd w:val="clear" w:color="auto" w:fill="FFFFFF" w:themeFill="background1"/>
          </w:tcPr>
          <w:p w14:paraId="0B77F1FC" w14:textId="77777777" w:rsidR="00FD59EC" w:rsidRPr="00FD59EC" w:rsidRDefault="00FD59EC" w:rsidP="00C345F4">
            <w:pPr>
              <w:ind w:left="-79"/>
              <w:rPr>
                <w:bCs/>
              </w:rPr>
            </w:pPr>
            <w:r w:rsidRPr="00FD59EC">
              <w:rPr>
                <w:sz w:val="22"/>
              </w:rPr>
              <w:t>1.849</w:t>
            </w:r>
          </w:p>
        </w:tc>
        <w:tc>
          <w:tcPr>
            <w:tcW w:w="1002" w:type="dxa"/>
            <w:tcBorders>
              <w:bottom w:val="single" w:sz="4" w:space="0" w:color="BAD0CD" w:themeColor="accent5" w:themeShade="E6"/>
            </w:tcBorders>
            <w:shd w:val="clear" w:color="auto" w:fill="FFFFFF" w:themeFill="background1"/>
          </w:tcPr>
          <w:p w14:paraId="138B0167" w14:textId="77777777" w:rsidR="00FD59EC" w:rsidRPr="00FD59EC" w:rsidRDefault="00FD59EC" w:rsidP="00C345F4">
            <w:pPr>
              <w:ind w:left="-79"/>
              <w:rPr>
                <w:bCs/>
              </w:rPr>
            </w:pPr>
            <w:r w:rsidRPr="00FD59EC">
              <w:rPr>
                <w:sz w:val="22"/>
              </w:rPr>
              <w:t>1.582</w:t>
            </w:r>
          </w:p>
        </w:tc>
        <w:tc>
          <w:tcPr>
            <w:tcW w:w="1002" w:type="dxa"/>
            <w:tcBorders>
              <w:bottom w:val="single" w:sz="4" w:space="0" w:color="BAD0CD" w:themeColor="accent5" w:themeShade="E6"/>
            </w:tcBorders>
            <w:shd w:val="clear" w:color="auto" w:fill="FFFFFF" w:themeFill="background1"/>
          </w:tcPr>
          <w:p w14:paraId="56C19060" w14:textId="77777777" w:rsidR="00FD59EC" w:rsidRPr="00FD59EC" w:rsidRDefault="00FD59EC" w:rsidP="00C345F4">
            <w:pPr>
              <w:ind w:left="-79"/>
              <w:rPr>
                <w:bCs/>
              </w:rPr>
            </w:pPr>
            <w:r w:rsidRPr="00FD59EC">
              <w:rPr>
                <w:sz w:val="22"/>
              </w:rPr>
              <w:t>1.738</w:t>
            </w:r>
          </w:p>
        </w:tc>
        <w:tc>
          <w:tcPr>
            <w:tcW w:w="1002" w:type="dxa"/>
            <w:tcBorders>
              <w:bottom w:val="single" w:sz="4" w:space="0" w:color="BAD0CD" w:themeColor="accent5" w:themeShade="E6"/>
            </w:tcBorders>
            <w:shd w:val="clear" w:color="auto" w:fill="FFFFFF" w:themeFill="background1"/>
          </w:tcPr>
          <w:p w14:paraId="5ACCA969" w14:textId="77777777" w:rsidR="00FD59EC" w:rsidRPr="00FD59EC" w:rsidRDefault="00FD59EC" w:rsidP="00C345F4">
            <w:pPr>
              <w:ind w:left="-79"/>
              <w:rPr>
                <w:bCs/>
              </w:rPr>
            </w:pPr>
            <w:r w:rsidRPr="00FD59EC">
              <w:rPr>
                <w:sz w:val="22"/>
              </w:rPr>
              <w:t>1.497</w:t>
            </w:r>
          </w:p>
        </w:tc>
        <w:tc>
          <w:tcPr>
            <w:tcW w:w="1002" w:type="dxa"/>
            <w:tcBorders>
              <w:bottom w:val="single" w:sz="4" w:space="0" w:color="BAD0CD" w:themeColor="accent5" w:themeShade="E6"/>
            </w:tcBorders>
            <w:shd w:val="clear" w:color="auto" w:fill="FFFFFF" w:themeFill="background1"/>
          </w:tcPr>
          <w:p w14:paraId="788C089E" w14:textId="77777777" w:rsidR="00FD59EC" w:rsidRPr="00FD59EC" w:rsidRDefault="00FD59EC" w:rsidP="00C345F4">
            <w:pPr>
              <w:ind w:left="-79"/>
              <w:rPr>
                <w:bCs/>
              </w:rPr>
            </w:pPr>
            <w:r w:rsidRPr="00FD59EC">
              <w:rPr>
                <w:sz w:val="22"/>
              </w:rPr>
              <w:t>1.569</w:t>
            </w:r>
          </w:p>
        </w:tc>
        <w:tc>
          <w:tcPr>
            <w:tcW w:w="1002" w:type="dxa"/>
            <w:tcBorders>
              <w:bottom w:val="single" w:sz="4" w:space="0" w:color="BAD0CD" w:themeColor="accent5" w:themeShade="E6"/>
            </w:tcBorders>
            <w:shd w:val="clear" w:color="auto" w:fill="FFFFFF" w:themeFill="background1"/>
          </w:tcPr>
          <w:p w14:paraId="2F338FAF" w14:textId="77777777" w:rsidR="00FD59EC" w:rsidRPr="00FD59EC" w:rsidRDefault="00FD59EC" w:rsidP="00C345F4">
            <w:pPr>
              <w:ind w:left="-79"/>
              <w:rPr>
                <w:bCs/>
              </w:rPr>
            </w:pPr>
            <w:r w:rsidRPr="00FD59EC">
              <w:rPr>
                <w:sz w:val="22"/>
              </w:rPr>
              <w:t>1.961</w:t>
            </w:r>
          </w:p>
        </w:tc>
        <w:tc>
          <w:tcPr>
            <w:tcW w:w="1002" w:type="dxa"/>
            <w:tcBorders>
              <w:bottom w:val="single" w:sz="4" w:space="0" w:color="BAD0CD" w:themeColor="accent5" w:themeShade="E6"/>
            </w:tcBorders>
            <w:shd w:val="clear" w:color="auto" w:fill="FFFFFF" w:themeFill="background1"/>
          </w:tcPr>
          <w:p w14:paraId="681BF0D5" w14:textId="77777777" w:rsidR="00FD59EC" w:rsidRPr="00FD59EC" w:rsidRDefault="00FD59EC" w:rsidP="00C345F4">
            <w:pPr>
              <w:ind w:left="-79"/>
              <w:rPr>
                <w:bCs/>
              </w:rPr>
            </w:pPr>
            <w:r w:rsidRPr="00FD59EC">
              <w:rPr>
                <w:sz w:val="22"/>
              </w:rPr>
              <w:t>1.668</w:t>
            </w:r>
          </w:p>
        </w:tc>
        <w:tc>
          <w:tcPr>
            <w:tcW w:w="1002" w:type="dxa"/>
            <w:tcBorders>
              <w:bottom w:val="single" w:sz="4" w:space="0" w:color="BAD0CD" w:themeColor="accent5" w:themeShade="E6"/>
            </w:tcBorders>
            <w:shd w:val="clear" w:color="auto" w:fill="FFFFFF" w:themeFill="background1"/>
          </w:tcPr>
          <w:p w14:paraId="12F3076E" w14:textId="77777777" w:rsidR="00FD59EC" w:rsidRPr="00FD59EC" w:rsidRDefault="00FD59EC" w:rsidP="00C345F4">
            <w:pPr>
              <w:ind w:left="-79"/>
              <w:rPr>
                <w:bCs/>
              </w:rPr>
            </w:pPr>
            <w:r w:rsidRPr="00FD59EC">
              <w:rPr>
                <w:sz w:val="22"/>
              </w:rPr>
              <w:t>1.556</w:t>
            </w:r>
          </w:p>
        </w:tc>
        <w:tc>
          <w:tcPr>
            <w:tcW w:w="1002" w:type="dxa"/>
            <w:tcBorders>
              <w:bottom w:val="single" w:sz="4" w:space="0" w:color="BAD0CD" w:themeColor="accent5" w:themeShade="E6"/>
            </w:tcBorders>
            <w:shd w:val="clear" w:color="auto" w:fill="FFFFFF" w:themeFill="background1"/>
            <w:vAlign w:val="center"/>
          </w:tcPr>
          <w:p w14:paraId="1070B798" w14:textId="77777777" w:rsidR="00FD59EC" w:rsidRPr="00FD59EC" w:rsidRDefault="00FD59EC" w:rsidP="00C345F4">
            <w:pPr>
              <w:ind w:left="-79"/>
              <w:rPr>
                <w:bCs/>
              </w:rPr>
            </w:pPr>
            <w:r w:rsidRPr="00FD59EC">
              <w:rPr>
                <w:bCs/>
                <w:sz w:val="22"/>
              </w:rPr>
              <w:t>1.483</w:t>
            </w:r>
          </w:p>
        </w:tc>
      </w:tr>
    </w:tbl>
    <w:p w14:paraId="6317E6F7" w14:textId="77777777" w:rsidR="00FD59EC" w:rsidRPr="00FD59EC" w:rsidRDefault="00FD59EC" w:rsidP="00245969">
      <w:pPr>
        <w:pStyle w:val="Heading2nonumber"/>
        <w:rPr>
          <w:lang w:val="en-US"/>
        </w:rPr>
      </w:pPr>
      <w:bookmarkStart w:id="199" w:name="_Toc399316944"/>
      <w:bookmarkStart w:id="200" w:name="_Toc430091189"/>
      <w:r w:rsidRPr="00527BC1">
        <w:t>Scheme payments and premium</w:t>
      </w:r>
      <w:r w:rsidRPr="00FD59EC">
        <w:rPr>
          <w:lang w:val="en-US"/>
        </w:rPr>
        <w:t xml:space="preserve"> income</w:t>
      </w:r>
      <w:bookmarkEnd w:id="199"/>
      <w:bookmarkEnd w:id="200"/>
      <w:r w:rsidRPr="00FD59EC">
        <w:rPr>
          <w:lang w:val="en-US"/>
        </w:rPr>
        <w:t xml:space="preserve"> </w:t>
      </w:r>
    </w:p>
    <w:p w14:paraId="27047816" w14:textId="69A1C6D0" w:rsidR="00FD59EC" w:rsidRPr="00FD59EC" w:rsidRDefault="00FD59EC" w:rsidP="00FD59EC">
      <w:pPr>
        <w:rPr>
          <w:rFonts w:cs="Arial"/>
        </w:rPr>
      </w:pPr>
      <w:r w:rsidRPr="00FD59EC">
        <w:rPr>
          <w:rFonts w:cs="Arial"/>
        </w:rPr>
        <w:t>This table shows changes in premiums collected and compensation paid during the past three financial years. Variations in claim payments and premium income over time reflect changes in numbers of employees, wage growth and inflationary pressures.</w:t>
      </w:r>
    </w:p>
    <w:tbl>
      <w:tblPr>
        <w:tblStyle w:val="TableGrid"/>
        <w:tblW w:w="9952" w:type="dxa"/>
        <w:tblInd w:w="-289"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Look w:val="04A0" w:firstRow="1" w:lastRow="0" w:firstColumn="1" w:lastColumn="0" w:noHBand="0" w:noVBand="1"/>
        <w:tblCaption w:val="Table 19 scheme payments and premium income"/>
        <w:tblDescription w:val="Table 19 details the scheme payments and pemium income over the last five years"/>
      </w:tblPr>
      <w:tblGrid>
        <w:gridCol w:w="3289"/>
        <w:gridCol w:w="1361"/>
        <w:gridCol w:w="1361"/>
        <w:gridCol w:w="1361"/>
        <w:gridCol w:w="1361"/>
        <w:gridCol w:w="1219"/>
      </w:tblGrid>
      <w:tr w:rsidR="00FD59EC" w:rsidRPr="00FD59EC" w14:paraId="4794E03F" w14:textId="77777777" w:rsidTr="00C345F4">
        <w:trPr>
          <w:tblHeader/>
        </w:trPr>
        <w:tc>
          <w:tcPr>
            <w:tcW w:w="9952" w:type="dxa"/>
            <w:gridSpan w:val="6"/>
            <w:tcBorders>
              <w:bottom w:val="single" w:sz="4" w:space="0" w:color="BAD0CD" w:themeColor="accent5" w:themeShade="E6"/>
            </w:tcBorders>
            <w:shd w:val="clear" w:color="auto" w:fill="2D4541" w:themeFill="accent2"/>
          </w:tcPr>
          <w:p w14:paraId="717F9C1C" w14:textId="77777777" w:rsidR="00FD59EC" w:rsidRPr="00FD59EC" w:rsidRDefault="00FD59EC" w:rsidP="00FD59EC">
            <w:pPr>
              <w:rPr>
                <w:b/>
                <w:bCs/>
                <w:color w:val="FFFFFF" w:themeColor="background1"/>
              </w:rPr>
            </w:pPr>
            <w:r w:rsidRPr="00FD59EC">
              <w:rPr>
                <w:b/>
                <w:bCs/>
                <w:color w:val="FFFFFF" w:themeColor="background1"/>
              </w:rPr>
              <w:t xml:space="preserve">Table 19: Scheme payments and premium income </w:t>
            </w:r>
          </w:p>
        </w:tc>
      </w:tr>
      <w:tr w:rsidR="00FD59EC" w:rsidRPr="00FD59EC" w14:paraId="431D595E" w14:textId="77777777" w:rsidTr="00C345F4">
        <w:trPr>
          <w:trHeight w:val="374"/>
        </w:trPr>
        <w:tc>
          <w:tcPr>
            <w:tcW w:w="3289" w:type="dxa"/>
            <w:shd w:val="clear" w:color="auto" w:fill="CEDFDC" w:themeFill="accent2" w:themeFillTint="33"/>
            <w:vAlign w:val="center"/>
          </w:tcPr>
          <w:p w14:paraId="356BB751" w14:textId="77777777" w:rsidR="00FD59EC" w:rsidRPr="00FD59EC" w:rsidRDefault="00FD59EC" w:rsidP="00FD59EC">
            <w:pPr>
              <w:rPr>
                <w:b/>
                <w:bCs/>
              </w:rPr>
            </w:pPr>
            <w:r w:rsidRPr="00FD59EC">
              <w:rPr>
                <w:b/>
                <w:bCs/>
              </w:rPr>
              <w:t>Scheme payments and premium income</w:t>
            </w:r>
          </w:p>
        </w:tc>
        <w:tc>
          <w:tcPr>
            <w:tcW w:w="1361" w:type="dxa"/>
            <w:shd w:val="clear" w:color="auto" w:fill="CEDFDC" w:themeFill="accent2" w:themeFillTint="33"/>
            <w:vAlign w:val="center"/>
          </w:tcPr>
          <w:p w14:paraId="00645D85" w14:textId="77777777" w:rsidR="00FD59EC" w:rsidRPr="00FD59EC" w:rsidRDefault="00FD59EC" w:rsidP="00FD59EC">
            <w:pPr>
              <w:rPr>
                <w:b/>
                <w:bCs/>
              </w:rPr>
            </w:pPr>
            <w:r w:rsidRPr="00FD59EC">
              <w:rPr>
                <w:b/>
                <w:bCs/>
              </w:rPr>
              <w:t>2010/11</w:t>
            </w:r>
          </w:p>
        </w:tc>
        <w:tc>
          <w:tcPr>
            <w:tcW w:w="1361" w:type="dxa"/>
            <w:shd w:val="clear" w:color="auto" w:fill="CEDFDC" w:themeFill="accent2" w:themeFillTint="33"/>
            <w:vAlign w:val="center"/>
          </w:tcPr>
          <w:p w14:paraId="2564688C" w14:textId="77777777" w:rsidR="00FD59EC" w:rsidRPr="00FD59EC" w:rsidRDefault="00FD59EC" w:rsidP="00FD59EC">
            <w:pPr>
              <w:rPr>
                <w:b/>
                <w:bCs/>
              </w:rPr>
            </w:pPr>
            <w:r w:rsidRPr="00FD59EC">
              <w:rPr>
                <w:b/>
                <w:bCs/>
              </w:rPr>
              <w:t>2011/12</w:t>
            </w:r>
          </w:p>
        </w:tc>
        <w:tc>
          <w:tcPr>
            <w:tcW w:w="1361" w:type="dxa"/>
            <w:shd w:val="clear" w:color="auto" w:fill="CEDFDC" w:themeFill="accent2" w:themeFillTint="33"/>
            <w:vAlign w:val="center"/>
          </w:tcPr>
          <w:p w14:paraId="180B834D" w14:textId="77777777" w:rsidR="00FD59EC" w:rsidRPr="00FD59EC" w:rsidRDefault="00FD59EC" w:rsidP="00FD59EC">
            <w:pPr>
              <w:rPr>
                <w:b/>
                <w:bCs/>
              </w:rPr>
            </w:pPr>
            <w:r w:rsidRPr="00FD59EC">
              <w:rPr>
                <w:b/>
                <w:bCs/>
              </w:rPr>
              <w:t>2012/13</w:t>
            </w:r>
          </w:p>
        </w:tc>
        <w:tc>
          <w:tcPr>
            <w:tcW w:w="1361" w:type="dxa"/>
            <w:shd w:val="clear" w:color="auto" w:fill="CEDFDC" w:themeFill="accent2" w:themeFillTint="33"/>
            <w:vAlign w:val="center"/>
          </w:tcPr>
          <w:p w14:paraId="0CB8EAEE" w14:textId="77777777" w:rsidR="00FD59EC" w:rsidRPr="00FD59EC" w:rsidRDefault="00FD59EC" w:rsidP="00FD59EC">
            <w:pPr>
              <w:rPr>
                <w:b/>
                <w:bCs/>
              </w:rPr>
            </w:pPr>
            <w:r w:rsidRPr="00FD59EC">
              <w:rPr>
                <w:b/>
                <w:bCs/>
              </w:rPr>
              <w:t>2013/14</w:t>
            </w:r>
          </w:p>
        </w:tc>
        <w:tc>
          <w:tcPr>
            <w:tcW w:w="1219" w:type="dxa"/>
            <w:shd w:val="clear" w:color="auto" w:fill="CEDFDC" w:themeFill="accent2" w:themeFillTint="33"/>
            <w:vAlign w:val="center"/>
          </w:tcPr>
          <w:p w14:paraId="2D196AA7" w14:textId="77777777" w:rsidR="00FD59EC" w:rsidRPr="00FD59EC" w:rsidRDefault="00FD59EC" w:rsidP="00FD59EC">
            <w:pPr>
              <w:rPr>
                <w:b/>
                <w:bCs/>
              </w:rPr>
            </w:pPr>
            <w:r w:rsidRPr="00FD59EC">
              <w:rPr>
                <w:b/>
                <w:bCs/>
              </w:rPr>
              <w:t>2014/15</w:t>
            </w:r>
          </w:p>
        </w:tc>
      </w:tr>
      <w:tr w:rsidR="00FD59EC" w:rsidRPr="00FD59EC" w14:paraId="3A46F774" w14:textId="77777777" w:rsidTr="00C345F4">
        <w:tc>
          <w:tcPr>
            <w:tcW w:w="3289" w:type="dxa"/>
            <w:shd w:val="clear" w:color="auto" w:fill="FFFFFF" w:themeFill="background1"/>
          </w:tcPr>
          <w:p w14:paraId="57FA36AD" w14:textId="77777777" w:rsidR="00FD59EC" w:rsidRPr="00FD59EC" w:rsidRDefault="00FD59EC" w:rsidP="00FD59EC">
            <w:r w:rsidRPr="00FD59EC">
              <w:t>Total workers’ compensation premiums (premium payers only)</w:t>
            </w:r>
          </w:p>
        </w:tc>
        <w:tc>
          <w:tcPr>
            <w:tcW w:w="1361" w:type="dxa"/>
            <w:shd w:val="clear" w:color="auto" w:fill="FFFFFF" w:themeFill="background1"/>
            <w:vAlign w:val="center"/>
          </w:tcPr>
          <w:p w14:paraId="35106849" w14:textId="77777777" w:rsidR="00FD59EC" w:rsidRPr="00FD59EC" w:rsidRDefault="00FD59EC" w:rsidP="00FD59EC">
            <w:r w:rsidRPr="00FD59EC">
              <w:t>$851.3 million</w:t>
            </w:r>
          </w:p>
        </w:tc>
        <w:tc>
          <w:tcPr>
            <w:tcW w:w="1361" w:type="dxa"/>
            <w:shd w:val="clear" w:color="auto" w:fill="FFFFFF" w:themeFill="background1"/>
            <w:vAlign w:val="center"/>
          </w:tcPr>
          <w:p w14:paraId="517D7F67" w14:textId="77777777" w:rsidR="00FD59EC" w:rsidRPr="00FD59EC" w:rsidRDefault="00FD59EC" w:rsidP="00FD59EC">
            <w:r w:rsidRPr="00FD59EC">
              <w:t>$972.8 million</w:t>
            </w:r>
          </w:p>
        </w:tc>
        <w:tc>
          <w:tcPr>
            <w:tcW w:w="1361" w:type="dxa"/>
            <w:shd w:val="clear" w:color="auto" w:fill="FFFFFF" w:themeFill="background1"/>
            <w:vAlign w:val="center"/>
          </w:tcPr>
          <w:p w14:paraId="568D65D0" w14:textId="77777777" w:rsidR="00FD59EC" w:rsidRPr="00FD59EC" w:rsidRDefault="00FD59EC" w:rsidP="00FD59EC">
            <w:r w:rsidRPr="00FD59EC">
              <w:t>$1,231.8 million</w:t>
            </w:r>
          </w:p>
        </w:tc>
        <w:tc>
          <w:tcPr>
            <w:tcW w:w="1361" w:type="dxa"/>
            <w:shd w:val="clear" w:color="auto" w:fill="FFFFFF" w:themeFill="background1"/>
            <w:vAlign w:val="center"/>
          </w:tcPr>
          <w:p w14:paraId="0987BCC6" w14:textId="77777777" w:rsidR="00FD59EC" w:rsidRPr="00FD59EC" w:rsidRDefault="00FD59EC" w:rsidP="00FD59EC">
            <w:r w:rsidRPr="00FD59EC">
              <w:t>$1,250.7 million</w:t>
            </w:r>
          </w:p>
        </w:tc>
        <w:tc>
          <w:tcPr>
            <w:tcW w:w="1219" w:type="dxa"/>
            <w:shd w:val="clear" w:color="auto" w:fill="FFFFFF" w:themeFill="background1"/>
            <w:vAlign w:val="center"/>
          </w:tcPr>
          <w:p w14:paraId="3761B419" w14:textId="77777777" w:rsidR="00FD59EC" w:rsidRPr="00FD59EC" w:rsidRDefault="00FD59EC" w:rsidP="00FD59EC">
            <w:r w:rsidRPr="00FD59EC">
              <w:t>$1,169.3 million</w:t>
            </w:r>
          </w:p>
        </w:tc>
      </w:tr>
      <w:tr w:rsidR="00FD59EC" w:rsidRPr="00FD59EC" w14:paraId="64577160" w14:textId="77777777" w:rsidTr="00C345F4">
        <w:tc>
          <w:tcPr>
            <w:tcW w:w="3289" w:type="dxa"/>
            <w:tcBorders>
              <w:bottom w:val="single" w:sz="4" w:space="0" w:color="BAD0CD" w:themeColor="accent5" w:themeShade="E6"/>
            </w:tcBorders>
            <w:shd w:val="clear" w:color="auto" w:fill="FFFFFF" w:themeFill="background1"/>
          </w:tcPr>
          <w:p w14:paraId="4F8FE4D9" w14:textId="77777777" w:rsidR="00FD59EC" w:rsidRPr="00FD59EC" w:rsidRDefault="00FD59EC" w:rsidP="00FD59EC">
            <w:r w:rsidRPr="00FD59EC">
              <w:t>Total workers’ compensation payments (premium payers and self-insurers)</w:t>
            </w:r>
          </w:p>
        </w:tc>
        <w:tc>
          <w:tcPr>
            <w:tcW w:w="1361" w:type="dxa"/>
            <w:tcBorders>
              <w:bottom w:val="single" w:sz="4" w:space="0" w:color="BAD0CD" w:themeColor="accent5" w:themeShade="E6"/>
            </w:tcBorders>
            <w:shd w:val="clear" w:color="auto" w:fill="FFFFFF" w:themeFill="background1"/>
            <w:vAlign w:val="center"/>
          </w:tcPr>
          <w:p w14:paraId="5E4B2C27" w14:textId="77777777" w:rsidR="00FD59EC" w:rsidRPr="00FD59EC" w:rsidRDefault="00FD59EC" w:rsidP="00FD59EC">
            <w:r w:rsidRPr="00FD59EC">
              <w:t>$665.8 million</w:t>
            </w:r>
          </w:p>
        </w:tc>
        <w:tc>
          <w:tcPr>
            <w:tcW w:w="1361" w:type="dxa"/>
            <w:tcBorders>
              <w:bottom w:val="single" w:sz="4" w:space="0" w:color="BAD0CD" w:themeColor="accent5" w:themeShade="E6"/>
            </w:tcBorders>
            <w:shd w:val="clear" w:color="auto" w:fill="FFFFFF" w:themeFill="background1"/>
            <w:vAlign w:val="center"/>
          </w:tcPr>
          <w:p w14:paraId="04E9AD69" w14:textId="77777777" w:rsidR="00FD59EC" w:rsidRPr="00FD59EC" w:rsidRDefault="00FD59EC" w:rsidP="00FD59EC">
            <w:r w:rsidRPr="00FD59EC">
              <w:t>$738.7 million</w:t>
            </w:r>
          </w:p>
        </w:tc>
        <w:tc>
          <w:tcPr>
            <w:tcW w:w="1361" w:type="dxa"/>
            <w:tcBorders>
              <w:bottom w:val="single" w:sz="4" w:space="0" w:color="BAD0CD" w:themeColor="accent5" w:themeShade="E6"/>
            </w:tcBorders>
            <w:shd w:val="clear" w:color="auto" w:fill="FFFFFF" w:themeFill="background1"/>
            <w:vAlign w:val="center"/>
          </w:tcPr>
          <w:p w14:paraId="13AE5570" w14:textId="77777777" w:rsidR="00FD59EC" w:rsidRPr="00FD59EC" w:rsidRDefault="00FD59EC" w:rsidP="00FD59EC">
            <w:r w:rsidRPr="00FD59EC">
              <w:t>$810.7 million</w:t>
            </w:r>
          </w:p>
        </w:tc>
        <w:tc>
          <w:tcPr>
            <w:tcW w:w="1361" w:type="dxa"/>
            <w:tcBorders>
              <w:bottom w:val="single" w:sz="4" w:space="0" w:color="BAD0CD" w:themeColor="accent5" w:themeShade="E6"/>
            </w:tcBorders>
            <w:shd w:val="clear" w:color="auto" w:fill="FFFFFF" w:themeFill="background1"/>
            <w:vAlign w:val="center"/>
          </w:tcPr>
          <w:p w14:paraId="22105752" w14:textId="77777777" w:rsidR="00FD59EC" w:rsidRPr="00FD59EC" w:rsidRDefault="00FD59EC" w:rsidP="00FD59EC">
            <w:r w:rsidRPr="00FD59EC">
              <w:t>$913.3 million</w:t>
            </w:r>
          </w:p>
        </w:tc>
        <w:tc>
          <w:tcPr>
            <w:tcW w:w="1219" w:type="dxa"/>
            <w:tcBorders>
              <w:bottom w:val="single" w:sz="4" w:space="0" w:color="BAD0CD" w:themeColor="accent5" w:themeShade="E6"/>
            </w:tcBorders>
            <w:shd w:val="clear" w:color="auto" w:fill="FFFFFF" w:themeFill="background1"/>
            <w:vAlign w:val="center"/>
          </w:tcPr>
          <w:p w14:paraId="67F2B004" w14:textId="77777777" w:rsidR="00FD59EC" w:rsidRPr="00FD59EC" w:rsidRDefault="00FD59EC" w:rsidP="00FD59EC">
            <w:r w:rsidRPr="00FD59EC">
              <w:t>$956.7 million</w:t>
            </w:r>
          </w:p>
        </w:tc>
      </w:tr>
    </w:tbl>
    <w:p w14:paraId="09A56D9C" w14:textId="4B591CCF" w:rsidR="00FD59EC" w:rsidRPr="00FD59EC" w:rsidRDefault="00FD59EC" w:rsidP="00FD59EC">
      <w:pPr>
        <w:rPr>
          <w:rFonts w:cs="Arial"/>
        </w:rPr>
      </w:pPr>
    </w:p>
    <w:p w14:paraId="2A6AA535" w14:textId="34B3153B" w:rsidR="00FD59EC" w:rsidRPr="00FD59EC" w:rsidRDefault="00BA4EDE" w:rsidP="00FD59EC">
      <w:pPr>
        <w:keepLines w:val="0"/>
        <w:spacing w:after="0" w:line="240" w:lineRule="auto"/>
        <w:rPr>
          <w:rFonts w:eastAsiaTheme="majorEastAsia" w:cs="Arial"/>
          <w:b/>
          <w:bCs/>
          <w:iCs/>
          <w:color w:val="205352"/>
          <w:sz w:val="30"/>
          <w:szCs w:val="30"/>
          <w:lang w:val="en-US"/>
        </w:rPr>
      </w:pPr>
      <w:r>
        <w:rPr>
          <w:noProof/>
          <w:lang w:eastAsia="en-AU"/>
        </w:rPr>
        <w:drawing>
          <wp:anchor distT="0" distB="0" distL="114300" distR="114300" simplePos="0" relativeHeight="251723776" behindDoc="0" locked="0" layoutInCell="1" allowOverlap="1" wp14:anchorId="3B660FF3" wp14:editId="41870DD1">
            <wp:simplePos x="0" y="0"/>
            <wp:positionH relativeFrom="column">
              <wp:posOffset>3464397</wp:posOffset>
            </wp:positionH>
            <wp:positionV relativeFrom="page">
              <wp:posOffset>7481281</wp:posOffset>
            </wp:positionV>
            <wp:extent cx="4191128" cy="1856188"/>
            <wp:effectExtent l="0" t="0" r="0" b="0"/>
            <wp:wrapSquare wrapText="bothSides"/>
            <wp:docPr id="16" name="Picture 16"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23" cstate="print">
                      <a:extLst>
                        <a:ext uri="{28A0092B-C50C-407E-A947-70E740481C1C}">
                          <a14:useLocalDpi xmlns:a14="http://schemas.microsoft.com/office/drawing/2010/main" val="0"/>
                        </a:ext>
                      </a:extLst>
                    </a:blip>
                    <a:srcRect t="39269" b="29401"/>
                    <a:stretch/>
                  </pic:blipFill>
                  <pic:spPr bwMode="auto">
                    <a:xfrm>
                      <a:off x="0" y="0"/>
                      <a:ext cx="4191128" cy="1856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9EC" w:rsidRPr="00FD59EC">
        <w:rPr>
          <w:lang w:val="en-US"/>
        </w:rPr>
        <w:br w:type="page"/>
      </w:r>
    </w:p>
    <w:p w14:paraId="5850AA2F" w14:textId="77777777" w:rsidR="00FD59EC" w:rsidRPr="00FD59EC" w:rsidRDefault="00FD59EC" w:rsidP="00245969">
      <w:pPr>
        <w:pStyle w:val="Heading2nonumber"/>
        <w:rPr>
          <w:lang w:val="en-US"/>
        </w:rPr>
      </w:pPr>
      <w:bookmarkStart w:id="201" w:name="_Toc399316945"/>
      <w:bookmarkStart w:id="202" w:name="_Toc430091190"/>
      <w:r w:rsidRPr="00FD59EC">
        <w:rPr>
          <w:lang w:val="en-US"/>
        </w:rPr>
        <w:lastRenderedPageBreak/>
        <w:t>Settlements</w:t>
      </w:r>
      <w:bookmarkEnd w:id="201"/>
      <w:bookmarkEnd w:id="202"/>
      <w:r w:rsidRPr="00FD59EC">
        <w:rPr>
          <w:lang w:val="en-US"/>
        </w:rPr>
        <w:t xml:space="preserve"> </w:t>
      </w:r>
    </w:p>
    <w:p w14:paraId="299DB54D" w14:textId="77777777" w:rsidR="00FD59EC" w:rsidRPr="00FD59EC" w:rsidRDefault="00FD59EC" w:rsidP="00FD59EC">
      <w:r w:rsidRPr="00FD59EC">
        <w:t>Settlement of workers’ compensation claims occurs in a number of ways in the Western Australian scheme. A Memorandum of Agreement (MoA) encompasses redemption of future weekly payments and lump sum payments for specific injuries or impairments. Section 92(f) deeds arise from the settlement of actions for common law damages that do not proceed to judgement in a court. Settlements also occur by way of consent judgements in the District Court of Western Australia.</w:t>
      </w:r>
    </w:p>
    <w:p w14:paraId="224117DA" w14:textId="77777777" w:rsidR="00FD59EC" w:rsidRPr="00FD59EC" w:rsidRDefault="00FD59EC" w:rsidP="00FD59EC">
      <w:r w:rsidRPr="00FD59EC">
        <w:t>The number of 92(f) deed settlements and MoAs increased between 2010/11 and 2014/15. The figure below shows settlement trends for matters within the jurisdiction of the Conciliation and Arbitration Services (CAS) and the former Dispute Resolution Directorate (DRD).</w:t>
      </w:r>
    </w:p>
    <w:tbl>
      <w:tblPr>
        <w:tblStyle w:val="TableGrid"/>
        <w:tblW w:w="0" w:type="auto"/>
        <w:tblInd w:w="-3"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20 Number of settlements"/>
        <w:tblDescription w:val="Table 20 details the number of settlements over the past five years"/>
      </w:tblPr>
      <w:tblGrid>
        <w:gridCol w:w="1977"/>
        <w:gridCol w:w="1406"/>
        <w:gridCol w:w="1406"/>
        <w:gridCol w:w="1406"/>
        <w:gridCol w:w="1405"/>
        <w:gridCol w:w="1405"/>
      </w:tblGrid>
      <w:tr w:rsidR="00FD59EC" w:rsidRPr="00FD59EC" w14:paraId="54C2751A" w14:textId="77777777" w:rsidTr="00667578">
        <w:trPr>
          <w:tblHeader/>
        </w:trPr>
        <w:tc>
          <w:tcPr>
            <w:tcW w:w="9005" w:type="dxa"/>
            <w:gridSpan w:val="6"/>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Pr>
          <w:p w14:paraId="363CC79C" w14:textId="77777777" w:rsidR="00FD59EC" w:rsidRPr="00FD59EC" w:rsidRDefault="00FD59EC" w:rsidP="00FD59EC">
            <w:pPr>
              <w:jc w:val="both"/>
              <w:rPr>
                <w:b/>
                <w:bCs/>
                <w:color w:val="FFFFFF" w:themeColor="background1"/>
              </w:rPr>
            </w:pPr>
            <w:r w:rsidRPr="00FD59EC">
              <w:rPr>
                <w:b/>
                <w:bCs/>
                <w:color w:val="FFFFFF" w:themeColor="background1"/>
              </w:rPr>
              <w:t xml:space="preserve">Table 20: Number of settlements </w:t>
            </w:r>
          </w:p>
        </w:tc>
      </w:tr>
      <w:tr w:rsidR="00FD59EC" w:rsidRPr="00FD59EC" w14:paraId="5B2F9FFE" w14:textId="77777777" w:rsidTr="00667578">
        <w:tc>
          <w:tcPr>
            <w:tcW w:w="1977" w:type="dxa"/>
            <w:tcBorders>
              <w:bottom w:val="single" w:sz="4" w:space="0" w:color="BAD0CD" w:themeColor="accent5" w:themeShade="E6"/>
            </w:tcBorders>
            <w:shd w:val="clear" w:color="auto" w:fill="CEDFDC" w:themeFill="accent2" w:themeFillTint="33"/>
          </w:tcPr>
          <w:p w14:paraId="43134096" w14:textId="77777777" w:rsidR="00FD59EC" w:rsidRPr="00FD59EC" w:rsidRDefault="00FD59EC" w:rsidP="00FD59EC">
            <w:pPr>
              <w:rPr>
                <w:b/>
                <w:bCs/>
              </w:rPr>
            </w:pPr>
            <w:r w:rsidRPr="00FD59EC">
              <w:rPr>
                <w:b/>
                <w:bCs/>
              </w:rPr>
              <w:t>Settlements</w:t>
            </w:r>
          </w:p>
        </w:tc>
        <w:tc>
          <w:tcPr>
            <w:tcW w:w="1406" w:type="dxa"/>
            <w:tcBorders>
              <w:bottom w:val="single" w:sz="4" w:space="0" w:color="BAD0CD" w:themeColor="accent5" w:themeShade="E6"/>
            </w:tcBorders>
            <w:shd w:val="clear" w:color="auto" w:fill="CEDFDC" w:themeFill="accent2" w:themeFillTint="33"/>
          </w:tcPr>
          <w:p w14:paraId="54A181AC" w14:textId="77777777" w:rsidR="00FD59EC" w:rsidRPr="00FD59EC" w:rsidRDefault="00FD59EC" w:rsidP="00FD59EC">
            <w:pPr>
              <w:rPr>
                <w:b/>
                <w:bCs/>
              </w:rPr>
            </w:pPr>
            <w:r w:rsidRPr="00FD59EC">
              <w:rPr>
                <w:b/>
                <w:bCs/>
              </w:rPr>
              <w:t>2010/11</w:t>
            </w:r>
          </w:p>
        </w:tc>
        <w:tc>
          <w:tcPr>
            <w:tcW w:w="1406" w:type="dxa"/>
            <w:tcBorders>
              <w:bottom w:val="single" w:sz="4" w:space="0" w:color="BAD0CD" w:themeColor="accent5" w:themeShade="E6"/>
            </w:tcBorders>
            <w:shd w:val="clear" w:color="auto" w:fill="CEDFDC" w:themeFill="accent2" w:themeFillTint="33"/>
            <w:vAlign w:val="center"/>
          </w:tcPr>
          <w:p w14:paraId="52F892C1" w14:textId="77777777" w:rsidR="00FD59EC" w:rsidRPr="00FD59EC" w:rsidRDefault="00FD59EC" w:rsidP="00FD59EC">
            <w:pPr>
              <w:rPr>
                <w:b/>
                <w:bCs/>
              </w:rPr>
            </w:pPr>
            <w:r w:rsidRPr="00FD59EC">
              <w:rPr>
                <w:b/>
                <w:bCs/>
              </w:rPr>
              <w:t>2011/12</w:t>
            </w:r>
          </w:p>
        </w:tc>
        <w:tc>
          <w:tcPr>
            <w:tcW w:w="1406" w:type="dxa"/>
            <w:tcBorders>
              <w:bottom w:val="single" w:sz="4" w:space="0" w:color="BAD0CD" w:themeColor="accent5" w:themeShade="E6"/>
            </w:tcBorders>
            <w:shd w:val="clear" w:color="auto" w:fill="CEDFDC" w:themeFill="accent2" w:themeFillTint="33"/>
            <w:vAlign w:val="center"/>
          </w:tcPr>
          <w:p w14:paraId="2522C5D7" w14:textId="77777777" w:rsidR="00FD59EC" w:rsidRPr="00FD59EC" w:rsidRDefault="00FD59EC" w:rsidP="00FD59EC">
            <w:pPr>
              <w:rPr>
                <w:b/>
                <w:bCs/>
              </w:rPr>
            </w:pPr>
            <w:r w:rsidRPr="00FD59EC">
              <w:rPr>
                <w:b/>
                <w:bCs/>
              </w:rPr>
              <w:t>2012/13</w:t>
            </w:r>
          </w:p>
        </w:tc>
        <w:tc>
          <w:tcPr>
            <w:tcW w:w="1405" w:type="dxa"/>
            <w:tcBorders>
              <w:bottom w:val="single" w:sz="4" w:space="0" w:color="BAD0CD" w:themeColor="accent5" w:themeShade="E6"/>
            </w:tcBorders>
            <w:shd w:val="clear" w:color="auto" w:fill="CEDFDC" w:themeFill="accent2" w:themeFillTint="33"/>
            <w:vAlign w:val="center"/>
          </w:tcPr>
          <w:p w14:paraId="420C86C6" w14:textId="77777777" w:rsidR="00FD59EC" w:rsidRPr="00FD59EC" w:rsidRDefault="00FD59EC" w:rsidP="00FD59EC">
            <w:pPr>
              <w:rPr>
                <w:b/>
                <w:bCs/>
              </w:rPr>
            </w:pPr>
            <w:r w:rsidRPr="00FD59EC">
              <w:rPr>
                <w:b/>
                <w:bCs/>
              </w:rPr>
              <w:t>2013/14</w:t>
            </w:r>
          </w:p>
        </w:tc>
        <w:tc>
          <w:tcPr>
            <w:tcW w:w="1405" w:type="dxa"/>
            <w:tcBorders>
              <w:bottom w:val="single" w:sz="4" w:space="0" w:color="BAD0CD" w:themeColor="accent5" w:themeShade="E6"/>
            </w:tcBorders>
            <w:shd w:val="clear" w:color="auto" w:fill="CEDFDC" w:themeFill="accent2" w:themeFillTint="33"/>
          </w:tcPr>
          <w:p w14:paraId="759B2036" w14:textId="77777777" w:rsidR="00FD59EC" w:rsidRPr="00FD59EC" w:rsidRDefault="00FD59EC" w:rsidP="00FD59EC">
            <w:pPr>
              <w:rPr>
                <w:b/>
                <w:bCs/>
              </w:rPr>
            </w:pPr>
            <w:r w:rsidRPr="00FD59EC">
              <w:rPr>
                <w:b/>
                <w:bCs/>
              </w:rPr>
              <w:t>2014/15</w:t>
            </w:r>
          </w:p>
        </w:tc>
      </w:tr>
      <w:tr w:rsidR="00FD59EC" w:rsidRPr="00FD59EC" w14:paraId="5A7C5271" w14:textId="77777777" w:rsidTr="00667578">
        <w:tc>
          <w:tcPr>
            <w:tcW w:w="1977" w:type="dxa"/>
            <w:tcBorders>
              <w:top w:val="single" w:sz="8" w:space="0" w:color="BAD0CD" w:themeColor="accent5" w:themeShade="E6"/>
              <w:bottom w:val="single" w:sz="8" w:space="0" w:color="BAD0CD" w:themeColor="accent5" w:themeShade="E6"/>
            </w:tcBorders>
            <w:shd w:val="clear" w:color="auto" w:fill="D4E2E0" w:themeFill="accent5"/>
          </w:tcPr>
          <w:p w14:paraId="4D19AE29" w14:textId="77777777" w:rsidR="00FD59EC" w:rsidRPr="00FD59EC" w:rsidRDefault="00FD59EC" w:rsidP="00FD59EC">
            <w:r w:rsidRPr="00FD59EC">
              <w:br/>
              <w:t xml:space="preserve">Section 92(f) deeds </w:t>
            </w:r>
          </w:p>
        </w:tc>
        <w:tc>
          <w:tcPr>
            <w:tcW w:w="1406" w:type="dxa"/>
            <w:tcBorders>
              <w:top w:val="single" w:sz="8" w:space="0" w:color="BAD0CD" w:themeColor="accent5" w:themeShade="E6"/>
              <w:bottom w:val="single" w:sz="8" w:space="0" w:color="BAD0CD" w:themeColor="accent5" w:themeShade="E6"/>
            </w:tcBorders>
            <w:vAlign w:val="center"/>
          </w:tcPr>
          <w:p w14:paraId="6D3B4165" w14:textId="77777777" w:rsidR="00FD59EC" w:rsidRPr="00FD59EC" w:rsidRDefault="00FD59EC" w:rsidP="00FD59EC">
            <w:r w:rsidRPr="00FD59EC">
              <w:t>1,166</w:t>
            </w:r>
          </w:p>
        </w:tc>
        <w:tc>
          <w:tcPr>
            <w:tcW w:w="1406" w:type="dxa"/>
            <w:tcBorders>
              <w:top w:val="single" w:sz="8" w:space="0" w:color="BAD0CD" w:themeColor="accent5" w:themeShade="E6"/>
              <w:bottom w:val="single" w:sz="8" w:space="0" w:color="BAD0CD" w:themeColor="accent5" w:themeShade="E6"/>
            </w:tcBorders>
            <w:shd w:val="clear" w:color="auto" w:fill="auto"/>
            <w:vAlign w:val="center"/>
          </w:tcPr>
          <w:p w14:paraId="1548AC1E" w14:textId="77777777" w:rsidR="00FD59EC" w:rsidRPr="00FD59EC" w:rsidRDefault="00FD59EC" w:rsidP="00FD59EC">
            <w:r w:rsidRPr="00FD59EC">
              <w:t>1,407</w:t>
            </w:r>
          </w:p>
        </w:tc>
        <w:tc>
          <w:tcPr>
            <w:tcW w:w="1406" w:type="dxa"/>
            <w:tcBorders>
              <w:top w:val="single" w:sz="8" w:space="0" w:color="BAD0CD" w:themeColor="accent5" w:themeShade="E6"/>
              <w:bottom w:val="single" w:sz="8" w:space="0" w:color="BAD0CD" w:themeColor="accent5" w:themeShade="E6"/>
            </w:tcBorders>
            <w:shd w:val="clear" w:color="auto" w:fill="auto"/>
            <w:vAlign w:val="center"/>
          </w:tcPr>
          <w:p w14:paraId="1FFFA815" w14:textId="77777777" w:rsidR="00FD59EC" w:rsidRPr="00FD59EC" w:rsidRDefault="00FD59EC" w:rsidP="00FD59EC">
            <w:r w:rsidRPr="00FD59EC">
              <w:t>1,670</w:t>
            </w:r>
          </w:p>
        </w:tc>
        <w:tc>
          <w:tcPr>
            <w:tcW w:w="1405" w:type="dxa"/>
            <w:tcBorders>
              <w:top w:val="single" w:sz="8" w:space="0" w:color="BAD0CD" w:themeColor="accent5" w:themeShade="E6"/>
              <w:bottom w:val="single" w:sz="8" w:space="0" w:color="BAD0CD" w:themeColor="accent5" w:themeShade="E6"/>
            </w:tcBorders>
            <w:shd w:val="clear" w:color="auto" w:fill="auto"/>
            <w:vAlign w:val="center"/>
          </w:tcPr>
          <w:p w14:paraId="2DDFF569" w14:textId="77777777" w:rsidR="00FD59EC" w:rsidRPr="00FD59EC" w:rsidRDefault="00FD59EC" w:rsidP="00FD59EC">
            <w:r w:rsidRPr="00FD59EC">
              <w:t>1,916</w:t>
            </w:r>
          </w:p>
        </w:tc>
        <w:tc>
          <w:tcPr>
            <w:tcW w:w="1405" w:type="dxa"/>
            <w:tcBorders>
              <w:top w:val="single" w:sz="8" w:space="0" w:color="BAD0CD" w:themeColor="accent5" w:themeShade="E6"/>
              <w:bottom w:val="single" w:sz="8" w:space="0" w:color="BAD0CD" w:themeColor="accent5" w:themeShade="E6"/>
            </w:tcBorders>
            <w:vAlign w:val="center"/>
          </w:tcPr>
          <w:p w14:paraId="03D69770" w14:textId="77777777" w:rsidR="00FD59EC" w:rsidRPr="00FD59EC" w:rsidRDefault="00FD59EC" w:rsidP="00FD59EC">
            <w:r w:rsidRPr="00FD59EC">
              <w:t>2,085</w:t>
            </w:r>
          </w:p>
        </w:tc>
      </w:tr>
      <w:tr w:rsidR="00FD59EC" w:rsidRPr="00FD59EC" w14:paraId="086F6A70" w14:textId="77777777" w:rsidTr="00667578">
        <w:tc>
          <w:tcPr>
            <w:tcW w:w="1977" w:type="dxa"/>
            <w:tcBorders>
              <w:top w:val="single" w:sz="8" w:space="0" w:color="BAD0CD" w:themeColor="accent5" w:themeShade="E6"/>
            </w:tcBorders>
            <w:shd w:val="clear" w:color="auto" w:fill="D4E2E0" w:themeFill="accent5"/>
          </w:tcPr>
          <w:p w14:paraId="6E73A013" w14:textId="77777777" w:rsidR="00FD59EC" w:rsidRPr="00FD59EC" w:rsidRDefault="00FD59EC" w:rsidP="00FD59EC">
            <w:r w:rsidRPr="00FD59EC">
              <w:t>Memorandum of Agreement</w:t>
            </w:r>
          </w:p>
        </w:tc>
        <w:tc>
          <w:tcPr>
            <w:tcW w:w="1406" w:type="dxa"/>
            <w:tcBorders>
              <w:top w:val="single" w:sz="8" w:space="0" w:color="BAD0CD" w:themeColor="accent5" w:themeShade="E6"/>
            </w:tcBorders>
            <w:vAlign w:val="center"/>
          </w:tcPr>
          <w:p w14:paraId="64D0EFBD" w14:textId="77777777" w:rsidR="00FD59EC" w:rsidRPr="00FD59EC" w:rsidRDefault="00FD59EC" w:rsidP="00FD59EC">
            <w:r w:rsidRPr="00FD59EC">
              <w:t>3,521</w:t>
            </w:r>
          </w:p>
        </w:tc>
        <w:tc>
          <w:tcPr>
            <w:tcW w:w="1406" w:type="dxa"/>
            <w:tcBorders>
              <w:top w:val="single" w:sz="8" w:space="0" w:color="BAD0CD" w:themeColor="accent5" w:themeShade="E6"/>
            </w:tcBorders>
            <w:shd w:val="clear" w:color="auto" w:fill="auto"/>
            <w:vAlign w:val="center"/>
          </w:tcPr>
          <w:p w14:paraId="3E8A02CC" w14:textId="77777777" w:rsidR="00FD59EC" w:rsidRPr="00FD59EC" w:rsidRDefault="00FD59EC" w:rsidP="00FD59EC">
            <w:r w:rsidRPr="00FD59EC">
              <w:t>3,756</w:t>
            </w:r>
          </w:p>
        </w:tc>
        <w:tc>
          <w:tcPr>
            <w:tcW w:w="1406" w:type="dxa"/>
            <w:tcBorders>
              <w:top w:val="single" w:sz="8" w:space="0" w:color="BAD0CD" w:themeColor="accent5" w:themeShade="E6"/>
            </w:tcBorders>
            <w:shd w:val="clear" w:color="auto" w:fill="auto"/>
            <w:vAlign w:val="center"/>
          </w:tcPr>
          <w:p w14:paraId="4F9A1D7B" w14:textId="77777777" w:rsidR="00FD59EC" w:rsidRPr="00FD59EC" w:rsidRDefault="00FD59EC" w:rsidP="00FD59EC">
            <w:r w:rsidRPr="00FD59EC">
              <w:t>3,868</w:t>
            </w:r>
          </w:p>
        </w:tc>
        <w:tc>
          <w:tcPr>
            <w:tcW w:w="1405" w:type="dxa"/>
            <w:tcBorders>
              <w:top w:val="single" w:sz="8" w:space="0" w:color="BAD0CD" w:themeColor="accent5" w:themeShade="E6"/>
            </w:tcBorders>
            <w:shd w:val="clear" w:color="auto" w:fill="auto"/>
            <w:vAlign w:val="center"/>
          </w:tcPr>
          <w:p w14:paraId="6669DB90" w14:textId="77777777" w:rsidR="00FD59EC" w:rsidRPr="00FD59EC" w:rsidRDefault="00FD59EC" w:rsidP="00FD59EC">
            <w:r w:rsidRPr="00FD59EC">
              <w:t>3,996</w:t>
            </w:r>
          </w:p>
        </w:tc>
        <w:tc>
          <w:tcPr>
            <w:tcW w:w="1405" w:type="dxa"/>
            <w:tcBorders>
              <w:top w:val="single" w:sz="8" w:space="0" w:color="BAD0CD" w:themeColor="accent5" w:themeShade="E6"/>
            </w:tcBorders>
            <w:vAlign w:val="center"/>
          </w:tcPr>
          <w:p w14:paraId="06190207" w14:textId="77777777" w:rsidR="00FD59EC" w:rsidRPr="00FD59EC" w:rsidRDefault="00FD59EC" w:rsidP="00FD59EC">
            <w:r w:rsidRPr="00FD59EC">
              <w:t>4,113</w:t>
            </w:r>
          </w:p>
        </w:tc>
      </w:tr>
    </w:tbl>
    <w:p w14:paraId="189C5E8E" w14:textId="77777777" w:rsidR="009455AE" w:rsidRPr="009455AE" w:rsidRDefault="009455AE" w:rsidP="009455AE"/>
    <w:p w14:paraId="7C0C4FE3" w14:textId="31D19BFC" w:rsidR="00774708" w:rsidRDefault="00347B0B">
      <w:pPr>
        <w:keepLines w:val="0"/>
        <w:spacing w:after="0" w:line="240" w:lineRule="auto"/>
        <w:sectPr w:rsidR="00774708" w:rsidSect="00FE39B5">
          <w:headerReference w:type="default" r:id="rId24"/>
          <w:pgSz w:w="11906" w:h="16838" w:code="9"/>
          <w:pgMar w:top="1701" w:right="1440" w:bottom="1440" w:left="1440" w:header="624" w:footer="0" w:gutter="0"/>
          <w:cols w:space="708"/>
          <w:docGrid w:linePitch="360"/>
        </w:sectPr>
      </w:pPr>
      <w:r>
        <w:rPr>
          <w:noProof/>
          <w:lang w:eastAsia="en-AU"/>
        </w:rPr>
        <w:drawing>
          <wp:anchor distT="0" distB="0" distL="114300" distR="114300" simplePos="0" relativeHeight="251721728" behindDoc="0" locked="0" layoutInCell="1" allowOverlap="1" wp14:anchorId="624246CE" wp14:editId="1EFA1C2E">
            <wp:simplePos x="0" y="0"/>
            <wp:positionH relativeFrom="column">
              <wp:posOffset>503906</wp:posOffset>
            </wp:positionH>
            <wp:positionV relativeFrom="page">
              <wp:posOffset>6762443</wp:posOffset>
            </wp:positionV>
            <wp:extent cx="5029200" cy="2227580"/>
            <wp:effectExtent l="0" t="0" r="0" b="1270"/>
            <wp:wrapSquare wrapText="bothSides"/>
            <wp:docPr id="27" name="Picture 27"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25" cstate="print">
                      <a:extLst>
                        <a:ext uri="{28A0092B-C50C-407E-A947-70E740481C1C}">
                          <a14:useLocalDpi xmlns:a14="http://schemas.microsoft.com/office/drawing/2010/main" val="0"/>
                        </a:ext>
                      </a:extLst>
                    </a:blip>
                    <a:srcRect t="39269" b="29401"/>
                    <a:stretch/>
                  </pic:blipFill>
                  <pic:spPr bwMode="auto">
                    <a:xfrm>
                      <a:off x="0" y="0"/>
                      <a:ext cx="5029200" cy="222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179">
        <w:br w:type="page"/>
      </w:r>
    </w:p>
    <w:p w14:paraId="7F61B51E" w14:textId="77777777" w:rsidR="00BC34ED" w:rsidRPr="001C0112" w:rsidRDefault="00BC34ED" w:rsidP="001C0112">
      <w:pPr>
        <w:pStyle w:val="Heading1nonumber"/>
        <w:rPr>
          <w:color w:val="808080" w:themeColor="background1" w:themeShade="80"/>
          <w:sz w:val="40"/>
        </w:rPr>
      </w:pPr>
      <w:bookmarkStart w:id="203" w:name="_Toc399316946"/>
      <w:bookmarkStart w:id="204" w:name="_Toc430091191"/>
      <w:r w:rsidRPr="001C0112">
        <w:rPr>
          <w:color w:val="808080" w:themeColor="background1" w:themeShade="80"/>
          <w:sz w:val="40"/>
        </w:rPr>
        <w:lastRenderedPageBreak/>
        <w:t>Section 3: Report on Operations</w:t>
      </w:r>
      <w:bookmarkEnd w:id="203"/>
      <w:bookmarkEnd w:id="204"/>
    </w:p>
    <w:p w14:paraId="626E3143" w14:textId="77777777" w:rsidR="00BC34ED" w:rsidRPr="00ED246E" w:rsidRDefault="00BC34ED" w:rsidP="00ED246E">
      <w:pPr>
        <w:pStyle w:val="Heading1nonumber"/>
      </w:pPr>
      <w:bookmarkStart w:id="205" w:name="_Toc399316947"/>
      <w:bookmarkStart w:id="206" w:name="_Toc426617467"/>
      <w:bookmarkStart w:id="207" w:name="_Toc430091192"/>
      <w:r w:rsidRPr="00ED246E">
        <w:t>Service 1: Scheme Regulation</w:t>
      </w:r>
      <w:bookmarkEnd w:id="205"/>
      <w:bookmarkEnd w:id="206"/>
      <w:bookmarkEnd w:id="207"/>
      <w:r w:rsidRPr="00ED246E">
        <w:t xml:space="preserve"> </w:t>
      </w:r>
    </w:p>
    <w:p w14:paraId="3864D0CD" w14:textId="77777777" w:rsidR="007149E5" w:rsidRPr="007149E5" w:rsidRDefault="00BC34ED" w:rsidP="007149E5">
      <w:pPr>
        <w:rPr>
          <w:i/>
          <w:iCs/>
        </w:rPr>
      </w:pPr>
      <w:r w:rsidRPr="00D131D5">
        <w:rPr>
          <w:rStyle w:val="Emphasis"/>
        </w:rPr>
        <w:t>Regulation of scheme participants for compliance with legislative requirements</w:t>
      </w:r>
    </w:p>
    <w:p w14:paraId="38BE50E4" w14:textId="431AF198" w:rsidR="0086154B" w:rsidRPr="00ED246E" w:rsidRDefault="0086154B" w:rsidP="00E31AB8">
      <w:pPr>
        <w:pStyle w:val="Heading1nonumber"/>
      </w:pPr>
      <w:bookmarkStart w:id="208" w:name="_Toc426617468"/>
      <w:bookmarkStart w:id="209" w:name="_Toc430091193"/>
      <w:bookmarkStart w:id="210" w:name="_Toc399316948"/>
      <w:r w:rsidRPr="00ED246E">
        <w:t>Regulating employers</w:t>
      </w:r>
      <w:bookmarkEnd w:id="208"/>
      <w:bookmarkEnd w:id="209"/>
    </w:p>
    <w:tbl>
      <w:tblPr>
        <w:tblW w:w="9072" w:type="dxa"/>
        <w:tblInd w:w="80" w:type="dxa"/>
        <w:tblBorders>
          <w:top w:val="single" w:sz="8" w:space="0" w:color="897719" w:themeColor="accent3"/>
          <w:left w:val="single" w:sz="8" w:space="0" w:color="897719" w:themeColor="accent3"/>
          <w:bottom w:val="single" w:sz="8" w:space="0" w:color="897719" w:themeColor="accent3"/>
          <w:right w:val="single" w:sz="8" w:space="0" w:color="897719" w:themeColor="accent3"/>
          <w:insideH w:val="single" w:sz="8" w:space="0" w:color="897719" w:themeColor="accent3"/>
          <w:insideV w:val="single" w:sz="8" w:space="0" w:color="897719" w:themeColor="accent3"/>
        </w:tblBorders>
        <w:tblLayout w:type="fixed"/>
        <w:tblCellMar>
          <w:left w:w="0" w:type="dxa"/>
          <w:right w:w="0" w:type="dxa"/>
        </w:tblCellMar>
        <w:tblLook w:val="0000" w:firstRow="0" w:lastRow="0" w:firstColumn="0" w:lastColumn="0" w:noHBand="0" w:noVBand="0"/>
      </w:tblPr>
      <w:tblGrid>
        <w:gridCol w:w="2462"/>
        <w:gridCol w:w="3402"/>
        <w:gridCol w:w="3208"/>
      </w:tblGrid>
      <w:tr w:rsidR="0086154B" w:rsidRPr="0086154B" w14:paraId="1DC25FA0" w14:textId="77777777" w:rsidTr="00EA2534">
        <w:trPr>
          <w:trHeight w:val="60"/>
        </w:trPr>
        <w:tc>
          <w:tcPr>
            <w:tcW w:w="2462" w:type="dxa"/>
            <w:vMerge w:val="restart"/>
            <w:tcBorders>
              <w:right w:val="single" w:sz="8" w:space="0" w:color="F5EDC1" w:themeColor="accent4"/>
            </w:tcBorders>
            <w:shd w:val="clear" w:color="auto" w:fill="86731E" w:themeFill="text1"/>
            <w:tcMar>
              <w:top w:w="113" w:type="dxa"/>
              <w:left w:w="80" w:type="dxa"/>
              <w:bottom w:w="113" w:type="dxa"/>
              <w:right w:w="80" w:type="dxa"/>
            </w:tcMar>
          </w:tcPr>
          <w:p w14:paraId="783204B4" w14:textId="77777777" w:rsidR="0086154B" w:rsidRPr="0086154B" w:rsidRDefault="0086154B" w:rsidP="0086154B">
            <w:pPr>
              <w:rPr>
                <w:b/>
                <w:bCs/>
              </w:rPr>
            </w:pPr>
            <w:r w:rsidRPr="0086154B">
              <w:rPr>
                <w:b/>
                <w:bCs/>
              </w:rPr>
              <w:t>This scheme service contributes to, and is aligned with:</w:t>
            </w:r>
          </w:p>
        </w:tc>
        <w:tc>
          <w:tcPr>
            <w:tcW w:w="3402" w:type="dxa"/>
            <w:tcBorders>
              <w:left w:val="single" w:sz="8" w:space="0" w:color="F5EDC1" w:themeColor="accent4"/>
            </w:tcBorders>
            <w:shd w:val="clear" w:color="auto" w:fill="86731E" w:themeFill="text1"/>
            <w:tcMar>
              <w:top w:w="113" w:type="dxa"/>
              <w:left w:w="80" w:type="dxa"/>
              <w:bottom w:w="113" w:type="dxa"/>
              <w:right w:w="80" w:type="dxa"/>
            </w:tcMar>
          </w:tcPr>
          <w:p w14:paraId="31EB7157" w14:textId="77777777" w:rsidR="0086154B" w:rsidRPr="0086154B" w:rsidRDefault="0086154B" w:rsidP="0086154B">
            <w:pPr>
              <w:rPr>
                <w:b/>
                <w:bCs/>
              </w:rPr>
            </w:pPr>
            <w:r w:rsidRPr="0086154B">
              <w:rPr>
                <w:b/>
                <w:bCs/>
              </w:rPr>
              <w:t>Government Goal(s)</w:t>
            </w:r>
          </w:p>
        </w:tc>
        <w:tc>
          <w:tcPr>
            <w:tcW w:w="3208" w:type="dxa"/>
            <w:shd w:val="clear" w:color="auto" w:fill="86731E" w:themeFill="text1"/>
            <w:tcMar>
              <w:top w:w="113" w:type="dxa"/>
              <w:left w:w="80" w:type="dxa"/>
              <w:bottom w:w="113" w:type="dxa"/>
              <w:right w:w="80" w:type="dxa"/>
            </w:tcMar>
          </w:tcPr>
          <w:p w14:paraId="3067EB80" w14:textId="77777777" w:rsidR="0086154B" w:rsidRPr="0086154B" w:rsidRDefault="0086154B" w:rsidP="0086154B">
            <w:pPr>
              <w:rPr>
                <w:b/>
                <w:bCs/>
              </w:rPr>
            </w:pPr>
            <w:r w:rsidRPr="0086154B">
              <w:rPr>
                <w:b/>
                <w:bCs/>
              </w:rPr>
              <w:t>WorkCover WA Strategic Goal</w:t>
            </w:r>
          </w:p>
        </w:tc>
      </w:tr>
      <w:tr w:rsidR="0086154B" w:rsidRPr="0086154B" w14:paraId="069F7FD6" w14:textId="77777777" w:rsidTr="00EA2534">
        <w:trPr>
          <w:trHeight w:val="825"/>
        </w:trPr>
        <w:tc>
          <w:tcPr>
            <w:tcW w:w="2462" w:type="dxa"/>
            <w:vMerge/>
            <w:tcBorders>
              <w:right w:val="single" w:sz="8" w:space="0" w:color="F5EDC1" w:themeColor="accent4"/>
            </w:tcBorders>
          </w:tcPr>
          <w:p w14:paraId="44DB3399" w14:textId="77777777" w:rsidR="0086154B" w:rsidRPr="0086154B" w:rsidRDefault="0086154B" w:rsidP="0086154B">
            <w:pPr>
              <w:rPr>
                <w:lang w:eastAsia="en-AU"/>
              </w:rPr>
            </w:pPr>
          </w:p>
        </w:tc>
        <w:tc>
          <w:tcPr>
            <w:tcW w:w="3402" w:type="dxa"/>
            <w:tcBorders>
              <w:left w:val="single" w:sz="8" w:space="0" w:color="F5EDC1" w:themeColor="accent4"/>
            </w:tcBorders>
            <w:tcMar>
              <w:top w:w="113" w:type="dxa"/>
              <w:left w:w="80" w:type="dxa"/>
              <w:bottom w:w="113" w:type="dxa"/>
              <w:right w:w="80" w:type="dxa"/>
            </w:tcMar>
          </w:tcPr>
          <w:p w14:paraId="28575072" w14:textId="77777777" w:rsidR="0086154B" w:rsidRPr="0086154B" w:rsidRDefault="0086154B" w:rsidP="0086154B">
            <w:pPr>
              <w:rPr>
                <w:b/>
                <w:bCs/>
              </w:rPr>
            </w:pPr>
            <w:r w:rsidRPr="0086154B">
              <w:rPr>
                <w:b/>
                <w:bCs/>
              </w:rPr>
              <w:t>3 – Results-Based Service Delivery</w:t>
            </w:r>
          </w:p>
          <w:p w14:paraId="38B5F36A" w14:textId="77777777" w:rsidR="0086154B" w:rsidRPr="0086154B" w:rsidRDefault="0086154B" w:rsidP="0086154B">
            <w:pPr>
              <w:rPr>
                <w:b/>
                <w:bCs/>
              </w:rPr>
            </w:pPr>
            <w:r w:rsidRPr="0086154B">
              <w:rPr>
                <w:b/>
                <w:bCs/>
              </w:rPr>
              <w:t>(&amp; 4 – Stronger focus on the regions</w:t>
            </w:r>
          </w:p>
          <w:p w14:paraId="374806B8" w14:textId="54ECA10E" w:rsidR="0086154B" w:rsidRPr="0086154B" w:rsidRDefault="0086154B" w:rsidP="0086154B">
            <w:pPr>
              <w:rPr>
                <w:b/>
                <w:bCs/>
              </w:rPr>
            </w:pPr>
            <w:r w:rsidRPr="0086154B">
              <w:rPr>
                <w:b/>
                <w:bCs/>
              </w:rPr>
              <w:t>5 – Social and environ</w:t>
            </w:r>
            <w:r w:rsidR="00D020EE">
              <w:rPr>
                <w:b/>
                <w:bCs/>
              </w:rPr>
              <w:t>mental responsibility</w:t>
            </w:r>
            <w:r w:rsidRPr="0086154B">
              <w:rPr>
                <w:b/>
                <w:bCs/>
              </w:rPr>
              <w:t>)</w:t>
            </w:r>
          </w:p>
        </w:tc>
        <w:tc>
          <w:tcPr>
            <w:tcW w:w="3208" w:type="dxa"/>
            <w:tcMar>
              <w:top w:w="113" w:type="dxa"/>
              <w:left w:w="80" w:type="dxa"/>
              <w:bottom w:w="113" w:type="dxa"/>
              <w:right w:w="80" w:type="dxa"/>
            </w:tcMar>
          </w:tcPr>
          <w:p w14:paraId="6136992F" w14:textId="77777777" w:rsidR="0086154B" w:rsidRPr="0086154B" w:rsidRDefault="0086154B" w:rsidP="0086154B">
            <w:pPr>
              <w:rPr>
                <w:b/>
                <w:bCs/>
              </w:rPr>
            </w:pPr>
            <w:r w:rsidRPr="0086154B">
              <w:rPr>
                <w:b/>
                <w:bCs/>
              </w:rPr>
              <w:t xml:space="preserve">3 – Regulatory compliance </w:t>
            </w:r>
          </w:p>
        </w:tc>
      </w:tr>
    </w:tbl>
    <w:p w14:paraId="38F64180" w14:textId="77777777" w:rsidR="00D020EE" w:rsidRPr="0086154B" w:rsidRDefault="00D020EE" w:rsidP="0086154B"/>
    <w:p w14:paraId="13154EB3" w14:textId="77777777" w:rsidR="0052282A" w:rsidRPr="0052282A" w:rsidRDefault="0052282A" w:rsidP="0052282A">
      <w:r w:rsidRPr="0052282A">
        <w:t xml:space="preserve">WorkCover WA understands the integrity and success of the workers’ compensation and injury management scheme is reliant on employers complying with their legislated obligations under the </w:t>
      </w:r>
      <w:r w:rsidRPr="0052282A">
        <w:rPr>
          <w:i/>
        </w:rPr>
        <w:t xml:space="preserve">Workers’ Compensation and Injury Management Act 1981 </w:t>
      </w:r>
      <w:r w:rsidRPr="0052282A">
        <w:t>(the Act).</w:t>
      </w:r>
    </w:p>
    <w:p w14:paraId="3378DD41" w14:textId="473885C0" w:rsidR="0052282A" w:rsidRPr="0052282A" w:rsidRDefault="0052282A" w:rsidP="0052282A">
      <w:r w:rsidRPr="001105F3">
        <w:t xml:space="preserve">Table </w:t>
      </w:r>
      <w:r w:rsidR="009E75E3" w:rsidRPr="001105F3">
        <w:t>21</w:t>
      </w:r>
      <w:r w:rsidRPr="001105F3">
        <w:t xml:space="preserve"> </w:t>
      </w:r>
      <w:r w:rsidRPr="0052282A">
        <w:t>outlines the outcomes of the Agency’s 2014/15 annual compliance activities aimed at monitoring employer compliance with workers’ compensation and injury management obligations. The compliance activities are based on WorkCover WA’s Compliance Framework.</w:t>
      </w:r>
    </w:p>
    <w:p w14:paraId="3ECCD13E" w14:textId="77777777" w:rsidR="0052282A" w:rsidRPr="0052282A" w:rsidRDefault="0052282A" w:rsidP="0052282A">
      <w:pPr>
        <w:keepLines w:val="0"/>
        <w:autoSpaceDE w:val="0"/>
        <w:autoSpaceDN w:val="0"/>
        <w:adjustRightInd w:val="0"/>
        <w:spacing w:after="0"/>
        <w:rPr>
          <w:rFonts w:cs="Arial"/>
          <w:color w:val="000000"/>
          <w:lang w:eastAsia="en-AU"/>
        </w:rPr>
      </w:pPr>
      <w:r w:rsidRPr="0052282A">
        <w:rPr>
          <w:rFonts w:cs="Arial"/>
          <w:color w:val="000000"/>
          <w:lang w:eastAsia="en-AU"/>
        </w:rPr>
        <w:t>Replacing the WorkCover WA Enforcement Policy, the Compliance Framework helps protect the integrity of the workers’ compensation and injury management scheme in Western Australia by outlining engagement, education and enforcement options using a risk based approach.</w:t>
      </w:r>
    </w:p>
    <w:p w14:paraId="5E6E0A6B" w14:textId="7E09C3B0" w:rsidR="00D020EE" w:rsidRPr="00EA2534" w:rsidRDefault="00EA2534" w:rsidP="00EA2534">
      <w:pPr>
        <w:keepLines w:val="0"/>
        <w:spacing w:after="0" w:line="240" w:lineRule="auto"/>
        <w:rPr>
          <w:rFonts w:cs="Arial"/>
          <w:color w:val="000000"/>
          <w:highlight w:val="lightGray"/>
          <w:lang w:eastAsia="en-AU"/>
        </w:rPr>
      </w:pPr>
      <w:r>
        <w:rPr>
          <w:rFonts w:cs="Arial"/>
          <w:color w:val="000000"/>
          <w:highlight w:val="lightGray"/>
          <w:lang w:eastAsia="en-AU"/>
        </w:rPr>
        <w:br w:type="page"/>
      </w:r>
      <w:r w:rsidR="00D020EE" w:rsidRPr="004451B5">
        <w:rPr>
          <w:rFonts w:cs="Arial"/>
          <w:color w:val="000000"/>
          <w:highlight w:val="lightGray"/>
          <w:lang w:eastAsia="en-AU"/>
        </w:rPr>
        <w:lastRenderedPageBreak/>
        <w:br/>
      </w:r>
      <w:r w:rsidR="00D020EE" w:rsidRPr="00D456AB">
        <w:rPr>
          <w:rFonts w:cs="Arial"/>
          <w:color w:val="000000"/>
          <w:lang w:eastAsia="en-AU"/>
        </w:rPr>
        <w:t>The Framework details:</w:t>
      </w:r>
      <w:r w:rsidR="00D020EE" w:rsidRPr="00D456AB">
        <w:rPr>
          <w:rFonts w:cs="Arial"/>
          <w:color w:val="000000"/>
          <w:lang w:eastAsia="en-AU"/>
        </w:rPr>
        <w:br/>
      </w:r>
    </w:p>
    <w:p w14:paraId="3E929379" w14:textId="77777777" w:rsidR="00D020EE" w:rsidRPr="00D456AB" w:rsidRDefault="00D020EE" w:rsidP="00D020EE">
      <w:pPr>
        <w:pStyle w:val="BulletListLevel1"/>
        <w:rPr>
          <w:lang w:val="en-US"/>
        </w:rPr>
      </w:pPr>
      <w:r w:rsidRPr="00D456AB">
        <w:rPr>
          <w:lang w:eastAsia="en-AU"/>
        </w:rPr>
        <w:t>WorkCover WA’s risk-based approach to compliance activities</w:t>
      </w:r>
    </w:p>
    <w:p w14:paraId="18305251" w14:textId="77777777" w:rsidR="00D020EE" w:rsidRPr="00D456AB" w:rsidRDefault="00D020EE" w:rsidP="00D020EE">
      <w:pPr>
        <w:pStyle w:val="BulletListLevel1"/>
        <w:rPr>
          <w:lang w:val="en-US"/>
        </w:rPr>
      </w:pPr>
      <w:r w:rsidRPr="00D456AB">
        <w:rPr>
          <w:lang w:eastAsia="en-AU"/>
        </w:rPr>
        <w:t>strategies used to detect instances of non-compliance</w:t>
      </w:r>
    </w:p>
    <w:p w14:paraId="5A3B9FCB" w14:textId="1BA2C994" w:rsidR="00D020EE" w:rsidRPr="00D456AB" w:rsidRDefault="00D020EE" w:rsidP="0086154B">
      <w:pPr>
        <w:pStyle w:val="BulletListLevel1"/>
        <w:rPr>
          <w:lang w:val="en-US"/>
        </w:rPr>
      </w:pPr>
      <w:r w:rsidRPr="00D456AB">
        <w:rPr>
          <w:lang w:eastAsia="en-AU"/>
        </w:rPr>
        <w:t>core strategies used to encourage compliance: education, engagement and enforcement.</w:t>
      </w: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21 2014/15 compliance outcomes"/>
        <w:tblDescription w:val="Table 21 details all compliance activities during the financial year"/>
      </w:tblPr>
      <w:tblGrid>
        <w:gridCol w:w="4626"/>
        <w:gridCol w:w="3000"/>
      </w:tblGrid>
      <w:tr w:rsidR="0086154B" w:rsidRPr="0086154B" w14:paraId="3B22503F" w14:textId="77777777" w:rsidTr="005A3445">
        <w:trPr>
          <w:tblHeader/>
        </w:trPr>
        <w:tc>
          <w:tcPr>
            <w:tcW w:w="7626" w:type="dxa"/>
            <w:gridSpan w:val="2"/>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Pr>
          <w:p w14:paraId="607672E3" w14:textId="3C554CE4" w:rsidR="0086154B" w:rsidRPr="0086154B" w:rsidRDefault="0086154B" w:rsidP="009E75E3">
            <w:pPr>
              <w:rPr>
                <w:b/>
                <w:bCs/>
                <w:color w:val="FFFFFF" w:themeColor="background1"/>
              </w:rPr>
            </w:pPr>
            <w:r w:rsidRPr="0086154B">
              <w:rPr>
                <w:b/>
                <w:bCs/>
                <w:color w:val="FFFFFF" w:themeColor="background1"/>
              </w:rPr>
              <w:t>Table 2</w:t>
            </w:r>
            <w:r w:rsidR="009E75E3">
              <w:rPr>
                <w:b/>
                <w:bCs/>
                <w:color w:val="FFFFFF" w:themeColor="background1"/>
              </w:rPr>
              <w:t>1</w:t>
            </w:r>
            <w:r w:rsidRPr="0086154B">
              <w:rPr>
                <w:b/>
                <w:bCs/>
                <w:color w:val="FFFFFF" w:themeColor="background1"/>
              </w:rPr>
              <w:t>: 2014/15 compliance outcomes</w:t>
            </w:r>
          </w:p>
        </w:tc>
      </w:tr>
      <w:tr w:rsidR="0086154B" w:rsidRPr="0086154B" w14:paraId="6438CA9D" w14:textId="77777777" w:rsidTr="005A3445">
        <w:tc>
          <w:tcPr>
            <w:tcW w:w="4626" w:type="dxa"/>
            <w:tcBorders>
              <w:top w:val="single" w:sz="2" w:space="0" w:color="2D4541" w:themeColor="accent2"/>
            </w:tcBorders>
            <w:shd w:val="clear" w:color="auto" w:fill="CEDFDC" w:themeFill="accent2" w:themeFillTint="33"/>
            <w:vAlign w:val="center"/>
          </w:tcPr>
          <w:p w14:paraId="2E6D5C4D" w14:textId="77777777" w:rsidR="0086154B" w:rsidRPr="0086154B" w:rsidRDefault="0086154B" w:rsidP="0086154B">
            <w:pPr>
              <w:rPr>
                <w:b/>
                <w:bCs/>
              </w:rPr>
            </w:pPr>
            <w:r w:rsidRPr="0086154B">
              <w:rPr>
                <w:b/>
                <w:bCs/>
              </w:rPr>
              <w:t>Compliance activity</w:t>
            </w:r>
          </w:p>
        </w:tc>
        <w:tc>
          <w:tcPr>
            <w:tcW w:w="3000" w:type="dxa"/>
            <w:tcBorders>
              <w:top w:val="single" w:sz="2" w:space="0" w:color="2D4541" w:themeColor="accent2"/>
            </w:tcBorders>
            <w:shd w:val="clear" w:color="auto" w:fill="CEDFDC" w:themeFill="accent2" w:themeFillTint="33"/>
            <w:vAlign w:val="center"/>
          </w:tcPr>
          <w:p w14:paraId="347AC087" w14:textId="77777777" w:rsidR="0086154B" w:rsidRPr="0086154B" w:rsidRDefault="0086154B" w:rsidP="0086154B">
            <w:pPr>
              <w:rPr>
                <w:b/>
                <w:bCs/>
              </w:rPr>
            </w:pPr>
            <w:r w:rsidRPr="0086154B">
              <w:rPr>
                <w:b/>
                <w:bCs/>
              </w:rPr>
              <w:t>Total number</w:t>
            </w:r>
          </w:p>
        </w:tc>
      </w:tr>
      <w:tr w:rsidR="0086154B" w:rsidRPr="0086154B" w14:paraId="7C09083B" w14:textId="77777777" w:rsidTr="005A3445">
        <w:tc>
          <w:tcPr>
            <w:tcW w:w="4626" w:type="dxa"/>
            <w:shd w:val="clear" w:color="auto" w:fill="D4E2E0" w:themeFill="accent5"/>
            <w:vAlign w:val="center"/>
          </w:tcPr>
          <w:p w14:paraId="71C1E57D" w14:textId="77777777" w:rsidR="0086154B" w:rsidRPr="0086154B" w:rsidRDefault="0086154B" w:rsidP="0086154B">
            <w:r w:rsidRPr="0086154B">
              <w:t>Compliance investigations</w:t>
            </w:r>
          </w:p>
        </w:tc>
        <w:tc>
          <w:tcPr>
            <w:tcW w:w="3000" w:type="dxa"/>
          </w:tcPr>
          <w:p w14:paraId="368DE14D" w14:textId="77777777" w:rsidR="0086154B" w:rsidRPr="0086154B" w:rsidRDefault="0086154B" w:rsidP="0086154B">
            <w:r w:rsidRPr="0086154B">
              <w:t xml:space="preserve">684 </w:t>
            </w:r>
          </w:p>
        </w:tc>
      </w:tr>
      <w:tr w:rsidR="0086154B" w:rsidRPr="0086154B" w14:paraId="75AC5CE5" w14:textId="77777777" w:rsidTr="005A3445">
        <w:tc>
          <w:tcPr>
            <w:tcW w:w="4626" w:type="dxa"/>
            <w:shd w:val="clear" w:color="auto" w:fill="D4E2E0" w:themeFill="accent5"/>
            <w:vAlign w:val="center"/>
          </w:tcPr>
          <w:p w14:paraId="018DC7A8" w14:textId="77777777" w:rsidR="0086154B" w:rsidRPr="0086154B" w:rsidRDefault="0086154B" w:rsidP="0086154B">
            <w:r w:rsidRPr="0086154B">
              <w:t>Letters of caution sent to employers</w:t>
            </w:r>
          </w:p>
        </w:tc>
        <w:tc>
          <w:tcPr>
            <w:tcW w:w="3000" w:type="dxa"/>
          </w:tcPr>
          <w:p w14:paraId="37313433" w14:textId="77777777" w:rsidR="0086154B" w:rsidRPr="0086154B" w:rsidRDefault="0086154B" w:rsidP="0086154B">
            <w:r w:rsidRPr="0086154B">
              <w:t>67</w:t>
            </w:r>
          </w:p>
        </w:tc>
      </w:tr>
      <w:tr w:rsidR="0086154B" w:rsidRPr="0086154B" w14:paraId="4236C1B9" w14:textId="77777777" w:rsidTr="005A3445">
        <w:tc>
          <w:tcPr>
            <w:tcW w:w="4626" w:type="dxa"/>
            <w:shd w:val="clear" w:color="auto" w:fill="D4E2E0" w:themeFill="accent5"/>
            <w:vAlign w:val="center"/>
          </w:tcPr>
          <w:p w14:paraId="7074B6B9" w14:textId="77777777" w:rsidR="0086154B" w:rsidRPr="0086154B" w:rsidRDefault="0086154B" w:rsidP="0086154B">
            <w:r w:rsidRPr="0086154B">
              <w:t>Prosecutions completed</w:t>
            </w:r>
          </w:p>
        </w:tc>
        <w:tc>
          <w:tcPr>
            <w:tcW w:w="3000" w:type="dxa"/>
          </w:tcPr>
          <w:p w14:paraId="4892C906" w14:textId="77777777" w:rsidR="0086154B" w:rsidRPr="0086154B" w:rsidRDefault="0086154B" w:rsidP="0086154B">
            <w:r w:rsidRPr="0086154B">
              <w:t>79</w:t>
            </w:r>
          </w:p>
        </w:tc>
      </w:tr>
      <w:tr w:rsidR="0086154B" w:rsidRPr="0086154B" w14:paraId="792C33C6" w14:textId="77777777" w:rsidTr="005A3445">
        <w:tc>
          <w:tcPr>
            <w:tcW w:w="4626" w:type="dxa"/>
            <w:shd w:val="clear" w:color="auto" w:fill="D4E2E0" w:themeFill="accent5"/>
            <w:vAlign w:val="center"/>
          </w:tcPr>
          <w:p w14:paraId="49B2A82E" w14:textId="77777777" w:rsidR="0086154B" w:rsidRPr="0086154B" w:rsidRDefault="0086154B" w:rsidP="0086154B">
            <w:r w:rsidRPr="0086154B">
              <w:t>Enquiries into lapsed/expired policies</w:t>
            </w:r>
          </w:p>
        </w:tc>
        <w:tc>
          <w:tcPr>
            <w:tcW w:w="3000" w:type="dxa"/>
          </w:tcPr>
          <w:p w14:paraId="65EABB9C" w14:textId="77777777" w:rsidR="0086154B" w:rsidRPr="0086154B" w:rsidRDefault="0086154B" w:rsidP="0086154B">
            <w:r w:rsidRPr="0086154B">
              <w:t>5,282</w:t>
            </w:r>
          </w:p>
        </w:tc>
      </w:tr>
      <w:tr w:rsidR="0086154B" w:rsidRPr="0086154B" w14:paraId="534B2ECF" w14:textId="77777777" w:rsidTr="005A3445">
        <w:tc>
          <w:tcPr>
            <w:tcW w:w="4626" w:type="dxa"/>
            <w:shd w:val="clear" w:color="auto" w:fill="D4E2E0" w:themeFill="accent5"/>
            <w:vAlign w:val="center"/>
          </w:tcPr>
          <w:p w14:paraId="2FCB268C" w14:textId="77777777" w:rsidR="0086154B" w:rsidRPr="0086154B" w:rsidRDefault="0086154B" w:rsidP="0086154B">
            <w:r w:rsidRPr="0086154B">
              <w:t>Enquiries into policy cancellations</w:t>
            </w:r>
          </w:p>
        </w:tc>
        <w:tc>
          <w:tcPr>
            <w:tcW w:w="3000" w:type="dxa"/>
          </w:tcPr>
          <w:p w14:paraId="1F9286D4" w14:textId="77777777" w:rsidR="0086154B" w:rsidRPr="0086154B" w:rsidRDefault="0086154B" w:rsidP="0086154B">
            <w:r w:rsidRPr="0086154B">
              <w:t>4,715</w:t>
            </w:r>
          </w:p>
        </w:tc>
      </w:tr>
      <w:tr w:rsidR="0086154B" w:rsidRPr="0086154B" w14:paraId="3CA83292" w14:textId="77777777" w:rsidTr="005A3445">
        <w:tc>
          <w:tcPr>
            <w:tcW w:w="4626" w:type="dxa"/>
            <w:shd w:val="clear" w:color="auto" w:fill="D4E2E0" w:themeFill="accent5"/>
            <w:vAlign w:val="center"/>
          </w:tcPr>
          <w:p w14:paraId="064F9318" w14:textId="77777777" w:rsidR="0086154B" w:rsidRPr="0086154B" w:rsidRDefault="0086154B" w:rsidP="0086154B">
            <w:r w:rsidRPr="0086154B">
              <w:t xml:space="preserve">Infringements issued </w:t>
            </w:r>
          </w:p>
        </w:tc>
        <w:tc>
          <w:tcPr>
            <w:tcW w:w="3000" w:type="dxa"/>
          </w:tcPr>
          <w:p w14:paraId="35CAB5AB" w14:textId="77777777" w:rsidR="0086154B" w:rsidRPr="0086154B" w:rsidRDefault="0086154B" w:rsidP="0086154B">
            <w:r w:rsidRPr="0086154B">
              <w:t>178</w:t>
            </w:r>
          </w:p>
        </w:tc>
      </w:tr>
      <w:tr w:rsidR="0086154B" w:rsidRPr="0086154B" w14:paraId="22E57BB2" w14:textId="77777777" w:rsidTr="005A3445">
        <w:tc>
          <w:tcPr>
            <w:tcW w:w="4626" w:type="dxa"/>
            <w:shd w:val="clear" w:color="auto" w:fill="D4E2E0" w:themeFill="accent5"/>
            <w:vAlign w:val="center"/>
          </w:tcPr>
          <w:p w14:paraId="1BA8CF87" w14:textId="77777777" w:rsidR="0086154B" w:rsidRPr="0086154B" w:rsidRDefault="0086154B" w:rsidP="0086154B">
            <w:r w:rsidRPr="0086154B">
              <w:t>Australian Business Register (data matching)</w:t>
            </w:r>
          </w:p>
        </w:tc>
        <w:tc>
          <w:tcPr>
            <w:tcW w:w="3000" w:type="dxa"/>
          </w:tcPr>
          <w:p w14:paraId="362E2245" w14:textId="77777777" w:rsidR="0086154B" w:rsidRPr="0086154B" w:rsidRDefault="0086154B" w:rsidP="0086154B">
            <w:r w:rsidRPr="0086154B">
              <w:t>624</w:t>
            </w:r>
          </w:p>
        </w:tc>
      </w:tr>
    </w:tbl>
    <w:p w14:paraId="58C73234" w14:textId="77777777" w:rsidR="0086154B" w:rsidRPr="0086154B" w:rsidRDefault="0086154B" w:rsidP="00E31AB8">
      <w:pPr>
        <w:pStyle w:val="Heading2nonumber"/>
      </w:pPr>
      <w:bookmarkStart w:id="211" w:name="_Toc426617469"/>
      <w:bookmarkStart w:id="212" w:name="_Toc430091194"/>
      <w:bookmarkStart w:id="213" w:name="_Toc399316955"/>
      <w:r w:rsidRPr="0086154B">
        <w:t>Review of employer-focused compliance activities</w:t>
      </w:r>
      <w:bookmarkEnd w:id="211"/>
      <w:bookmarkEnd w:id="212"/>
    </w:p>
    <w:p w14:paraId="1EB14046" w14:textId="77777777" w:rsidR="0052282A" w:rsidRDefault="0052282A" w:rsidP="0052282A">
      <w:pPr>
        <w:rPr>
          <w:rFonts w:eastAsiaTheme="majorEastAsia"/>
        </w:rPr>
      </w:pPr>
      <w:bookmarkStart w:id="214" w:name="_Toc426617470"/>
      <w:r w:rsidRPr="0052282A">
        <w:rPr>
          <w:rFonts w:eastAsiaTheme="majorEastAsia"/>
        </w:rPr>
        <w:t>As part of its focus on continuous improvement WorkCover WA conducted a review of employer-focused compliance activities in 2014/15. The review identified a backlog of minor compliance cases that were pending investigation. Reviewing practices associated with completing these cases significantly reduced the backlog from over 522 cases to less than 28.</w:t>
      </w:r>
    </w:p>
    <w:p w14:paraId="4FAD00B8" w14:textId="10FB751B" w:rsidR="0052282A" w:rsidRPr="0052282A" w:rsidRDefault="0052282A" w:rsidP="0052282A">
      <w:pPr>
        <w:rPr>
          <w:rFonts w:eastAsiaTheme="majorEastAsia"/>
        </w:rPr>
      </w:pPr>
      <w:r w:rsidRPr="0052282A">
        <w:rPr>
          <w:rFonts w:eastAsiaTheme="majorEastAsia"/>
        </w:rPr>
        <w:t>The backlog was further reduced through the introduction of a Field Officer position to assist in the ‘triaging’ of cases. The Field Officer now provides a quick response to urgent matters and reinforces WorkCover WA’s education and enforcement activities.</w:t>
      </w:r>
    </w:p>
    <w:p w14:paraId="48134646" w14:textId="301189E8" w:rsidR="0086154B" w:rsidRPr="0086154B" w:rsidRDefault="0086154B" w:rsidP="00BA4EDE">
      <w:pPr>
        <w:pStyle w:val="Heading2nonumber"/>
        <w:ind w:right="95"/>
        <w:jc w:val="left"/>
      </w:pPr>
      <w:bookmarkStart w:id="215" w:name="_Toc430091195"/>
      <w:r w:rsidRPr="0086154B">
        <w:lastRenderedPageBreak/>
        <w:t>Targeting injur</w:t>
      </w:r>
      <w:r w:rsidR="00182C84">
        <w:t>y management &amp;</w:t>
      </w:r>
      <w:r w:rsidR="0052282A">
        <w:t xml:space="preserve"> return to work </w:t>
      </w:r>
      <w:r w:rsidRPr="0086154B">
        <w:t>obligations</w:t>
      </w:r>
      <w:bookmarkEnd w:id="213"/>
      <w:bookmarkEnd w:id="214"/>
      <w:bookmarkEnd w:id="215"/>
    </w:p>
    <w:p w14:paraId="267BBFA7" w14:textId="77777777" w:rsidR="0086154B" w:rsidRPr="0086154B" w:rsidRDefault="0086154B" w:rsidP="00ED246E">
      <w:bookmarkStart w:id="216" w:name="_Toc399316956"/>
      <w:r w:rsidRPr="0086154B">
        <w:t>WorkCover WA is continually exploring ways to improve injury management and return to work outcomes and practices across Western Australia. In 2014/15, WorkCover WA hosted a two-day Injury Management Conference which drew together the workers’ compensation and injury management community to discuss the challenges and opportunities in the injury management field.</w:t>
      </w:r>
    </w:p>
    <w:p w14:paraId="7474236F" w14:textId="77777777" w:rsidR="0086154B" w:rsidRPr="0086154B" w:rsidRDefault="0086154B" w:rsidP="00ED246E">
      <w:r w:rsidRPr="0086154B">
        <w:t>The event was a resounding success with over 350 delegates attending over the two days to view 13 exhibitions and listen to 34 presentations by Australia’s leading minds and experts in injury management and workers' compensation.</w:t>
      </w:r>
    </w:p>
    <w:p w14:paraId="26805B40" w14:textId="0444F023" w:rsidR="0086154B" w:rsidRPr="0086154B" w:rsidRDefault="0086154B" w:rsidP="00ED246E">
      <w:pPr>
        <w:rPr>
          <w:shd w:val="clear" w:color="auto" w:fill="F2F2F2" w:themeFill="background1" w:themeFillShade="F2"/>
        </w:rPr>
      </w:pPr>
      <w:r w:rsidRPr="0086154B">
        <w:t>To view the full description of the WorkCover WA 201</w:t>
      </w:r>
      <w:r w:rsidR="0075523D">
        <w:t xml:space="preserve">5 Injury Management Conference refer to ‘Case Study 2’ in </w:t>
      </w:r>
      <w:r w:rsidR="0075523D" w:rsidRPr="0075523D">
        <w:rPr>
          <w:i/>
        </w:rPr>
        <w:t>Section 3: Report on operations</w:t>
      </w:r>
      <w:r w:rsidR="0075523D">
        <w:t xml:space="preserve"> on page 89.</w:t>
      </w:r>
    </w:p>
    <w:p w14:paraId="25397EE4" w14:textId="77777777" w:rsidR="0086154B" w:rsidRDefault="0086154B" w:rsidP="00ED246E">
      <w:pPr>
        <w:pStyle w:val="Heading2nonumber"/>
      </w:pPr>
      <w:bookmarkStart w:id="217" w:name="_Toc426617471"/>
      <w:bookmarkStart w:id="218" w:name="_Toc430091196"/>
      <w:r w:rsidRPr="0086154B">
        <w:t>Regional compliance visit</w:t>
      </w:r>
      <w:bookmarkEnd w:id="216"/>
      <w:r w:rsidRPr="0086154B">
        <w:t>s</w:t>
      </w:r>
      <w:bookmarkEnd w:id="217"/>
      <w:bookmarkEnd w:id="218"/>
    </w:p>
    <w:p w14:paraId="152F97B4" w14:textId="570F23B5" w:rsidR="0052282A" w:rsidRPr="0086154B" w:rsidRDefault="0052282A" w:rsidP="0052282A">
      <w:r w:rsidRPr="0052282A">
        <w:t>WorkCover WA’s commitment to Government Goal 3 (Results-Based Service Delivery) and Government Goal 4 (Stronger focus on the regions) ensures the Agency completes compliance visits to regional areas.</w:t>
      </w:r>
      <w:r>
        <w:t xml:space="preserve"> </w:t>
      </w:r>
      <w:r w:rsidRPr="0052282A">
        <w:t>WorkCover WA’s regional compliance activity is recorded below.</w:t>
      </w:r>
    </w:p>
    <w:p w14:paraId="29C5C619" w14:textId="77777777" w:rsidR="0086154B" w:rsidRPr="00C3455B" w:rsidRDefault="0086154B" w:rsidP="00C3455B">
      <w:pPr>
        <w:pStyle w:val="Heading3nonumber"/>
      </w:pPr>
      <w:bookmarkStart w:id="219" w:name="_Toc426617472"/>
      <w:bookmarkStart w:id="220" w:name="_Toc430091197"/>
      <w:r w:rsidRPr="00C3455B">
        <w:t>Albany and Denmark</w:t>
      </w:r>
      <w:bookmarkEnd w:id="219"/>
      <w:bookmarkEnd w:id="220"/>
    </w:p>
    <w:p w14:paraId="6DE63FDE" w14:textId="4BCE4E74" w:rsidR="0086154B" w:rsidRPr="0052282A" w:rsidRDefault="0086154B" w:rsidP="0052282A">
      <w:r w:rsidRPr="0086154B">
        <w:t>I</w:t>
      </w:r>
      <w:r w:rsidR="004C1C6F">
        <w:t>n November 2014 a WorkCover WA i</w:t>
      </w:r>
      <w:r w:rsidRPr="0086154B">
        <w:t>nspector conducted targeted inspections of businesses located in the South West Regional towns of Albany an</w:t>
      </w:r>
      <w:r w:rsidR="0052282A">
        <w:t>d Denmark in Western Australia. Results as at 30 June 2015 are:</w:t>
      </w:r>
    </w:p>
    <w:p w14:paraId="1DFD435D" w14:textId="208ED591" w:rsidR="0086154B" w:rsidRPr="0086154B" w:rsidRDefault="0086154B" w:rsidP="00ED246E">
      <w:pPr>
        <w:pStyle w:val="BulletListLevel1"/>
      </w:pPr>
      <w:r w:rsidRPr="0086154B">
        <w:t>30 Inspections conducted</w:t>
      </w:r>
    </w:p>
    <w:p w14:paraId="6AF351C3" w14:textId="78428ADC" w:rsidR="0086154B" w:rsidRPr="0086154B" w:rsidRDefault="00ED246E" w:rsidP="00ED246E">
      <w:pPr>
        <w:pStyle w:val="BulletListLevel1"/>
      </w:pPr>
      <w:r>
        <w:t>3 prosecutions</w:t>
      </w:r>
    </w:p>
    <w:p w14:paraId="438B6107" w14:textId="3CB05D8E" w:rsidR="0086154B" w:rsidRPr="00ED246E" w:rsidRDefault="0086154B" w:rsidP="00ED246E">
      <w:pPr>
        <w:pStyle w:val="BulletListLevel1"/>
      </w:pPr>
      <w:r w:rsidRPr="0086154B">
        <w:t>1 letter of caution</w:t>
      </w:r>
    </w:p>
    <w:p w14:paraId="4F0A44BF" w14:textId="28AA305F" w:rsidR="0086154B" w:rsidRPr="00ED246E" w:rsidRDefault="0086154B" w:rsidP="00ED246E">
      <w:r w:rsidRPr="0086154B">
        <w:t>As part of the visit the Department of Commerce (Albany Office), Albany Chamber of Commerce and Industry, and WAPOL were contacted to:</w:t>
      </w:r>
    </w:p>
    <w:p w14:paraId="7F09CB21" w14:textId="191CB766" w:rsidR="0086154B" w:rsidRPr="0086154B" w:rsidRDefault="0086154B" w:rsidP="00ED246E">
      <w:pPr>
        <w:pStyle w:val="BulletListLevel1"/>
      </w:pPr>
      <w:r w:rsidRPr="0086154B">
        <w:t>consolidate intelligence regarding local businesses</w:t>
      </w:r>
    </w:p>
    <w:p w14:paraId="07C425C2" w14:textId="2A888B71" w:rsidR="0086154B" w:rsidRPr="0086154B" w:rsidRDefault="0086154B" w:rsidP="00ED246E">
      <w:pPr>
        <w:pStyle w:val="BulletListLevel1"/>
      </w:pPr>
      <w:r w:rsidRPr="0086154B">
        <w:t>assist strategic planning for future complia</w:t>
      </w:r>
      <w:r w:rsidR="00ED246E">
        <w:t>nce activities in the area, and</w:t>
      </w:r>
    </w:p>
    <w:p w14:paraId="2F78259E" w14:textId="5670ACC1" w:rsidR="0086154B" w:rsidRPr="0086154B" w:rsidRDefault="0086154B" w:rsidP="00E31AB8">
      <w:pPr>
        <w:pStyle w:val="BulletListLevel1"/>
      </w:pPr>
      <w:r w:rsidRPr="0086154B">
        <w:t>reinforce messages regarding</w:t>
      </w:r>
      <w:r w:rsidR="0052282A">
        <w:t xml:space="preserve"> employer obligations under </w:t>
      </w:r>
      <w:r w:rsidR="0052282A">
        <w:rPr>
          <w:rFonts w:cstheme="minorBidi"/>
        </w:rPr>
        <w:t>the Act.</w:t>
      </w:r>
    </w:p>
    <w:p w14:paraId="2F47E0F0" w14:textId="77777777" w:rsidR="0086154B" w:rsidRPr="0086154B" w:rsidRDefault="0086154B" w:rsidP="00E31AB8">
      <w:pPr>
        <w:pStyle w:val="Heading3nonumber"/>
        <w:rPr>
          <w:rFonts w:eastAsiaTheme="majorEastAsia"/>
          <w:szCs w:val="28"/>
          <w:lang w:val="en-US" w:eastAsia="en-AU"/>
        </w:rPr>
      </w:pPr>
      <w:bookmarkStart w:id="221" w:name="_Toc426617473"/>
      <w:bookmarkStart w:id="222" w:name="_Toc430091198"/>
      <w:r w:rsidRPr="0086154B">
        <w:rPr>
          <w:rFonts w:eastAsiaTheme="majorEastAsia"/>
          <w:szCs w:val="28"/>
          <w:lang w:val="en-US" w:eastAsia="en-AU"/>
        </w:rPr>
        <w:lastRenderedPageBreak/>
        <w:t>Kalgoorlie-Boulder</w:t>
      </w:r>
      <w:bookmarkEnd w:id="221"/>
      <w:bookmarkEnd w:id="222"/>
      <w:r w:rsidRPr="0086154B">
        <w:rPr>
          <w:rFonts w:eastAsiaTheme="majorEastAsia"/>
          <w:szCs w:val="28"/>
          <w:lang w:val="en-US" w:eastAsia="en-AU"/>
        </w:rPr>
        <w:t xml:space="preserve"> </w:t>
      </w:r>
    </w:p>
    <w:p w14:paraId="738D160D" w14:textId="370A166D" w:rsidR="0086154B" w:rsidRPr="0086154B" w:rsidRDefault="004C1C6F" w:rsidP="0086154B">
      <w:r>
        <w:t>In May 2015 WorkCover WA</w:t>
      </w:r>
      <w:r w:rsidR="0086154B" w:rsidRPr="0086154B">
        <w:t xml:space="preserve"> began an operation in the Kalgoorlie-Boulder region aiming to increase employer compliance with section 160(1) of the Act (duty to insure).</w:t>
      </w:r>
    </w:p>
    <w:p w14:paraId="0693D9C7" w14:textId="77777777" w:rsidR="0086154B" w:rsidRPr="0086154B" w:rsidRDefault="0086154B" w:rsidP="0086154B">
      <w:r w:rsidRPr="0086154B">
        <w:t>Phase one of the operation sought to encourage voluntary compliance through advice and education. Local industry representatives were instrumental in delivering key messages to highlight common issues and misconceptions identified as contributing to unintentional non-compliance.</w:t>
      </w:r>
    </w:p>
    <w:p w14:paraId="71164DE1" w14:textId="77777777" w:rsidR="0086154B" w:rsidRPr="0086154B" w:rsidRDefault="0086154B" w:rsidP="0086154B">
      <w:r w:rsidRPr="0086154B">
        <w:t>Phase two involved a three day visit to Kalgoorlie which saw inspectors target potentially non-compliant employers in industries with high claim rates.</w:t>
      </w:r>
    </w:p>
    <w:p w14:paraId="7FB69F7B" w14:textId="3EAEBCAD" w:rsidR="0086154B" w:rsidRPr="0086154B" w:rsidRDefault="0086154B" w:rsidP="0086154B">
      <w:r w:rsidRPr="0086154B">
        <w:t xml:space="preserve">Results as at 30 June 2015 </w:t>
      </w:r>
      <w:r w:rsidR="00AB5045">
        <w:t>were</w:t>
      </w:r>
      <w:r w:rsidRPr="0086154B">
        <w:t>:</w:t>
      </w:r>
    </w:p>
    <w:p w14:paraId="1C111D82" w14:textId="77777777" w:rsidR="0086154B" w:rsidRPr="0086154B" w:rsidRDefault="0086154B" w:rsidP="00DD64B8">
      <w:pPr>
        <w:pStyle w:val="BulletListLevel1"/>
      </w:pPr>
      <w:r w:rsidRPr="0086154B">
        <w:t>60 inspections conducted</w:t>
      </w:r>
    </w:p>
    <w:p w14:paraId="57A5C663" w14:textId="77777777" w:rsidR="0086154B" w:rsidRPr="0086154B" w:rsidRDefault="0086154B" w:rsidP="00DD64B8">
      <w:pPr>
        <w:pStyle w:val="BulletListLevel1"/>
      </w:pPr>
      <w:r w:rsidRPr="0086154B">
        <w:t>8 matters under investigation</w:t>
      </w:r>
    </w:p>
    <w:p w14:paraId="0DB8ACB8" w14:textId="567EC33A" w:rsidR="00883051" w:rsidRDefault="0086154B" w:rsidP="00ED246E">
      <w:pPr>
        <w:rPr>
          <w:rFonts w:eastAsiaTheme="majorEastAsia"/>
        </w:rPr>
      </w:pPr>
      <w:bookmarkStart w:id="223" w:name="_Toc399316957"/>
      <w:r w:rsidRPr="0086154B">
        <w:rPr>
          <w:rFonts w:eastAsiaTheme="majorEastAsia"/>
        </w:rPr>
        <w:t xml:space="preserve">Inspectors met with industry representatives and stakeholders to improve their understanding of the duty to insure and to raise awareness of the risks and consequences associated with </w:t>
      </w:r>
      <w:r w:rsidRPr="00ED246E">
        <w:rPr>
          <w:rFonts w:eastAsiaTheme="majorEastAsia"/>
        </w:rPr>
        <w:t>failing to insure against the liability to pay workers’ compensation arising from a workplace related injury or disease.</w:t>
      </w:r>
    </w:p>
    <w:p w14:paraId="58146611" w14:textId="0A75946C" w:rsidR="00883051" w:rsidRDefault="00BA4EDE">
      <w:pPr>
        <w:keepLines w:val="0"/>
        <w:spacing w:after="0" w:line="240" w:lineRule="auto"/>
        <w:rPr>
          <w:rFonts w:eastAsiaTheme="majorEastAsia"/>
        </w:rPr>
      </w:pPr>
      <w:r>
        <w:rPr>
          <w:noProof/>
          <w:lang w:eastAsia="en-AU"/>
        </w:rPr>
        <w:drawing>
          <wp:anchor distT="0" distB="0" distL="114300" distR="114300" simplePos="0" relativeHeight="251725824" behindDoc="0" locked="0" layoutInCell="1" allowOverlap="1" wp14:anchorId="0876A1FB" wp14:editId="142B1280">
            <wp:simplePos x="0" y="0"/>
            <wp:positionH relativeFrom="column">
              <wp:posOffset>2469977</wp:posOffset>
            </wp:positionH>
            <wp:positionV relativeFrom="page">
              <wp:posOffset>6238183</wp:posOffset>
            </wp:positionV>
            <wp:extent cx="6416040" cy="2842260"/>
            <wp:effectExtent l="0" t="0" r="3810" b="0"/>
            <wp:wrapSquare wrapText="bothSides"/>
            <wp:docPr id="18" name="Picture 18"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17" cstate="print">
                      <a:extLst>
                        <a:ext uri="{28A0092B-C50C-407E-A947-70E740481C1C}">
                          <a14:useLocalDpi xmlns:a14="http://schemas.microsoft.com/office/drawing/2010/main" val="0"/>
                        </a:ext>
                      </a:extLst>
                    </a:blip>
                    <a:srcRect t="39269" b="29401"/>
                    <a:stretch/>
                  </pic:blipFill>
                  <pic:spPr bwMode="auto">
                    <a:xfrm>
                      <a:off x="0" y="0"/>
                      <a:ext cx="6416040"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051">
        <w:rPr>
          <w:rFonts w:eastAsiaTheme="majorEastAsia"/>
        </w:rPr>
        <w:br w:type="page"/>
      </w:r>
    </w:p>
    <w:p w14:paraId="00C6BFC7" w14:textId="0DFA4C31" w:rsidR="0086154B" w:rsidRPr="0086154B" w:rsidRDefault="0052282A" w:rsidP="00E22526">
      <w:pPr>
        <w:pStyle w:val="Heading3nonumber"/>
      </w:pPr>
      <w:bookmarkStart w:id="224" w:name="_Toc430091199"/>
      <w:bookmarkEnd w:id="223"/>
      <w:r>
        <w:lastRenderedPageBreak/>
        <w:t>Case Study</w:t>
      </w:r>
      <w:r w:rsidR="00E22526">
        <w:t xml:space="preserve"> </w:t>
      </w:r>
      <w:r>
        <w:t>1 – Regional compliance activities (Kalgoorlie)</w:t>
      </w:r>
      <w:bookmarkEnd w:id="224"/>
    </w:p>
    <w:p w14:paraId="63B7D9DB" w14:textId="0AE0EAB9" w:rsidR="0086154B" w:rsidRPr="0086154B" w:rsidRDefault="007D3DCB" w:rsidP="0086154B">
      <w:pPr>
        <w:rPr>
          <w:b/>
          <w:bCs/>
        </w:rPr>
      </w:pPr>
      <w:r>
        <w:rPr>
          <w:b/>
          <w:bCs/>
        </w:rPr>
        <w:t>O</w:t>
      </w:r>
      <w:r w:rsidR="0086154B" w:rsidRPr="0086154B">
        <w:rPr>
          <w:b/>
          <w:bCs/>
        </w:rPr>
        <w:t>utcome 1</w:t>
      </w:r>
    </w:p>
    <w:p w14:paraId="1F2D98FA" w14:textId="5137D549" w:rsidR="00E22526" w:rsidRDefault="0086154B" w:rsidP="0086154B">
      <w:r w:rsidRPr="0086154B">
        <w:t>Inspectors met with Kalgoorlie Chamber of Commerce and Industry representatives who provided insight into the pressures of operating a small business. Discussions highlighted the trend in reliance on independent bookkeeping services by small business owners in the region, suggesting they would be ideally placed to facilitate compliance by passing on relevant educational material. Inspectors subsequently engaged with financial service providers in the area who were prepared to pass on information to their clients.</w:t>
      </w:r>
    </w:p>
    <w:p w14:paraId="45DF2820" w14:textId="77777777" w:rsidR="00E22526" w:rsidRDefault="007D3DCB" w:rsidP="0086154B">
      <w:pPr>
        <w:rPr>
          <w:b/>
          <w:bCs/>
        </w:rPr>
      </w:pPr>
      <w:r>
        <w:rPr>
          <w:b/>
          <w:bCs/>
        </w:rPr>
        <w:t>O</w:t>
      </w:r>
      <w:r w:rsidR="0086154B" w:rsidRPr="0086154B">
        <w:rPr>
          <w:b/>
          <w:bCs/>
        </w:rPr>
        <w:t>utcome 2</w:t>
      </w:r>
    </w:p>
    <w:p w14:paraId="7E63234F" w14:textId="164D95C3" w:rsidR="0086154B" w:rsidRPr="00E22526" w:rsidRDefault="0052282A" w:rsidP="0086154B">
      <w:pPr>
        <w:rPr>
          <w:b/>
          <w:bCs/>
        </w:rPr>
      </w:pPr>
      <w:r>
        <w:t>Inspectors met with s</w:t>
      </w:r>
      <w:r w:rsidRPr="0086154B">
        <w:t xml:space="preserve">everal brokers in the region. Discussions focused on the consequences </w:t>
      </w:r>
      <w:r>
        <w:t>employers faced when</w:t>
      </w:r>
      <w:r w:rsidRPr="0086154B">
        <w:t xml:space="preserve"> failing to renew polices prior to expiry and f</w:t>
      </w:r>
      <w:r>
        <w:t>ailing to obtain proof of cover</w:t>
      </w:r>
      <w:r w:rsidR="0086154B" w:rsidRPr="0086154B">
        <w:t>. Brokers noted policy renewal was dependent on timely return of completed wage declarations and payment of the premium. Inspectors enquired into the practice of broker i</w:t>
      </w:r>
      <w:r w:rsidR="004C1C6F">
        <w:t>ssued confirmation of cover. B</w:t>
      </w:r>
      <w:r w:rsidR="0086154B" w:rsidRPr="0086154B">
        <w:t xml:space="preserve">rokers </w:t>
      </w:r>
      <w:r w:rsidR="004C1C6F">
        <w:t xml:space="preserve">were reminded </w:t>
      </w:r>
      <w:r w:rsidR="0086154B" w:rsidRPr="0086154B">
        <w:t>only an insurer issued certificate of currency could excuse an employer from being in breach of the duty to insure. One of the larger brokers in the region offered to incorporate a compliance segment into its upcoming injury management semi</w:t>
      </w:r>
      <w:r w:rsidR="00292C9D">
        <w:t>nar and invited WorkCover WA i</w:t>
      </w:r>
      <w:r w:rsidR="0086154B" w:rsidRPr="0086154B">
        <w:t>nspectors back to the region to participate.</w:t>
      </w:r>
    </w:p>
    <w:p w14:paraId="3C4E795F" w14:textId="7F2927C3" w:rsidR="000D0467" w:rsidRDefault="007D3DCB" w:rsidP="0086154B">
      <w:pPr>
        <w:keepNext/>
        <w:tabs>
          <w:tab w:val="left" w:pos="3544"/>
        </w:tabs>
        <w:spacing w:before="60" w:line="240" w:lineRule="auto"/>
        <w:outlineLvl w:val="3"/>
        <w:rPr>
          <w:rFonts w:eastAsiaTheme="majorEastAsia" w:cs="Arial"/>
          <w:b/>
          <w:szCs w:val="28"/>
          <w:lang w:val="en-US" w:eastAsia="en-AU"/>
        </w:rPr>
      </w:pPr>
      <w:r>
        <w:rPr>
          <w:rFonts w:eastAsiaTheme="majorEastAsia" w:cs="Arial"/>
          <w:b/>
          <w:szCs w:val="28"/>
          <w:lang w:val="en-US" w:eastAsia="en-AU"/>
        </w:rPr>
        <w:t>O</w:t>
      </w:r>
      <w:r w:rsidR="000D0467" w:rsidRPr="0086154B">
        <w:rPr>
          <w:rFonts w:eastAsiaTheme="majorEastAsia" w:cs="Arial"/>
          <w:b/>
          <w:szCs w:val="28"/>
          <w:lang w:val="en-US" w:eastAsia="en-AU"/>
        </w:rPr>
        <w:t xml:space="preserve">utcome </w:t>
      </w:r>
      <w:r w:rsidR="00254BC8">
        <w:rPr>
          <w:rFonts w:eastAsiaTheme="majorEastAsia" w:cs="Arial"/>
          <w:b/>
          <w:szCs w:val="28"/>
          <w:lang w:val="en-US" w:eastAsia="en-AU"/>
        </w:rPr>
        <w:t>3</w:t>
      </w:r>
    </w:p>
    <w:p w14:paraId="29930C1A" w14:textId="7F1E169F" w:rsidR="00EA2534" w:rsidRDefault="004C1C6F" w:rsidP="00471A32">
      <w:r>
        <w:rPr>
          <w:rFonts w:eastAsiaTheme="majorEastAsia"/>
          <w:lang w:val="en-US" w:eastAsia="en-AU"/>
        </w:rPr>
        <w:t>A prior</w:t>
      </w:r>
      <w:r w:rsidR="007D3DCB">
        <w:rPr>
          <w:rFonts w:eastAsiaTheme="majorEastAsia"/>
          <w:lang w:val="en-US" w:eastAsia="en-AU"/>
        </w:rPr>
        <w:t xml:space="preserve"> investigation</w:t>
      </w:r>
      <w:r w:rsidR="007D3DCB" w:rsidRPr="007D3DCB">
        <w:rPr>
          <w:rFonts w:eastAsiaTheme="majorEastAsia"/>
          <w:lang w:val="en-US" w:eastAsia="en-AU"/>
        </w:rPr>
        <w:t xml:space="preserve"> i</w:t>
      </w:r>
      <w:r w:rsidR="00471A32">
        <w:rPr>
          <w:rFonts w:eastAsiaTheme="majorEastAsia"/>
          <w:lang w:val="en-US" w:eastAsia="en-AU"/>
        </w:rPr>
        <w:t xml:space="preserve">nto a failure to hold insurance </w:t>
      </w:r>
      <w:r w:rsidR="007D3DCB" w:rsidRPr="007D3DCB">
        <w:rPr>
          <w:rFonts w:eastAsiaTheme="majorEastAsia"/>
          <w:lang w:val="en-US" w:eastAsia="en-AU"/>
        </w:rPr>
        <w:t>concluded whilst inspectors were in Kalgoorlie. The</w:t>
      </w:r>
      <w:r w:rsidR="007D3DCB">
        <w:rPr>
          <w:rFonts w:eastAsiaTheme="majorEastAsia"/>
          <w:b/>
          <w:lang w:val="en-US" w:eastAsia="en-AU"/>
        </w:rPr>
        <w:t xml:space="preserve"> </w:t>
      </w:r>
      <w:r w:rsidR="007D3DCB">
        <w:t>employer was</w:t>
      </w:r>
      <w:r w:rsidR="0086154B" w:rsidRPr="0086154B">
        <w:t xml:space="preserve"> convicted of failing to produce wage records when required to do so by a WorkCover</w:t>
      </w:r>
      <w:r w:rsidR="00292C9D">
        <w:t xml:space="preserve"> WA i</w:t>
      </w:r>
      <w:r w:rsidR="0086154B" w:rsidRPr="0086154B">
        <w:t>nspector, with total fines and costs of $5,165.00.</w:t>
      </w:r>
    </w:p>
    <w:p w14:paraId="080A737B" w14:textId="77777777" w:rsidR="00EA2534" w:rsidRDefault="00EA2534">
      <w:pPr>
        <w:keepLines w:val="0"/>
        <w:spacing w:after="0" w:line="240" w:lineRule="auto"/>
      </w:pPr>
      <w:r>
        <w:br w:type="page"/>
      </w:r>
    </w:p>
    <w:p w14:paraId="09440C14" w14:textId="77777777" w:rsidR="0086154B" w:rsidRPr="0086154B" w:rsidRDefault="0086154B" w:rsidP="00C3455B">
      <w:pPr>
        <w:pStyle w:val="Heading2nonumber"/>
      </w:pPr>
      <w:bookmarkStart w:id="225" w:name="_Toc399316958"/>
      <w:bookmarkStart w:id="226" w:name="_Toc426617475"/>
      <w:bookmarkStart w:id="227" w:name="_Toc430091200"/>
      <w:r w:rsidRPr="0086154B">
        <w:lastRenderedPageBreak/>
        <w:t>Acting on noise-induced hearing loss</w:t>
      </w:r>
      <w:bookmarkEnd w:id="225"/>
      <w:bookmarkEnd w:id="226"/>
      <w:bookmarkEnd w:id="227"/>
      <w:r w:rsidRPr="0086154B">
        <w:t xml:space="preserve"> </w:t>
      </w:r>
    </w:p>
    <w:p w14:paraId="12900B73" w14:textId="1428A98F" w:rsidR="0086154B" w:rsidRPr="0086154B" w:rsidRDefault="0086154B" w:rsidP="0086154B">
      <w:r w:rsidRPr="0086154B">
        <w:t xml:space="preserve">In 2014/15, WorkCover WA continued to offer advice and guidance to workers and employers across the State with regards to noise-induced hearing loss (NIHL) related tests and claims. </w:t>
      </w:r>
      <w:r w:rsidRPr="001105F3">
        <w:t xml:space="preserve">Table </w:t>
      </w:r>
      <w:r w:rsidR="009E75E3" w:rsidRPr="001105F3">
        <w:t>22</w:t>
      </w:r>
      <w:r w:rsidRPr="001105F3">
        <w:t xml:space="preserve"> below </w:t>
      </w:r>
      <w:r w:rsidRPr="0086154B">
        <w:t>outlines the Agency’s activities involving the monitoring and management of NIHL claims.</w:t>
      </w:r>
    </w:p>
    <w:tbl>
      <w:tblPr>
        <w:tblW w:w="8931" w:type="dxa"/>
        <w:tblInd w:w="113"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Caption w:val="Table 22 Involvement in noise-induced hearing loss"/>
        <w:tblDescription w:val="Table 22 details all noise induced hearing loss activity and outcomes for the financial year"/>
      </w:tblPr>
      <w:tblGrid>
        <w:gridCol w:w="6237"/>
        <w:gridCol w:w="2694"/>
      </w:tblGrid>
      <w:tr w:rsidR="0086154B" w:rsidRPr="0086154B" w14:paraId="057A32DE" w14:textId="77777777" w:rsidTr="00EA2534">
        <w:trPr>
          <w:trHeight w:val="497"/>
          <w:tblHeader/>
        </w:trPr>
        <w:tc>
          <w:tcPr>
            <w:tcW w:w="8931" w:type="dxa"/>
            <w:gridSpan w:val="2"/>
            <w:shd w:val="clear" w:color="auto" w:fill="2D4541" w:themeFill="accent2"/>
            <w:tcMar>
              <w:top w:w="170" w:type="dxa"/>
              <w:left w:w="113" w:type="dxa"/>
              <w:bottom w:w="170" w:type="dxa"/>
              <w:right w:w="113" w:type="dxa"/>
            </w:tcMar>
            <w:vAlign w:val="center"/>
          </w:tcPr>
          <w:p w14:paraId="3B13E663" w14:textId="601B431F" w:rsidR="0086154B" w:rsidRPr="0086154B" w:rsidRDefault="0086154B" w:rsidP="009E75E3">
            <w:pPr>
              <w:rPr>
                <w:b/>
                <w:bCs/>
              </w:rPr>
            </w:pPr>
            <w:r w:rsidRPr="0086154B">
              <w:br w:type="page"/>
            </w:r>
            <w:r w:rsidRPr="0086154B">
              <w:rPr>
                <w:b/>
                <w:bCs/>
                <w:color w:val="FFFFFF" w:themeColor="background2"/>
              </w:rPr>
              <w:t>Table 2</w:t>
            </w:r>
            <w:r w:rsidR="009E75E3">
              <w:rPr>
                <w:b/>
                <w:bCs/>
                <w:color w:val="FFFFFF" w:themeColor="background2"/>
              </w:rPr>
              <w:t>2</w:t>
            </w:r>
            <w:r w:rsidRPr="0086154B">
              <w:rPr>
                <w:b/>
                <w:bCs/>
                <w:color w:val="FFFFFF" w:themeColor="background2"/>
              </w:rPr>
              <w:t>: Involvement in noise-induced hearing loss</w:t>
            </w:r>
          </w:p>
        </w:tc>
      </w:tr>
      <w:tr w:rsidR="0086154B" w:rsidRPr="0086154B" w14:paraId="291DA305" w14:textId="77777777" w:rsidTr="00EA2534">
        <w:trPr>
          <w:trHeight w:val="60"/>
        </w:trPr>
        <w:tc>
          <w:tcPr>
            <w:tcW w:w="6237" w:type="dxa"/>
            <w:shd w:val="clear" w:color="auto" w:fill="CEDFDC" w:themeFill="accent2" w:themeFillTint="33"/>
            <w:tcMar>
              <w:top w:w="170" w:type="dxa"/>
              <w:left w:w="113" w:type="dxa"/>
              <w:bottom w:w="170" w:type="dxa"/>
              <w:right w:w="113" w:type="dxa"/>
            </w:tcMar>
            <w:vAlign w:val="center"/>
          </w:tcPr>
          <w:p w14:paraId="3BFE2C64" w14:textId="77777777" w:rsidR="0086154B" w:rsidRPr="0086154B" w:rsidRDefault="0086154B" w:rsidP="0086154B">
            <w:pPr>
              <w:rPr>
                <w:b/>
                <w:bCs/>
              </w:rPr>
            </w:pPr>
            <w:r w:rsidRPr="0086154B">
              <w:rPr>
                <w:b/>
                <w:bCs/>
              </w:rPr>
              <w:t>NIHL activity/outcome</w:t>
            </w:r>
          </w:p>
        </w:tc>
        <w:tc>
          <w:tcPr>
            <w:tcW w:w="2694" w:type="dxa"/>
            <w:shd w:val="clear" w:color="auto" w:fill="CEDFDC" w:themeFill="accent2" w:themeFillTint="33"/>
            <w:tcMar>
              <w:top w:w="170" w:type="dxa"/>
              <w:left w:w="113" w:type="dxa"/>
              <w:bottom w:w="170" w:type="dxa"/>
              <w:right w:w="113" w:type="dxa"/>
            </w:tcMar>
            <w:vAlign w:val="center"/>
          </w:tcPr>
          <w:p w14:paraId="20F9C595" w14:textId="77777777" w:rsidR="0086154B" w:rsidRPr="0086154B" w:rsidRDefault="0086154B" w:rsidP="0086154B">
            <w:pPr>
              <w:rPr>
                <w:b/>
                <w:bCs/>
              </w:rPr>
            </w:pPr>
            <w:r w:rsidRPr="0086154B">
              <w:rPr>
                <w:b/>
                <w:bCs/>
              </w:rPr>
              <w:t>Total number</w:t>
            </w:r>
          </w:p>
        </w:tc>
      </w:tr>
      <w:tr w:rsidR="0086154B" w:rsidRPr="0086154B" w14:paraId="192ADAD1" w14:textId="77777777" w:rsidTr="00EA2534">
        <w:trPr>
          <w:trHeight w:val="60"/>
        </w:trPr>
        <w:tc>
          <w:tcPr>
            <w:tcW w:w="6237" w:type="dxa"/>
            <w:shd w:val="clear" w:color="auto" w:fill="D4E2E0" w:themeFill="accent5"/>
            <w:tcMar>
              <w:top w:w="113" w:type="dxa"/>
              <w:left w:w="113" w:type="dxa"/>
              <w:bottom w:w="113" w:type="dxa"/>
              <w:right w:w="113" w:type="dxa"/>
            </w:tcMar>
            <w:vAlign w:val="center"/>
          </w:tcPr>
          <w:p w14:paraId="7103D200" w14:textId="77777777" w:rsidR="0086154B" w:rsidRPr="0086154B" w:rsidRDefault="0086154B" w:rsidP="0086154B">
            <w:pPr>
              <w:rPr>
                <w:lang w:val="en-GB" w:eastAsia="en-AU"/>
              </w:rPr>
            </w:pPr>
            <w:r w:rsidRPr="0086154B">
              <w:rPr>
                <w:lang w:val="en-GB" w:eastAsia="en-AU"/>
              </w:rPr>
              <w:t>Workers identified with potential NIHL claims</w:t>
            </w:r>
          </w:p>
        </w:tc>
        <w:tc>
          <w:tcPr>
            <w:tcW w:w="2694" w:type="dxa"/>
            <w:shd w:val="clear" w:color="auto" w:fill="auto"/>
            <w:tcMar>
              <w:top w:w="113" w:type="dxa"/>
              <w:left w:w="113" w:type="dxa"/>
              <w:bottom w:w="113" w:type="dxa"/>
              <w:right w:w="113" w:type="dxa"/>
            </w:tcMar>
          </w:tcPr>
          <w:p w14:paraId="3A9C4C60" w14:textId="77777777" w:rsidR="0086154B" w:rsidRPr="00F40582" w:rsidRDefault="0086154B" w:rsidP="0086154B">
            <w:pPr>
              <w:rPr>
                <w:lang w:val="en-GB" w:eastAsia="en-AU"/>
              </w:rPr>
            </w:pPr>
            <w:r w:rsidRPr="00F40582">
              <w:t>767</w:t>
            </w:r>
          </w:p>
        </w:tc>
      </w:tr>
      <w:tr w:rsidR="0086154B" w:rsidRPr="0086154B" w14:paraId="5C8034DA" w14:textId="77777777" w:rsidTr="00EA2534">
        <w:trPr>
          <w:trHeight w:val="696"/>
        </w:trPr>
        <w:tc>
          <w:tcPr>
            <w:tcW w:w="6237" w:type="dxa"/>
            <w:shd w:val="clear" w:color="auto" w:fill="D4E2E0" w:themeFill="accent5"/>
            <w:tcMar>
              <w:top w:w="113" w:type="dxa"/>
              <w:left w:w="113" w:type="dxa"/>
              <w:bottom w:w="113" w:type="dxa"/>
              <w:right w:w="113" w:type="dxa"/>
            </w:tcMar>
            <w:vAlign w:val="center"/>
          </w:tcPr>
          <w:p w14:paraId="1C193289" w14:textId="77777777" w:rsidR="0086154B" w:rsidRPr="0086154B" w:rsidRDefault="0086154B" w:rsidP="0086154B">
            <w:pPr>
              <w:rPr>
                <w:lang w:val="en-GB" w:eastAsia="en-AU"/>
              </w:rPr>
            </w:pPr>
            <w:r w:rsidRPr="0086154B">
              <w:rPr>
                <w:lang w:val="en-GB" w:eastAsia="en-AU"/>
              </w:rPr>
              <w:t>Full audiological assessments arranged</w:t>
            </w:r>
          </w:p>
        </w:tc>
        <w:tc>
          <w:tcPr>
            <w:tcW w:w="2694" w:type="dxa"/>
            <w:shd w:val="clear" w:color="auto" w:fill="auto"/>
            <w:tcMar>
              <w:top w:w="113" w:type="dxa"/>
              <w:left w:w="113" w:type="dxa"/>
              <w:bottom w:w="113" w:type="dxa"/>
              <w:right w:w="113" w:type="dxa"/>
            </w:tcMar>
          </w:tcPr>
          <w:p w14:paraId="0DB46480" w14:textId="77777777" w:rsidR="0086154B" w:rsidRPr="00F40582" w:rsidRDefault="0086154B" w:rsidP="0086154B">
            <w:pPr>
              <w:rPr>
                <w:lang w:val="en-GB" w:eastAsia="en-AU"/>
              </w:rPr>
            </w:pPr>
            <w:r w:rsidRPr="00F40582">
              <w:t>204</w:t>
            </w:r>
          </w:p>
        </w:tc>
      </w:tr>
      <w:tr w:rsidR="0086154B" w:rsidRPr="0086154B" w14:paraId="526EE671" w14:textId="77777777" w:rsidTr="00EA2534">
        <w:trPr>
          <w:trHeight w:val="60"/>
        </w:trPr>
        <w:tc>
          <w:tcPr>
            <w:tcW w:w="6237" w:type="dxa"/>
            <w:shd w:val="clear" w:color="auto" w:fill="D4E2E0" w:themeFill="accent5"/>
            <w:tcMar>
              <w:top w:w="113" w:type="dxa"/>
              <w:left w:w="113" w:type="dxa"/>
              <w:bottom w:w="113" w:type="dxa"/>
              <w:right w:w="113" w:type="dxa"/>
            </w:tcMar>
            <w:vAlign w:val="center"/>
          </w:tcPr>
          <w:p w14:paraId="3D786B6F" w14:textId="77777777" w:rsidR="0086154B" w:rsidRPr="0086154B" w:rsidRDefault="0086154B" w:rsidP="0086154B">
            <w:pPr>
              <w:rPr>
                <w:lang w:val="en-GB" w:eastAsia="en-AU"/>
              </w:rPr>
            </w:pPr>
            <w:r w:rsidRPr="0086154B">
              <w:rPr>
                <w:lang w:val="en-GB" w:eastAsia="en-AU"/>
              </w:rPr>
              <w:t>Otorhinolaryngology (ear, nose and throat) assessments of occupational hearing loss arranged</w:t>
            </w:r>
          </w:p>
        </w:tc>
        <w:tc>
          <w:tcPr>
            <w:tcW w:w="2694" w:type="dxa"/>
            <w:shd w:val="clear" w:color="auto" w:fill="auto"/>
            <w:tcMar>
              <w:top w:w="113" w:type="dxa"/>
              <w:left w:w="113" w:type="dxa"/>
              <w:bottom w:w="113" w:type="dxa"/>
              <w:right w:w="113" w:type="dxa"/>
            </w:tcMar>
          </w:tcPr>
          <w:p w14:paraId="4FBE4BCD" w14:textId="77777777" w:rsidR="0086154B" w:rsidRPr="00F40582" w:rsidRDefault="0086154B" w:rsidP="0086154B">
            <w:pPr>
              <w:rPr>
                <w:lang w:val="en-GB" w:eastAsia="en-AU"/>
              </w:rPr>
            </w:pPr>
            <w:r w:rsidRPr="00F40582">
              <w:t>184</w:t>
            </w:r>
          </w:p>
        </w:tc>
      </w:tr>
      <w:tr w:rsidR="0086154B" w:rsidRPr="0086154B" w14:paraId="6CDE2B57" w14:textId="77777777" w:rsidTr="00EA2534">
        <w:trPr>
          <w:trHeight w:val="60"/>
        </w:trPr>
        <w:tc>
          <w:tcPr>
            <w:tcW w:w="6237" w:type="dxa"/>
            <w:shd w:val="clear" w:color="auto" w:fill="D4E2E0" w:themeFill="accent5"/>
            <w:tcMar>
              <w:top w:w="113" w:type="dxa"/>
              <w:left w:w="113" w:type="dxa"/>
              <w:bottom w:w="113" w:type="dxa"/>
              <w:right w:w="113" w:type="dxa"/>
            </w:tcMar>
            <w:vAlign w:val="center"/>
          </w:tcPr>
          <w:p w14:paraId="038B5745" w14:textId="77777777" w:rsidR="0086154B" w:rsidRPr="0086154B" w:rsidRDefault="0086154B" w:rsidP="0086154B">
            <w:pPr>
              <w:rPr>
                <w:lang w:val="en-GB" w:eastAsia="en-AU"/>
              </w:rPr>
            </w:pPr>
            <w:r w:rsidRPr="0086154B">
              <w:rPr>
                <w:lang w:val="en-GB" w:eastAsia="en-AU"/>
              </w:rPr>
              <w:t>Successful claims for work-related gradual onset NIHL</w:t>
            </w:r>
          </w:p>
        </w:tc>
        <w:tc>
          <w:tcPr>
            <w:tcW w:w="2694" w:type="dxa"/>
            <w:shd w:val="clear" w:color="auto" w:fill="auto"/>
            <w:tcMar>
              <w:top w:w="113" w:type="dxa"/>
              <w:left w:w="113" w:type="dxa"/>
              <w:bottom w:w="113" w:type="dxa"/>
              <w:right w:w="113" w:type="dxa"/>
            </w:tcMar>
          </w:tcPr>
          <w:p w14:paraId="139F99DB" w14:textId="77777777" w:rsidR="0086154B" w:rsidRPr="00F40582" w:rsidRDefault="0086154B" w:rsidP="0086154B">
            <w:pPr>
              <w:rPr>
                <w:lang w:val="en-GB" w:eastAsia="en-AU"/>
              </w:rPr>
            </w:pPr>
            <w:r w:rsidRPr="00F40582">
              <w:t>129</w:t>
            </w:r>
          </w:p>
        </w:tc>
      </w:tr>
      <w:tr w:rsidR="0086154B" w:rsidRPr="0086154B" w14:paraId="5625047C" w14:textId="77777777" w:rsidTr="00EA2534">
        <w:trPr>
          <w:trHeight w:val="60"/>
        </w:trPr>
        <w:tc>
          <w:tcPr>
            <w:tcW w:w="6237" w:type="dxa"/>
            <w:shd w:val="clear" w:color="auto" w:fill="D4E2E0" w:themeFill="accent5"/>
            <w:tcMar>
              <w:top w:w="113" w:type="dxa"/>
              <w:left w:w="113" w:type="dxa"/>
              <w:bottom w:w="113" w:type="dxa"/>
              <w:right w:w="113" w:type="dxa"/>
            </w:tcMar>
            <w:vAlign w:val="center"/>
          </w:tcPr>
          <w:p w14:paraId="22319F12" w14:textId="77777777" w:rsidR="0086154B" w:rsidRPr="0086154B" w:rsidRDefault="0086154B" w:rsidP="0086154B">
            <w:pPr>
              <w:rPr>
                <w:lang w:val="en-GB" w:eastAsia="en-AU"/>
              </w:rPr>
            </w:pPr>
            <w:r w:rsidRPr="0086154B">
              <w:rPr>
                <w:lang w:val="en-GB" w:eastAsia="en-AU"/>
              </w:rPr>
              <w:t>First election claims (10 per cent permanent hearing loss)</w:t>
            </w:r>
          </w:p>
        </w:tc>
        <w:tc>
          <w:tcPr>
            <w:tcW w:w="2694" w:type="dxa"/>
            <w:shd w:val="clear" w:color="auto" w:fill="auto"/>
            <w:tcMar>
              <w:top w:w="113" w:type="dxa"/>
              <w:left w:w="113" w:type="dxa"/>
              <w:bottom w:w="113" w:type="dxa"/>
              <w:right w:w="113" w:type="dxa"/>
            </w:tcMar>
          </w:tcPr>
          <w:p w14:paraId="64B02FC2" w14:textId="77777777" w:rsidR="0086154B" w:rsidRPr="00F40582" w:rsidRDefault="0086154B" w:rsidP="0086154B">
            <w:pPr>
              <w:rPr>
                <w:lang w:val="en-GB" w:eastAsia="en-AU"/>
              </w:rPr>
            </w:pPr>
            <w:r w:rsidRPr="00F40582">
              <w:t>114</w:t>
            </w:r>
          </w:p>
        </w:tc>
      </w:tr>
      <w:tr w:rsidR="0086154B" w:rsidRPr="0086154B" w14:paraId="0BB21E2D" w14:textId="77777777" w:rsidTr="00EA2534">
        <w:trPr>
          <w:trHeight w:val="60"/>
        </w:trPr>
        <w:tc>
          <w:tcPr>
            <w:tcW w:w="6237" w:type="dxa"/>
            <w:shd w:val="clear" w:color="auto" w:fill="D4E2E0" w:themeFill="accent5"/>
            <w:tcMar>
              <w:top w:w="113" w:type="dxa"/>
              <w:left w:w="113" w:type="dxa"/>
              <w:bottom w:w="113" w:type="dxa"/>
              <w:right w:w="113" w:type="dxa"/>
            </w:tcMar>
            <w:vAlign w:val="center"/>
          </w:tcPr>
          <w:p w14:paraId="6529EF2C" w14:textId="32C2932A" w:rsidR="0086154B" w:rsidRPr="0086154B" w:rsidRDefault="0086154B" w:rsidP="0086154B">
            <w:pPr>
              <w:rPr>
                <w:lang w:val="en-GB" w:eastAsia="en-AU"/>
              </w:rPr>
            </w:pPr>
            <w:r w:rsidRPr="0086154B">
              <w:rPr>
                <w:lang w:val="en-GB" w:eastAsia="en-AU"/>
              </w:rPr>
              <w:t>Subseque</w:t>
            </w:r>
            <w:r w:rsidR="00292C9D">
              <w:rPr>
                <w:lang w:val="en-GB" w:eastAsia="en-AU"/>
              </w:rPr>
              <w:t>nt election claims (additional five</w:t>
            </w:r>
            <w:r w:rsidRPr="0086154B">
              <w:rPr>
                <w:lang w:val="en-GB" w:eastAsia="en-AU"/>
              </w:rPr>
              <w:t xml:space="preserve"> per cent permanent hearing loss)</w:t>
            </w:r>
          </w:p>
        </w:tc>
        <w:tc>
          <w:tcPr>
            <w:tcW w:w="2694" w:type="dxa"/>
            <w:shd w:val="clear" w:color="auto" w:fill="auto"/>
            <w:tcMar>
              <w:top w:w="113" w:type="dxa"/>
              <w:left w:w="113" w:type="dxa"/>
              <w:bottom w:w="113" w:type="dxa"/>
              <w:right w:w="113" w:type="dxa"/>
            </w:tcMar>
          </w:tcPr>
          <w:p w14:paraId="14C95AEE" w14:textId="77777777" w:rsidR="0086154B" w:rsidRPr="00F40582" w:rsidRDefault="0086154B" w:rsidP="0086154B">
            <w:pPr>
              <w:rPr>
                <w:lang w:val="en-GB" w:eastAsia="en-AU"/>
              </w:rPr>
            </w:pPr>
            <w:r w:rsidRPr="00F40582">
              <w:t>15</w:t>
            </w:r>
          </w:p>
        </w:tc>
      </w:tr>
    </w:tbl>
    <w:p w14:paraId="671D1282" w14:textId="15A4B191" w:rsidR="00E22526" w:rsidRDefault="00E22526">
      <w:pPr>
        <w:keepLines w:val="0"/>
        <w:spacing w:after="0" w:line="240" w:lineRule="auto"/>
        <w:rPr>
          <w:rFonts w:eastAsiaTheme="majorEastAsia" w:cs="Arial"/>
          <w:b/>
          <w:bCs/>
          <w:color w:val="86731E" w:themeColor="text1"/>
          <w:kern w:val="32"/>
          <w:sz w:val="36"/>
          <w:lang w:val="en-US"/>
        </w:rPr>
      </w:pPr>
      <w:bookmarkStart w:id="228" w:name="_Toc426617476"/>
      <w:r>
        <w:rPr>
          <w:lang w:val="en-US"/>
        </w:rPr>
        <w:br w:type="page"/>
      </w:r>
    </w:p>
    <w:p w14:paraId="0EAB0CD0" w14:textId="6235E43F" w:rsidR="00BC34ED" w:rsidRDefault="00BC34ED" w:rsidP="00C3455B">
      <w:pPr>
        <w:pStyle w:val="Heading1nonumber"/>
        <w:rPr>
          <w:lang w:val="en-US"/>
        </w:rPr>
      </w:pPr>
      <w:bookmarkStart w:id="229" w:name="_Toc430091201"/>
      <w:r w:rsidRPr="00BC34ED">
        <w:rPr>
          <w:lang w:val="en-US"/>
        </w:rPr>
        <w:lastRenderedPageBreak/>
        <w:t xml:space="preserve">Regulating </w:t>
      </w:r>
      <w:r w:rsidR="00854400">
        <w:rPr>
          <w:lang w:val="en-US"/>
        </w:rPr>
        <w:t>s</w:t>
      </w:r>
      <w:r w:rsidRPr="00BC34ED">
        <w:rPr>
          <w:lang w:val="en-US"/>
        </w:rPr>
        <w:t xml:space="preserve">ervice </w:t>
      </w:r>
      <w:r w:rsidR="00854400">
        <w:rPr>
          <w:lang w:val="en-US"/>
        </w:rPr>
        <w:t>p</w:t>
      </w:r>
      <w:r w:rsidRPr="00BC34ED">
        <w:rPr>
          <w:lang w:val="en-US"/>
        </w:rPr>
        <w:t>roviders</w:t>
      </w:r>
      <w:bookmarkEnd w:id="210"/>
      <w:bookmarkEnd w:id="228"/>
      <w:bookmarkEnd w:id="229"/>
    </w:p>
    <w:tbl>
      <w:tblPr>
        <w:tblW w:w="9162" w:type="dxa"/>
        <w:tblInd w:w="-10" w:type="dxa"/>
        <w:tblBorders>
          <w:top w:val="single" w:sz="8" w:space="0" w:color="897719" w:themeColor="accent3"/>
          <w:left w:val="single" w:sz="8" w:space="0" w:color="897719" w:themeColor="accent3"/>
          <w:bottom w:val="single" w:sz="8" w:space="0" w:color="897719" w:themeColor="accent3"/>
          <w:right w:val="single" w:sz="8" w:space="0" w:color="897719" w:themeColor="accent3"/>
          <w:insideH w:val="single" w:sz="8" w:space="0" w:color="897719" w:themeColor="accent3"/>
          <w:insideV w:val="single" w:sz="8" w:space="0" w:color="897719" w:themeColor="accent3"/>
        </w:tblBorders>
        <w:tblLayout w:type="fixed"/>
        <w:tblCellMar>
          <w:left w:w="0" w:type="dxa"/>
          <w:right w:w="0" w:type="dxa"/>
        </w:tblCellMar>
        <w:tblLook w:val="0000" w:firstRow="0" w:lastRow="0" w:firstColumn="0" w:lastColumn="0" w:noHBand="0" w:noVBand="0"/>
      </w:tblPr>
      <w:tblGrid>
        <w:gridCol w:w="2307"/>
        <w:gridCol w:w="2745"/>
        <w:gridCol w:w="4110"/>
      </w:tblGrid>
      <w:tr w:rsidR="00794A0D" w:rsidRPr="00630BE0" w14:paraId="78880F1B" w14:textId="77777777" w:rsidTr="009233BD">
        <w:trPr>
          <w:trHeight w:val="60"/>
        </w:trPr>
        <w:tc>
          <w:tcPr>
            <w:tcW w:w="2307" w:type="dxa"/>
            <w:vMerge w:val="restart"/>
            <w:tcBorders>
              <w:right w:val="single" w:sz="8" w:space="0" w:color="F5EDC1" w:themeColor="accent4"/>
            </w:tcBorders>
            <w:shd w:val="clear" w:color="auto" w:fill="86731E" w:themeFill="text1"/>
            <w:tcMar>
              <w:top w:w="113" w:type="dxa"/>
              <w:left w:w="80" w:type="dxa"/>
              <w:bottom w:w="113" w:type="dxa"/>
              <w:right w:w="80" w:type="dxa"/>
            </w:tcMar>
          </w:tcPr>
          <w:p w14:paraId="53172DDA" w14:textId="77777777" w:rsidR="00794A0D" w:rsidRPr="00630BE0" w:rsidRDefault="00794A0D" w:rsidP="00C55EBB">
            <w:pPr>
              <w:rPr>
                <w:rStyle w:val="Strong"/>
              </w:rPr>
            </w:pPr>
            <w:r w:rsidRPr="00630BE0">
              <w:rPr>
                <w:rStyle w:val="Strong"/>
              </w:rPr>
              <w:t>This scheme service contributes to, and is aligned with:</w:t>
            </w:r>
          </w:p>
        </w:tc>
        <w:tc>
          <w:tcPr>
            <w:tcW w:w="2745" w:type="dxa"/>
            <w:tcBorders>
              <w:left w:val="single" w:sz="8" w:space="0" w:color="F5EDC1" w:themeColor="accent4"/>
            </w:tcBorders>
            <w:shd w:val="clear" w:color="auto" w:fill="86731E" w:themeFill="text1"/>
            <w:tcMar>
              <w:top w:w="113" w:type="dxa"/>
              <w:left w:w="80" w:type="dxa"/>
              <w:bottom w:w="113" w:type="dxa"/>
              <w:right w:w="80" w:type="dxa"/>
            </w:tcMar>
          </w:tcPr>
          <w:p w14:paraId="3B46D711" w14:textId="77777777" w:rsidR="00794A0D" w:rsidRPr="00630BE0" w:rsidRDefault="00794A0D" w:rsidP="00C55EBB">
            <w:pPr>
              <w:rPr>
                <w:rStyle w:val="Strong"/>
              </w:rPr>
            </w:pPr>
            <w:r w:rsidRPr="00630BE0">
              <w:rPr>
                <w:rStyle w:val="Strong"/>
              </w:rPr>
              <w:t>Government Goal(s)</w:t>
            </w:r>
          </w:p>
        </w:tc>
        <w:tc>
          <w:tcPr>
            <w:tcW w:w="4110" w:type="dxa"/>
            <w:shd w:val="clear" w:color="auto" w:fill="86731E" w:themeFill="text1"/>
            <w:tcMar>
              <w:top w:w="113" w:type="dxa"/>
              <w:left w:w="80" w:type="dxa"/>
              <w:bottom w:w="113" w:type="dxa"/>
              <w:right w:w="80" w:type="dxa"/>
            </w:tcMar>
          </w:tcPr>
          <w:p w14:paraId="27B57CF8" w14:textId="68D2CD23" w:rsidR="00794A0D" w:rsidRPr="00630BE0" w:rsidRDefault="00C726B0" w:rsidP="00C55EBB">
            <w:pPr>
              <w:rPr>
                <w:rStyle w:val="Strong"/>
              </w:rPr>
            </w:pPr>
            <w:r>
              <w:rPr>
                <w:rStyle w:val="Strong"/>
              </w:rPr>
              <w:t>WorkCover WA</w:t>
            </w:r>
            <w:r w:rsidR="00277825" w:rsidRPr="00630BE0">
              <w:rPr>
                <w:rStyle w:val="Strong"/>
              </w:rPr>
              <w:t xml:space="preserve"> Strategic Goal</w:t>
            </w:r>
          </w:p>
        </w:tc>
      </w:tr>
      <w:tr w:rsidR="00794A0D" w:rsidRPr="005D768A" w14:paraId="495FA97F" w14:textId="77777777" w:rsidTr="004939DB">
        <w:trPr>
          <w:trHeight w:val="825"/>
        </w:trPr>
        <w:tc>
          <w:tcPr>
            <w:tcW w:w="2307" w:type="dxa"/>
            <w:vMerge/>
            <w:tcBorders>
              <w:right w:val="single" w:sz="8" w:space="0" w:color="F5EDC1" w:themeColor="accent4"/>
            </w:tcBorders>
          </w:tcPr>
          <w:p w14:paraId="16B876EC" w14:textId="77777777" w:rsidR="00794A0D" w:rsidRPr="005D768A" w:rsidRDefault="00794A0D" w:rsidP="00C55EBB">
            <w:pPr>
              <w:rPr>
                <w:lang w:eastAsia="en-AU"/>
              </w:rPr>
            </w:pPr>
          </w:p>
        </w:tc>
        <w:tc>
          <w:tcPr>
            <w:tcW w:w="2745" w:type="dxa"/>
            <w:tcBorders>
              <w:left w:val="single" w:sz="8" w:space="0" w:color="F5EDC1" w:themeColor="accent4"/>
            </w:tcBorders>
            <w:tcMar>
              <w:top w:w="113" w:type="dxa"/>
              <w:left w:w="80" w:type="dxa"/>
              <w:bottom w:w="113" w:type="dxa"/>
              <w:right w:w="80" w:type="dxa"/>
            </w:tcMar>
          </w:tcPr>
          <w:p w14:paraId="3DB6F5CE" w14:textId="77777777" w:rsidR="00794A0D" w:rsidRPr="00D33206" w:rsidRDefault="00794A0D" w:rsidP="00B0390D">
            <w:pPr>
              <w:rPr>
                <w:rStyle w:val="Strong"/>
              </w:rPr>
            </w:pPr>
            <w:r w:rsidRPr="00D33206">
              <w:rPr>
                <w:rStyle w:val="Strong"/>
              </w:rPr>
              <w:t>3</w:t>
            </w:r>
            <w:r w:rsidR="00B0390D" w:rsidRPr="00D33206">
              <w:rPr>
                <w:rStyle w:val="Strong"/>
              </w:rPr>
              <w:t xml:space="preserve"> – Results-Based  Service</w:t>
            </w:r>
            <w:r w:rsidR="00D33206" w:rsidRPr="00D33206">
              <w:rPr>
                <w:rStyle w:val="Strong"/>
              </w:rPr>
              <w:t xml:space="preserve"> Delivery</w:t>
            </w:r>
          </w:p>
          <w:p w14:paraId="2F00B0E9" w14:textId="15444864" w:rsidR="00B0390D" w:rsidRPr="004939DB" w:rsidRDefault="00F44ADB" w:rsidP="00B0390D">
            <w:pPr>
              <w:rPr>
                <w:rStyle w:val="Strong"/>
              </w:rPr>
            </w:pPr>
            <w:r>
              <w:rPr>
                <w:rStyle w:val="Strong"/>
              </w:rPr>
              <w:t xml:space="preserve">(&amp; </w:t>
            </w:r>
            <w:r w:rsidR="00B0390D" w:rsidRPr="004939DB">
              <w:rPr>
                <w:rStyle w:val="Strong"/>
              </w:rPr>
              <w:t>5 – Social and environmental responsibility</w:t>
            </w:r>
            <w:r>
              <w:rPr>
                <w:rStyle w:val="Strong"/>
              </w:rPr>
              <w:t>)</w:t>
            </w:r>
          </w:p>
        </w:tc>
        <w:tc>
          <w:tcPr>
            <w:tcW w:w="4110" w:type="dxa"/>
            <w:tcMar>
              <w:top w:w="113" w:type="dxa"/>
              <w:left w:w="80" w:type="dxa"/>
              <w:bottom w:w="113" w:type="dxa"/>
              <w:right w:w="80" w:type="dxa"/>
            </w:tcMar>
          </w:tcPr>
          <w:p w14:paraId="488FA2A7" w14:textId="77777777" w:rsidR="00794A0D" w:rsidRPr="004939DB" w:rsidRDefault="004939DB" w:rsidP="00C55EBB">
            <w:pPr>
              <w:rPr>
                <w:rStyle w:val="Strong"/>
              </w:rPr>
            </w:pPr>
            <w:r w:rsidRPr="004939DB">
              <w:rPr>
                <w:rStyle w:val="Strong"/>
              </w:rPr>
              <w:t xml:space="preserve">3 – Regulatory compliance </w:t>
            </w:r>
          </w:p>
        </w:tc>
      </w:tr>
    </w:tbl>
    <w:p w14:paraId="75F65C41" w14:textId="77777777" w:rsidR="00D22071" w:rsidRDefault="00D22071" w:rsidP="00D22071">
      <w:pPr>
        <w:rPr>
          <w:lang w:val="en-US"/>
        </w:rPr>
      </w:pPr>
    </w:p>
    <w:p w14:paraId="52559BA2" w14:textId="402894BB" w:rsidR="001534EE" w:rsidRDefault="003E0D1B" w:rsidP="005B0333">
      <w:pPr>
        <w:spacing w:after="0"/>
      </w:pPr>
      <w:r w:rsidRPr="003E0D1B">
        <w:rPr>
          <w:lang w:val="en-US"/>
        </w:rPr>
        <w:t>WorkCover WA continued to approve and monitor service providers in 2014/15 to ensure compliance with the Act and the delivery of appropriate standards of service. Monitored service providers include approved insurers, s</w:t>
      </w:r>
      <w:r w:rsidR="00C725A6">
        <w:rPr>
          <w:lang w:val="en-US"/>
        </w:rPr>
        <w:t>elf-insurers, registered agents,</w:t>
      </w:r>
      <w:r w:rsidRPr="003E0D1B">
        <w:rPr>
          <w:lang w:val="en-US"/>
        </w:rPr>
        <w:t xml:space="preserve"> workplace rehabilitation providers</w:t>
      </w:r>
      <w:r w:rsidR="00EC0FED">
        <w:rPr>
          <w:lang w:val="en-US"/>
        </w:rPr>
        <w:t xml:space="preserve"> (WRP’s)</w:t>
      </w:r>
      <w:r w:rsidRPr="003E0D1B">
        <w:rPr>
          <w:lang w:val="en-US"/>
        </w:rPr>
        <w:t xml:space="preserve">, </w:t>
      </w:r>
      <w:r w:rsidR="00B87212">
        <w:rPr>
          <w:lang w:val="en-US"/>
        </w:rPr>
        <w:t>Approved Medical Specialist</w:t>
      </w:r>
      <w:r w:rsidR="00EC0FED">
        <w:rPr>
          <w:lang w:val="en-US"/>
        </w:rPr>
        <w:t>s</w:t>
      </w:r>
      <w:r w:rsidR="00B26741">
        <w:rPr>
          <w:lang w:val="en-US"/>
        </w:rPr>
        <w:t xml:space="preserve"> (AMS)</w:t>
      </w:r>
      <w:r>
        <w:rPr>
          <w:lang w:val="en-US"/>
        </w:rPr>
        <w:t xml:space="preserve">, </w:t>
      </w:r>
      <w:r w:rsidRPr="003E0D1B">
        <w:t>audiometric officers and audiologists.</w:t>
      </w:r>
    </w:p>
    <w:p w14:paraId="7720D572" w14:textId="77777777" w:rsidR="001534EE" w:rsidRDefault="001534EE" w:rsidP="005B0333">
      <w:pPr>
        <w:spacing w:after="0"/>
      </w:pPr>
    </w:p>
    <w:p w14:paraId="733C5242" w14:textId="22FC2C73" w:rsidR="005B0333" w:rsidRPr="003E0D1B" w:rsidRDefault="001534EE" w:rsidP="005B0333">
      <w:pPr>
        <w:spacing w:after="0"/>
      </w:pPr>
      <w:r>
        <w:t>Regulatory activities regarding service providers in 2014/15 included:</w:t>
      </w:r>
      <w:r w:rsidR="00686F40">
        <w:rPr>
          <w:lang w:val="en-US"/>
        </w:rPr>
        <w:br/>
      </w:r>
    </w:p>
    <w:p w14:paraId="6C2CA7CF" w14:textId="5B38BAAA" w:rsidR="00D22071" w:rsidRPr="00870467" w:rsidRDefault="00D22071" w:rsidP="00870467">
      <w:pPr>
        <w:pStyle w:val="BulletListLevel1"/>
      </w:pPr>
      <w:r w:rsidRPr="00870467">
        <w:t xml:space="preserve">approval, monitoring and renewal of service providers </w:t>
      </w:r>
      <w:r w:rsidR="00EC0FED" w:rsidRPr="00F61975">
        <w:t>(T</w:t>
      </w:r>
      <w:r w:rsidRPr="00F61975">
        <w:t xml:space="preserve">able </w:t>
      </w:r>
      <w:r w:rsidR="00EE4ECC" w:rsidRPr="00F61975">
        <w:t>2</w:t>
      </w:r>
      <w:r w:rsidR="00FA4EF1" w:rsidRPr="00F61975">
        <w:t>3</w:t>
      </w:r>
      <w:r w:rsidRPr="00F61975">
        <w:t>)</w:t>
      </w:r>
    </w:p>
    <w:p w14:paraId="082E9787" w14:textId="77777777" w:rsidR="00D22071" w:rsidRPr="00870467" w:rsidRDefault="00E24E5D" w:rsidP="00870467">
      <w:pPr>
        <w:pStyle w:val="BulletListLevel1"/>
      </w:pPr>
      <w:r w:rsidRPr="00870467">
        <w:t>annual review</w:t>
      </w:r>
      <w:r w:rsidR="009E2B4D" w:rsidRPr="00870467">
        <w:t>s</w:t>
      </w:r>
      <w:r w:rsidR="00D22071" w:rsidRPr="00870467">
        <w:t xml:space="preserve"> of approved insurers and self-insurers</w:t>
      </w:r>
    </w:p>
    <w:p w14:paraId="6BB472E9" w14:textId="081FB4FF" w:rsidR="00BE4807" w:rsidRPr="00870467" w:rsidRDefault="00BE4807" w:rsidP="00870467">
      <w:pPr>
        <w:pStyle w:val="BulletListLevel1"/>
      </w:pPr>
      <w:r w:rsidRPr="00870467">
        <w:t xml:space="preserve">audits of service </w:t>
      </w:r>
      <w:r w:rsidR="002F7770">
        <w:t>provider performance including w</w:t>
      </w:r>
      <w:r w:rsidR="0026669B" w:rsidRPr="00870467">
        <w:t xml:space="preserve">orkplace </w:t>
      </w:r>
      <w:r w:rsidR="002F7770">
        <w:t>r</w:t>
      </w:r>
      <w:r w:rsidR="009A45A4" w:rsidRPr="00870467">
        <w:t xml:space="preserve">ehabilitation </w:t>
      </w:r>
      <w:r w:rsidR="002F7770">
        <w:t>p</w:t>
      </w:r>
      <w:r w:rsidR="009A45A4" w:rsidRPr="00870467">
        <w:t>roviders (WRPs)</w:t>
      </w:r>
      <w:r w:rsidRPr="00870467">
        <w:t xml:space="preserve"> quality assurance checks based on Agency data and other intelligence </w:t>
      </w:r>
    </w:p>
    <w:p w14:paraId="7E77DC19" w14:textId="7C818DE7" w:rsidR="00D22071" w:rsidRPr="00870467" w:rsidRDefault="00E24E5D" w:rsidP="00870467">
      <w:pPr>
        <w:pStyle w:val="BulletListLevel1"/>
      </w:pPr>
      <w:r w:rsidRPr="00870467">
        <w:t>investigation of</w:t>
      </w:r>
      <w:r w:rsidR="00D22071" w:rsidRPr="00870467">
        <w:t xml:space="preserve"> complaints against service providers </w:t>
      </w:r>
      <w:r w:rsidR="00EC0FED" w:rsidRPr="00F61975">
        <w:t>(T</w:t>
      </w:r>
      <w:r w:rsidR="00EE4ECC" w:rsidRPr="00F61975">
        <w:t>able 2</w:t>
      </w:r>
      <w:r w:rsidR="00FA4EF1" w:rsidRPr="00F61975">
        <w:t>4</w:t>
      </w:r>
      <w:r w:rsidR="00D22071" w:rsidRPr="00F61975">
        <w:t>)</w:t>
      </w:r>
    </w:p>
    <w:p w14:paraId="5743A4EA" w14:textId="77777777" w:rsidR="00D22071" w:rsidRPr="00870467" w:rsidRDefault="00D22071" w:rsidP="00870467">
      <w:pPr>
        <w:pStyle w:val="BulletListLevel1"/>
      </w:pPr>
      <w:r w:rsidRPr="00870467">
        <w:t>provision of assistance and guidance to all stakeholders, including service providers and employers</w:t>
      </w:r>
    </w:p>
    <w:p w14:paraId="6A868539" w14:textId="383C16C4" w:rsidR="00D06559" w:rsidRPr="00870467" w:rsidRDefault="00D22071" w:rsidP="00870467">
      <w:pPr>
        <w:pStyle w:val="BulletListLevel1"/>
      </w:pPr>
      <w:r w:rsidRPr="00870467">
        <w:t>provision of training and workshops to service providers and other groups</w:t>
      </w:r>
    </w:p>
    <w:p w14:paraId="514EA256" w14:textId="293B4A35" w:rsidR="00EA2534" w:rsidRDefault="003256DE" w:rsidP="00870467">
      <w:pPr>
        <w:pStyle w:val="BulletListLevel1"/>
      </w:pPr>
      <w:r>
        <w:t>p</w:t>
      </w:r>
      <w:r w:rsidR="002A2418" w:rsidRPr="00870467">
        <w:t>eer review of service providers</w:t>
      </w:r>
      <w:r>
        <w:t>.</w:t>
      </w:r>
    </w:p>
    <w:p w14:paraId="42E5EB7F" w14:textId="2AF2FBA1" w:rsidR="00D06559" w:rsidRPr="00EA2534" w:rsidRDefault="00EA2534" w:rsidP="00EA2534">
      <w:pPr>
        <w:keepLines w:val="0"/>
        <w:spacing w:after="0" w:line="240" w:lineRule="auto"/>
        <w:rPr>
          <w:rFonts w:eastAsiaTheme="minorHAnsi" w:cs="Arial"/>
          <w:bCs/>
        </w:rPr>
      </w:pPr>
      <w:r>
        <w:br w:type="page"/>
      </w:r>
    </w:p>
    <w:tbl>
      <w:tblPr>
        <w:tblW w:w="8056"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Caption w:val="Table 23 Approval of service providers"/>
        <w:tblDescription w:val="Table 23 details the number of approvals for different types of service providers"/>
      </w:tblPr>
      <w:tblGrid>
        <w:gridCol w:w="3237"/>
        <w:gridCol w:w="1417"/>
        <w:gridCol w:w="1560"/>
        <w:gridCol w:w="1842"/>
      </w:tblGrid>
      <w:tr w:rsidR="004F6320" w:rsidRPr="00282C3F" w14:paraId="086FCB10" w14:textId="77777777" w:rsidTr="005B0333">
        <w:trPr>
          <w:trHeight w:val="60"/>
          <w:tblHeader/>
        </w:trPr>
        <w:tc>
          <w:tcPr>
            <w:tcW w:w="8056" w:type="dxa"/>
            <w:gridSpan w:val="4"/>
            <w:shd w:val="clear" w:color="auto" w:fill="2D4541" w:themeFill="accent2"/>
            <w:tcMar>
              <w:top w:w="113" w:type="dxa"/>
              <w:left w:w="113" w:type="dxa"/>
              <w:bottom w:w="113" w:type="dxa"/>
              <w:right w:w="113" w:type="dxa"/>
            </w:tcMar>
            <w:vAlign w:val="center"/>
          </w:tcPr>
          <w:p w14:paraId="50B69B47" w14:textId="04BBC192" w:rsidR="004F6320" w:rsidRPr="004F6320" w:rsidRDefault="00D81DD8" w:rsidP="009E75E3">
            <w:pPr>
              <w:rPr>
                <w:rStyle w:val="Strong"/>
                <w:color w:val="FFFFFF" w:themeColor="background1"/>
              </w:rPr>
            </w:pPr>
            <w:r>
              <w:rPr>
                <w:rStyle w:val="Strong"/>
                <w:color w:val="FFFFFF" w:themeColor="background1"/>
              </w:rPr>
              <w:lastRenderedPageBreak/>
              <w:t>Table 2</w:t>
            </w:r>
            <w:r w:rsidR="009E75E3">
              <w:rPr>
                <w:rStyle w:val="Strong"/>
                <w:color w:val="FFFFFF" w:themeColor="background1"/>
              </w:rPr>
              <w:t>3</w:t>
            </w:r>
            <w:r w:rsidR="004F6320" w:rsidRPr="004F6320">
              <w:rPr>
                <w:rStyle w:val="Strong"/>
                <w:color w:val="FFFFFF" w:themeColor="background1"/>
              </w:rPr>
              <w:t>: Approval of service providers</w:t>
            </w:r>
          </w:p>
        </w:tc>
      </w:tr>
      <w:tr w:rsidR="00D35AC6" w:rsidRPr="00282C3F" w14:paraId="0EDBE1F3" w14:textId="77777777" w:rsidTr="00B07B8A">
        <w:trPr>
          <w:trHeight w:val="1065"/>
        </w:trPr>
        <w:tc>
          <w:tcPr>
            <w:tcW w:w="3237" w:type="dxa"/>
            <w:shd w:val="clear" w:color="auto" w:fill="CEDFDC" w:themeFill="accent2" w:themeFillTint="33"/>
            <w:tcMar>
              <w:top w:w="113" w:type="dxa"/>
              <w:left w:w="113" w:type="dxa"/>
              <w:bottom w:w="113" w:type="dxa"/>
              <w:right w:w="113" w:type="dxa"/>
            </w:tcMar>
            <w:vAlign w:val="center"/>
          </w:tcPr>
          <w:p w14:paraId="43CDD73D" w14:textId="77777777" w:rsidR="00D35AC6" w:rsidRPr="0021538F" w:rsidRDefault="00D35AC6" w:rsidP="00DC7C1A">
            <w:pPr>
              <w:rPr>
                <w:rStyle w:val="Strong"/>
              </w:rPr>
            </w:pPr>
            <w:r w:rsidRPr="0021538F">
              <w:rPr>
                <w:rStyle w:val="Strong"/>
              </w:rPr>
              <w:t>Type of service provider</w:t>
            </w:r>
          </w:p>
        </w:tc>
        <w:tc>
          <w:tcPr>
            <w:tcW w:w="1417" w:type="dxa"/>
            <w:shd w:val="clear" w:color="auto" w:fill="CEDFDC" w:themeFill="accent2" w:themeFillTint="33"/>
            <w:tcMar>
              <w:top w:w="113" w:type="dxa"/>
              <w:left w:w="113" w:type="dxa"/>
              <w:bottom w:w="113" w:type="dxa"/>
              <w:right w:w="113" w:type="dxa"/>
            </w:tcMar>
            <w:vAlign w:val="center"/>
          </w:tcPr>
          <w:p w14:paraId="4AC7225D" w14:textId="77777777" w:rsidR="00D35AC6" w:rsidRPr="0021538F" w:rsidRDefault="005B0333" w:rsidP="00DC7C1A">
            <w:pPr>
              <w:rPr>
                <w:rStyle w:val="Strong"/>
              </w:rPr>
            </w:pPr>
            <w:r>
              <w:rPr>
                <w:rStyle w:val="Strong"/>
              </w:rPr>
              <w:t>Approvals in 2013/14</w:t>
            </w:r>
          </w:p>
        </w:tc>
        <w:tc>
          <w:tcPr>
            <w:tcW w:w="1560" w:type="dxa"/>
            <w:shd w:val="clear" w:color="auto" w:fill="CEDFDC" w:themeFill="accent2" w:themeFillTint="33"/>
            <w:tcMar>
              <w:top w:w="113" w:type="dxa"/>
              <w:left w:w="113" w:type="dxa"/>
              <w:bottom w:w="113" w:type="dxa"/>
              <w:right w:w="113" w:type="dxa"/>
            </w:tcMar>
            <w:vAlign w:val="center"/>
          </w:tcPr>
          <w:p w14:paraId="547E3681" w14:textId="77777777" w:rsidR="00D35AC6" w:rsidRPr="0021538F" w:rsidRDefault="005B0333" w:rsidP="00DC7C1A">
            <w:pPr>
              <w:rPr>
                <w:rStyle w:val="Strong"/>
              </w:rPr>
            </w:pPr>
            <w:r>
              <w:rPr>
                <w:rStyle w:val="Strong"/>
              </w:rPr>
              <w:t>Approvals in 2014/15</w:t>
            </w:r>
          </w:p>
        </w:tc>
        <w:tc>
          <w:tcPr>
            <w:tcW w:w="1842" w:type="dxa"/>
            <w:shd w:val="clear" w:color="auto" w:fill="CEDFDC" w:themeFill="accent2" w:themeFillTint="33"/>
          </w:tcPr>
          <w:p w14:paraId="08FDE236" w14:textId="77777777" w:rsidR="00D35AC6" w:rsidRPr="0021538F" w:rsidRDefault="005B0333" w:rsidP="00DC7C1A">
            <w:pPr>
              <w:rPr>
                <w:rStyle w:val="Strong"/>
              </w:rPr>
            </w:pPr>
            <w:r>
              <w:rPr>
                <w:rStyle w:val="Strong"/>
              </w:rPr>
              <w:t>Total at</w:t>
            </w:r>
            <w:r>
              <w:rPr>
                <w:rStyle w:val="Strong"/>
              </w:rPr>
              <w:br/>
              <w:t>30 June 2015</w:t>
            </w:r>
          </w:p>
        </w:tc>
      </w:tr>
      <w:tr w:rsidR="005B0333" w:rsidRPr="007D36AA" w14:paraId="08B5B228" w14:textId="77777777" w:rsidTr="00B07B8A">
        <w:trPr>
          <w:trHeight w:val="60"/>
        </w:trPr>
        <w:tc>
          <w:tcPr>
            <w:tcW w:w="3237" w:type="dxa"/>
            <w:shd w:val="clear" w:color="auto" w:fill="D4E2E0" w:themeFill="accent5"/>
            <w:tcMar>
              <w:top w:w="113" w:type="dxa"/>
              <w:left w:w="113" w:type="dxa"/>
              <w:bottom w:w="113" w:type="dxa"/>
              <w:right w:w="113" w:type="dxa"/>
            </w:tcMar>
          </w:tcPr>
          <w:p w14:paraId="2477E0D3" w14:textId="77777777" w:rsidR="005B0333" w:rsidRPr="007D36AA" w:rsidRDefault="005B0333" w:rsidP="00DC7C1A">
            <w:pPr>
              <w:rPr>
                <w:color w:val="000000"/>
                <w:lang w:val="en-GB" w:eastAsia="en-AU"/>
              </w:rPr>
            </w:pPr>
            <w:r w:rsidRPr="007D36AA">
              <w:rPr>
                <w:color w:val="000000"/>
                <w:lang w:val="en-GB" w:eastAsia="en-AU"/>
              </w:rPr>
              <w:t>Approved insurers</w:t>
            </w:r>
          </w:p>
        </w:tc>
        <w:tc>
          <w:tcPr>
            <w:tcW w:w="1417" w:type="dxa"/>
            <w:shd w:val="clear" w:color="auto" w:fill="FFFFFF" w:themeFill="background2"/>
            <w:tcMar>
              <w:top w:w="113" w:type="dxa"/>
              <w:left w:w="113" w:type="dxa"/>
              <w:bottom w:w="113" w:type="dxa"/>
              <w:right w:w="113" w:type="dxa"/>
            </w:tcMar>
          </w:tcPr>
          <w:p w14:paraId="25F8C550" w14:textId="77777777" w:rsidR="005B0333" w:rsidRPr="00DE461B" w:rsidRDefault="005B0333" w:rsidP="006E1D4D">
            <w:pPr>
              <w:rPr>
                <w:lang w:val="en-GB" w:eastAsia="en-AU"/>
              </w:rPr>
            </w:pPr>
            <w:r w:rsidRPr="00DE461B">
              <w:rPr>
                <w:lang w:val="en-GB" w:eastAsia="en-AU"/>
              </w:rPr>
              <w:t>1</w:t>
            </w:r>
          </w:p>
        </w:tc>
        <w:tc>
          <w:tcPr>
            <w:tcW w:w="1560" w:type="dxa"/>
            <w:tcMar>
              <w:top w:w="113" w:type="dxa"/>
              <w:left w:w="113" w:type="dxa"/>
              <w:bottom w:w="113" w:type="dxa"/>
              <w:right w:w="113" w:type="dxa"/>
            </w:tcMar>
          </w:tcPr>
          <w:p w14:paraId="53B64C8D" w14:textId="5BD7DCA9" w:rsidR="005B0333" w:rsidRPr="00DE461B" w:rsidRDefault="00DE461B" w:rsidP="00B07B8A">
            <w:pPr>
              <w:rPr>
                <w:lang w:val="en-GB" w:eastAsia="en-AU"/>
              </w:rPr>
            </w:pPr>
            <w:r w:rsidRPr="00DE461B">
              <w:rPr>
                <w:lang w:val="en-GB" w:eastAsia="en-AU"/>
              </w:rPr>
              <w:t>0</w:t>
            </w:r>
          </w:p>
        </w:tc>
        <w:tc>
          <w:tcPr>
            <w:tcW w:w="1842" w:type="dxa"/>
          </w:tcPr>
          <w:p w14:paraId="13A3A9CC" w14:textId="43A060E7" w:rsidR="005B0333" w:rsidRPr="00DE461B" w:rsidRDefault="00DE461B" w:rsidP="00B07B8A">
            <w:pPr>
              <w:rPr>
                <w:lang w:val="en-GB" w:eastAsia="en-AU"/>
              </w:rPr>
            </w:pPr>
            <w:r w:rsidRPr="00DE461B">
              <w:rPr>
                <w:lang w:val="en-GB" w:eastAsia="en-AU"/>
              </w:rPr>
              <w:t>9</w:t>
            </w:r>
          </w:p>
        </w:tc>
      </w:tr>
      <w:tr w:rsidR="005661B6" w:rsidRPr="007D36AA" w14:paraId="6F1D7AE2" w14:textId="77777777" w:rsidTr="00B07B8A">
        <w:trPr>
          <w:trHeight w:val="60"/>
        </w:trPr>
        <w:tc>
          <w:tcPr>
            <w:tcW w:w="3237" w:type="dxa"/>
            <w:shd w:val="clear" w:color="auto" w:fill="D4E2E0" w:themeFill="accent5"/>
            <w:tcMar>
              <w:top w:w="113" w:type="dxa"/>
              <w:left w:w="113" w:type="dxa"/>
              <w:bottom w:w="113" w:type="dxa"/>
              <w:right w:w="113" w:type="dxa"/>
            </w:tcMar>
          </w:tcPr>
          <w:p w14:paraId="3D80611A" w14:textId="77777777" w:rsidR="005661B6" w:rsidRPr="007D36AA" w:rsidRDefault="005661B6" w:rsidP="005661B6">
            <w:pPr>
              <w:rPr>
                <w:color w:val="000000"/>
                <w:lang w:val="en-GB" w:eastAsia="en-AU"/>
              </w:rPr>
            </w:pPr>
            <w:r w:rsidRPr="007D36AA">
              <w:rPr>
                <w:color w:val="000000"/>
                <w:lang w:val="en-GB" w:eastAsia="en-AU"/>
              </w:rPr>
              <w:t>Approved self-insurers</w:t>
            </w:r>
          </w:p>
        </w:tc>
        <w:tc>
          <w:tcPr>
            <w:tcW w:w="1417" w:type="dxa"/>
            <w:shd w:val="clear" w:color="auto" w:fill="FFFFFF" w:themeFill="background2"/>
            <w:tcMar>
              <w:top w:w="113" w:type="dxa"/>
              <w:left w:w="113" w:type="dxa"/>
              <w:bottom w:w="113" w:type="dxa"/>
              <w:right w:w="113" w:type="dxa"/>
            </w:tcMar>
          </w:tcPr>
          <w:p w14:paraId="011A019C" w14:textId="77777777" w:rsidR="005661B6" w:rsidRPr="00DE461B" w:rsidRDefault="005661B6" w:rsidP="005661B6">
            <w:pPr>
              <w:rPr>
                <w:lang w:val="en-GB" w:eastAsia="en-AU"/>
              </w:rPr>
            </w:pPr>
            <w:r w:rsidRPr="00DE461B">
              <w:rPr>
                <w:lang w:val="en-GB" w:eastAsia="en-AU"/>
              </w:rPr>
              <w:t>1</w:t>
            </w:r>
          </w:p>
        </w:tc>
        <w:tc>
          <w:tcPr>
            <w:tcW w:w="1560" w:type="dxa"/>
            <w:tcMar>
              <w:top w:w="113" w:type="dxa"/>
              <w:left w:w="113" w:type="dxa"/>
              <w:bottom w:w="113" w:type="dxa"/>
              <w:right w:w="113" w:type="dxa"/>
            </w:tcMar>
          </w:tcPr>
          <w:p w14:paraId="5DBC6502" w14:textId="296FD88A" w:rsidR="005661B6" w:rsidRPr="00DE461B" w:rsidRDefault="00DE461B" w:rsidP="00B07B8A">
            <w:pPr>
              <w:rPr>
                <w:lang w:val="en-GB" w:eastAsia="en-AU"/>
              </w:rPr>
            </w:pPr>
            <w:r w:rsidRPr="00DE461B">
              <w:rPr>
                <w:lang w:val="en-GB" w:eastAsia="en-AU"/>
              </w:rPr>
              <w:t>1</w:t>
            </w:r>
          </w:p>
        </w:tc>
        <w:tc>
          <w:tcPr>
            <w:tcW w:w="1842" w:type="dxa"/>
          </w:tcPr>
          <w:p w14:paraId="1F7BE56E" w14:textId="556EAB9C" w:rsidR="005661B6" w:rsidRPr="00DE461B" w:rsidRDefault="00DE461B" w:rsidP="00B07B8A">
            <w:pPr>
              <w:rPr>
                <w:lang w:val="en-GB" w:eastAsia="en-AU"/>
              </w:rPr>
            </w:pPr>
            <w:r w:rsidRPr="00DE461B">
              <w:rPr>
                <w:lang w:val="en-GB" w:eastAsia="en-AU"/>
              </w:rPr>
              <w:t>27</w:t>
            </w:r>
          </w:p>
        </w:tc>
      </w:tr>
      <w:tr w:rsidR="005661B6" w:rsidRPr="007D36AA" w14:paraId="22D4CE9D" w14:textId="77777777" w:rsidTr="002A2418">
        <w:trPr>
          <w:trHeight w:val="1020"/>
        </w:trPr>
        <w:tc>
          <w:tcPr>
            <w:tcW w:w="3237" w:type="dxa"/>
            <w:shd w:val="clear" w:color="auto" w:fill="D4E2E0" w:themeFill="accent5"/>
            <w:tcMar>
              <w:top w:w="113" w:type="dxa"/>
              <w:left w:w="113" w:type="dxa"/>
              <w:bottom w:w="113" w:type="dxa"/>
              <w:right w:w="113" w:type="dxa"/>
            </w:tcMar>
          </w:tcPr>
          <w:p w14:paraId="59002CB5" w14:textId="77777777" w:rsidR="005661B6" w:rsidRPr="007D36AA" w:rsidRDefault="005661B6" w:rsidP="005661B6">
            <w:pPr>
              <w:rPr>
                <w:color w:val="000000"/>
                <w:lang w:val="en-GB" w:eastAsia="en-AU"/>
              </w:rPr>
            </w:pPr>
            <w:r w:rsidRPr="007D36AA">
              <w:rPr>
                <w:color w:val="000000"/>
                <w:lang w:val="en-GB" w:eastAsia="en-AU"/>
              </w:rPr>
              <w:t xml:space="preserve">Registered agents </w:t>
            </w:r>
          </w:p>
        </w:tc>
        <w:tc>
          <w:tcPr>
            <w:tcW w:w="1417" w:type="dxa"/>
            <w:shd w:val="clear" w:color="auto" w:fill="FFFFFF" w:themeFill="background2"/>
            <w:tcMar>
              <w:top w:w="113" w:type="dxa"/>
              <w:left w:w="113" w:type="dxa"/>
              <w:bottom w:w="113" w:type="dxa"/>
              <w:right w:w="113" w:type="dxa"/>
            </w:tcMar>
          </w:tcPr>
          <w:p w14:paraId="76BFF84A" w14:textId="77777777" w:rsidR="005661B6" w:rsidRPr="00DE461B" w:rsidRDefault="005661B6" w:rsidP="005661B6">
            <w:pPr>
              <w:rPr>
                <w:lang w:val="en-GB" w:eastAsia="en-AU"/>
              </w:rPr>
            </w:pPr>
            <w:r w:rsidRPr="00DE461B">
              <w:rPr>
                <w:lang w:val="en-GB" w:eastAsia="en-AU"/>
              </w:rPr>
              <w:t>219</w:t>
            </w:r>
          </w:p>
        </w:tc>
        <w:tc>
          <w:tcPr>
            <w:tcW w:w="1560" w:type="dxa"/>
            <w:tcMar>
              <w:top w:w="113" w:type="dxa"/>
              <w:left w:w="113" w:type="dxa"/>
              <w:bottom w:w="113" w:type="dxa"/>
              <w:right w:w="113" w:type="dxa"/>
            </w:tcMar>
          </w:tcPr>
          <w:p w14:paraId="3DA5153C" w14:textId="365AE2F1" w:rsidR="005661B6" w:rsidRPr="00DE461B" w:rsidRDefault="00DE461B" w:rsidP="00B07B8A">
            <w:pPr>
              <w:rPr>
                <w:lang w:val="en-GB" w:eastAsia="en-AU"/>
              </w:rPr>
            </w:pPr>
            <w:r w:rsidRPr="00DE461B">
              <w:rPr>
                <w:lang w:val="en-GB" w:eastAsia="en-AU"/>
              </w:rPr>
              <w:t>200</w:t>
            </w:r>
          </w:p>
        </w:tc>
        <w:tc>
          <w:tcPr>
            <w:tcW w:w="1842" w:type="dxa"/>
          </w:tcPr>
          <w:p w14:paraId="012C7D6F" w14:textId="04850F5D" w:rsidR="005661B6" w:rsidRPr="00DE461B" w:rsidRDefault="00DE461B" w:rsidP="00B07B8A">
            <w:pPr>
              <w:rPr>
                <w:lang w:val="en-GB" w:eastAsia="en-AU"/>
              </w:rPr>
            </w:pPr>
            <w:r w:rsidRPr="00DE461B">
              <w:rPr>
                <w:lang w:val="en-GB" w:eastAsia="en-AU"/>
              </w:rPr>
              <w:t>224</w:t>
            </w:r>
          </w:p>
        </w:tc>
      </w:tr>
      <w:tr w:rsidR="000D481D" w:rsidRPr="007D36AA" w14:paraId="1397009F" w14:textId="77777777" w:rsidTr="002A2418">
        <w:trPr>
          <w:trHeight w:val="1020"/>
        </w:trPr>
        <w:tc>
          <w:tcPr>
            <w:tcW w:w="3237" w:type="dxa"/>
            <w:shd w:val="clear" w:color="auto" w:fill="D4E2E0" w:themeFill="accent5"/>
            <w:tcMar>
              <w:top w:w="113" w:type="dxa"/>
              <w:left w:w="113" w:type="dxa"/>
              <w:bottom w:w="113" w:type="dxa"/>
              <w:right w:w="113" w:type="dxa"/>
            </w:tcMar>
          </w:tcPr>
          <w:p w14:paraId="27E2C84F" w14:textId="75861827" w:rsidR="000D481D" w:rsidRPr="007D36AA" w:rsidRDefault="000D481D" w:rsidP="000D481D">
            <w:pPr>
              <w:rPr>
                <w:color w:val="000000"/>
                <w:lang w:val="en-GB" w:eastAsia="en-AU"/>
              </w:rPr>
            </w:pPr>
            <w:r w:rsidRPr="000D481D">
              <w:rPr>
                <w:color w:val="000000"/>
                <w:lang w:val="en-GB" w:eastAsia="en-AU"/>
              </w:rPr>
              <w:t>Approved workplace rehabilitation providers</w:t>
            </w:r>
          </w:p>
        </w:tc>
        <w:tc>
          <w:tcPr>
            <w:tcW w:w="1417" w:type="dxa"/>
            <w:shd w:val="clear" w:color="auto" w:fill="FFFFFF" w:themeFill="background2"/>
            <w:tcMar>
              <w:top w:w="113" w:type="dxa"/>
              <w:left w:w="113" w:type="dxa"/>
              <w:bottom w:w="113" w:type="dxa"/>
              <w:right w:w="113" w:type="dxa"/>
            </w:tcMar>
          </w:tcPr>
          <w:p w14:paraId="422B5671" w14:textId="6C5F1B45" w:rsidR="000D481D" w:rsidRPr="00DE461B" w:rsidRDefault="000D481D" w:rsidP="000D481D">
            <w:pPr>
              <w:rPr>
                <w:lang w:val="en-GB" w:eastAsia="en-AU"/>
              </w:rPr>
            </w:pPr>
            <w:r w:rsidRPr="00B847E8">
              <w:rPr>
                <w:lang w:val="en-GB" w:eastAsia="en-AU"/>
              </w:rPr>
              <w:t>6</w:t>
            </w:r>
          </w:p>
        </w:tc>
        <w:tc>
          <w:tcPr>
            <w:tcW w:w="1560" w:type="dxa"/>
            <w:tcMar>
              <w:top w:w="113" w:type="dxa"/>
              <w:left w:w="113" w:type="dxa"/>
              <w:bottom w:w="113" w:type="dxa"/>
              <w:right w:w="113" w:type="dxa"/>
            </w:tcMar>
          </w:tcPr>
          <w:p w14:paraId="139FFB6E" w14:textId="17A61B08" w:rsidR="000D481D" w:rsidRPr="00DE461B" w:rsidRDefault="000D481D" w:rsidP="000D481D">
            <w:pPr>
              <w:rPr>
                <w:lang w:val="en-GB" w:eastAsia="en-AU"/>
              </w:rPr>
            </w:pPr>
            <w:r w:rsidRPr="00B847E8">
              <w:rPr>
                <w:lang w:val="en-GB" w:eastAsia="en-AU"/>
              </w:rPr>
              <w:t>8</w:t>
            </w:r>
          </w:p>
        </w:tc>
        <w:tc>
          <w:tcPr>
            <w:tcW w:w="1842" w:type="dxa"/>
          </w:tcPr>
          <w:p w14:paraId="7B7D5E49" w14:textId="5AC55E52" w:rsidR="000D481D" w:rsidRPr="00DE461B" w:rsidRDefault="000D481D" w:rsidP="000D481D">
            <w:pPr>
              <w:rPr>
                <w:lang w:val="en-GB" w:eastAsia="en-AU"/>
              </w:rPr>
            </w:pPr>
            <w:r w:rsidRPr="00B847E8">
              <w:rPr>
                <w:lang w:val="en-GB" w:eastAsia="en-AU"/>
              </w:rPr>
              <w:t>37</w:t>
            </w:r>
          </w:p>
        </w:tc>
      </w:tr>
      <w:tr w:rsidR="002A2418" w:rsidRPr="007D36AA" w14:paraId="4C607092" w14:textId="77777777" w:rsidTr="00B07B8A">
        <w:trPr>
          <w:trHeight w:val="714"/>
        </w:trPr>
        <w:tc>
          <w:tcPr>
            <w:tcW w:w="3237" w:type="dxa"/>
            <w:shd w:val="clear" w:color="auto" w:fill="D4E2E0" w:themeFill="accent5"/>
            <w:tcMar>
              <w:top w:w="113" w:type="dxa"/>
              <w:left w:w="113" w:type="dxa"/>
              <w:bottom w:w="113" w:type="dxa"/>
              <w:right w:w="113" w:type="dxa"/>
            </w:tcMar>
          </w:tcPr>
          <w:p w14:paraId="35754362" w14:textId="6D4F1C78" w:rsidR="002A2418" w:rsidRPr="007D36AA" w:rsidRDefault="00662BF2" w:rsidP="00B26741">
            <w:pPr>
              <w:rPr>
                <w:color w:val="000000"/>
                <w:lang w:val="en-GB" w:eastAsia="en-AU"/>
              </w:rPr>
            </w:pPr>
            <w:r>
              <w:rPr>
                <w:color w:val="000000"/>
                <w:lang w:val="en-GB" w:eastAsia="en-AU"/>
              </w:rPr>
              <w:t>A</w:t>
            </w:r>
            <w:r w:rsidR="00B26741">
              <w:rPr>
                <w:color w:val="000000"/>
                <w:lang w:val="en-GB" w:eastAsia="en-AU"/>
              </w:rPr>
              <w:t xml:space="preserve">pproved </w:t>
            </w:r>
            <w:r>
              <w:rPr>
                <w:color w:val="000000"/>
                <w:lang w:val="en-GB" w:eastAsia="en-AU"/>
              </w:rPr>
              <w:t>M</w:t>
            </w:r>
            <w:r w:rsidR="00B26741">
              <w:rPr>
                <w:color w:val="000000"/>
                <w:lang w:val="en-GB" w:eastAsia="en-AU"/>
              </w:rPr>
              <w:t xml:space="preserve">edical </w:t>
            </w:r>
            <w:r>
              <w:rPr>
                <w:color w:val="000000"/>
                <w:lang w:val="en-GB" w:eastAsia="en-AU"/>
              </w:rPr>
              <w:t>S</w:t>
            </w:r>
            <w:r w:rsidR="00B26741">
              <w:rPr>
                <w:color w:val="000000"/>
                <w:lang w:val="en-GB" w:eastAsia="en-AU"/>
              </w:rPr>
              <w:t>pecialist</w:t>
            </w:r>
            <w:r w:rsidR="002A2418">
              <w:rPr>
                <w:color w:val="000000"/>
                <w:lang w:val="en-GB" w:eastAsia="en-AU"/>
              </w:rPr>
              <w:t>s</w:t>
            </w:r>
          </w:p>
        </w:tc>
        <w:tc>
          <w:tcPr>
            <w:tcW w:w="1417" w:type="dxa"/>
            <w:shd w:val="clear" w:color="auto" w:fill="FFFFFF" w:themeFill="background2"/>
            <w:tcMar>
              <w:top w:w="113" w:type="dxa"/>
              <w:left w:w="113" w:type="dxa"/>
              <w:bottom w:w="113" w:type="dxa"/>
              <w:right w:w="113" w:type="dxa"/>
            </w:tcMar>
          </w:tcPr>
          <w:p w14:paraId="6EA6D2BA" w14:textId="4B8B7389" w:rsidR="002A2418" w:rsidRPr="00DE461B" w:rsidRDefault="000D481D" w:rsidP="005661B6">
            <w:pPr>
              <w:rPr>
                <w:lang w:val="en-GB" w:eastAsia="en-AU"/>
              </w:rPr>
            </w:pPr>
            <w:r>
              <w:rPr>
                <w:lang w:val="en-GB" w:eastAsia="en-AU"/>
              </w:rPr>
              <w:t>7</w:t>
            </w:r>
          </w:p>
        </w:tc>
        <w:tc>
          <w:tcPr>
            <w:tcW w:w="1560" w:type="dxa"/>
            <w:tcMar>
              <w:top w:w="113" w:type="dxa"/>
              <w:left w:w="113" w:type="dxa"/>
              <w:bottom w:w="113" w:type="dxa"/>
              <w:right w:w="113" w:type="dxa"/>
            </w:tcMar>
          </w:tcPr>
          <w:p w14:paraId="10EF1864" w14:textId="3FDC2709" w:rsidR="002A2418" w:rsidRPr="00DE461B" w:rsidRDefault="000D481D" w:rsidP="00B07B8A">
            <w:pPr>
              <w:rPr>
                <w:lang w:val="en-GB" w:eastAsia="en-AU"/>
              </w:rPr>
            </w:pPr>
            <w:r>
              <w:rPr>
                <w:lang w:val="en-GB" w:eastAsia="en-AU"/>
              </w:rPr>
              <w:t>16*</w:t>
            </w:r>
          </w:p>
        </w:tc>
        <w:tc>
          <w:tcPr>
            <w:tcW w:w="1842" w:type="dxa"/>
          </w:tcPr>
          <w:p w14:paraId="3F8780AE" w14:textId="7BD25D0E" w:rsidR="002A2418" w:rsidRPr="00DE461B" w:rsidRDefault="000D481D" w:rsidP="00B07B8A">
            <w:pPr>
              <w:rPr>
                <w:lang w:val="en-GB" w:eastAsia="en-AU"/>
              </w:rPr>
            </w:pPr>
            <w:r>
              <w:rPr>
                <w:lang w:val="en-GB" w:eastAsia="en-AU"/>
              </w:rPr>
              <w:t>251</w:t>
            </w:r>
          </w:p>
        </w:tc>
      </w:tr>
      <w:tr w:rsidR="002A2418" w:rsidRPr="007D36AA" w14:paraId="3D3CA29A" w14:textId="77777777" w:rsidTr="00B07B8A">
        <w:trPr>
          <w:trHeight w:val="714"/>
        </w:trPr>
        <w:tc>
          <w:tcPr>
            <w:tcW w:w="3237" w:type="dxa"/>
            <w:shd w:val="clear" w:color="auto" w:fill="D4E2E0" w:themeFill="accent5"/>
            <w:tcMar>
              <w:top w:w="113" w:type="dxa"/>
              <w:left w:w="113" w:type="dxa"/>
              <w:bottom w:w="113" w:type="dxa"/>
              <w:right w:w="113" w:type="dxa"/>
            </w:tcMar>
          </w:tcPr>
          <w:p w14:paraId="4E1A64A9" w14:textId="42E0E1DC" w:rsidR="002A2418" w:rsidRPr="007D36AA" w:rsidRDefault="002A2418" w:rsidP="005661B6">
            <w:pPr>
              <w:rPr>
                <w:color w:val="000000"/>
                <w:lang w:val="en-GB" w:eastAsia="en-AU"/>
              </w:rPr>
            </w:pPr>
            <w:r>
              <w:rPr>
                <w:color w:val="000000"/>
                <w:lang w:val="en-GB" w:eastAsia="en-AU"/>
              </w:rPr>
              <w:t>Approved audiometric officers, audiologists and audiometrists</w:t>
            </w:r>
          </w:p>
        </w:tc>
        <w:tc>
          <w:tcPr>
            <w:tcW w:w="1417" w:type="dxa"/>
            <w:shd w:val="clear" w:color="auto" w:fill="FFFFFF" w:themeFill="background2"/>
            <w:tcMar>
              <w:top w:w="113" w:type="dxa"/>
              <w:left w:w="113" w:type="dxa"/>
              <w:bottom w:w="113" w:type="dxa"/>
              <w:right w:w="113" w:type="dxa"/>
            </w:tcMar>
          </w:tcPr>
          <w:p w14:paraId="65948773" w14:textId="5350460E" w:rsidR="002A2418" w:rsidRPr="00DE461B" w:rsidRDefault="000D481D" w:rsidP="005661B6">
            <w:pPr>
              <w:rPr>
                <w:lang w:val="en-GB" w:eastAsia="en-AU"/>
              </w:rPr>
            </w:pPr>
            <w:r>
              <w:rPr>
                <w:lang w:val="en-GB" w:eastAsia="en-AU"/>
              </w:rPr>
              <w:t>87</w:t>
            </w:r>
          </w:p>
        </w:tc>
        <w:tc>
          <w:tcPr>
            <w:tcW w:w="1560" w:type="dxa"/>
            <w:tcMar>
              <w:top w:w="113" w:type="dxa"/>
              <w:left w:w="113" w:type="dxa"/>
              <w:bottom w:w="113" w:type="dxa"/>
              <w:right w:w="113" w:type="dxa"/>
            </w:tcMar>
          </w:tcPr>
          <w:p w14:paraId="0E1D41BD" w14:textId="499C6186" w:rsidR="002A2418" w:rsidRPr="00DE461B" w:rsidRDefault="000D481D" w:rsidP="00B07B8A">
            <w:pPr>
              <w:rPr>
                <w:lang w:val="en-GB" w:eastAsia="en-AU"/>
              </w:rPr>
            </w:pPr>
            <w:r>
              <w:rPr>
                <w:lang w:val="en-GB" w:eastAsia="en-AU"/>
              </w:rPr>
              <w:t>79</w:t>
            </w:r>
          </w:p>
        </w:tc>
        <w:tc>
          <w:tcPr>
            <w:tcW w:w="1842" w:type="dxa"/>
          </w:tcPr>
          <w:p w14:paraId="136FA5E9" w14:textId="0F5634BD" w:rsidR="002A2418" w:rsidRPr="00DE461B" w:rsidRDefault="000D481D" w:rsidP="00B07B8A">
            <w:pPr>
              <w:rPr>
                <w:lang w:val="en-GB" w:eastAsia="en-AU"/>
              </w:rPr>
            </w:pPr>
            <w:r>
              <w:rPr>
                <w:lang w:val="en-GB" w:eastAsia="en-AU"/>
              </w:rPr>
              <w:t>550</w:t>
            </w:r>
          </w:p>
        </w:tc>
      </w:tr>
      <w:tr w:rsidR="005661B6" w:rsidRPr="00282C3F" w14:paraId="4432EBF8" w14:textId="77777777" w:rsidTr="00B07B8A">
        <w:trPr>
          <w:trHeight w:val="32"/>
        </w:trPr>
        <w:tc>
          <w:tcPr>
            <w:tcW w:w="3237" w:type="dxa"/>
            <w:tcBorders>
              <w:top w:val="single" w:sz="2" w:space="0" w:color="2D4541" w:themeColor="accent2"/>
              <w:left w:val="single" w:sz="2" w:space="0" w:color="2D4541" w:themeColor="accent2"/>
              <w:bottom w:val="single" w:sz="2" w:space="0" w:color="2D4541" w:themeColor="accent2"/>
            </w:tcBorders>
            <w:shd w:val="clear" w:color="auto" w:fill="2D4541" w:themeFill="accent2"/>
            <w:tcMar>
              <w:top w:w="113" w:type="dxa"/>
              <w:left w:w="113" w:type="dxa"/>
              <w:bottom w:w="113" w:type="dxa"/>
              <w:right w:w="113" w:type="dxa"/>
            </w:tcMar>
            <w:vAlign w:val="center"/>
          </w:tcPr>
          <w:p w14:paraId="590714DB" w14:textId="77777777" w:rsidR="005661B6" w:rsidRPr="00DE461B" w:rsidRDefault="005661B6" w:rsidP="005661B6">
            <w:pPr>
              <w:rPr>
                <w:rStyle w:val="Strong"/>
                <w:color w:val="FFFFFF" w:themeColor="background1"/>
              </w:rPr>
            </w:pPr>
            <w:r w:rsidRPr="00DE461B">
              <w:rPr>
                <w:rStyle w:val="Strong"/>
                <w:color w:val="FFFFFF" w:themeColor="background1"/>
              </w:rPr>
              <w:t>Total approvals</w:t>
            </w:r>
          </w:p>
        </w:tc>
        <w:tc>
          <w:tcPr>
            <w:tcW w:w="1417" w:type="dxa"/>
            <w:tcBorders>
              <w:top w:val="single" w:sz="2" w:space="0" w:color="2D4541" w:themeColor="accent2"/>
              <w:bottom w:val="single" w:sz="2" w:space="0" w:color="2D4541" w:themeColor="accent2"/>
            </w:tcBorders>
            <w:shd w:val="clear" w:color="auto" w:fill="2D4541" w:themeFill="accent2"/>
            <w:tcMar>
              <w:top w:w="113" w:type="dxa"/>
              <w:left w:w="113" w:type="dxa"/>
              <w:bottom w:w="113" w:type="dxa"/>
              <w:right w:w="113" w:type="dxa"/>
            </w:tcMar>
            <w:vAlign w:val="center"/>
          </w:tcPr>
          <w:p w14:paraId="7FB80742" w14:textId="3DE92799" w:rsidR="005661B6" w:rsidRPr="00DE461B" w:rsidRDefault="000D481D" w:rsidP="005661B6">
            <w:pPr>
              <w:rPr>
                <w:rStyle w:val="Strong"/>
                <w:color w:val="FFFFFF" w:themeColor="background1"/>
              </w:rPr>
            </w:pPr>
            <w:r>
              <w:rPr>
                <w:rStyle w:val="Strong"/>
                <w:color w:val="FFFFFF" w:themeColor="background1"/>
              </w:rPr>
              <w:t>3</w:t>
            </w:r>
            <w:r w:rsidR="005661B6" w:rsidRPr="00DE461B">
              <w:rPr>
                <w:rStyle w:val="Strong"/>
                <w:color w:val="FFFFFF" w:themeColor="background1"/>
              </w:rPr>
              <w:t>21</w:t>
            </w:r>
          </w:p>
        </w:tc>
        <w:tc>
          <w:tcPr>
            <w:tcW w:w="1560" w:type="dxa"/>
            <w:tcBorders>
              <w:top w:val="single" w:sz="2" w:space="0" w:color="2D4541" w:themeColor="accent2"/>
              <w:bottom w:val="single" w:sz="2" w:space="0" w:color="2D4541" w:themeColor="accent2"/>
            </w:tcBorders>
            <w:shd w:val="clear" w:color="auto" w:fill="2D4541" w:themeFill="accent2"/>
            <w:tcMar>
              <w:top w:w="113" w:type="dxa"/>
              <w:left w:w="113" w:type="dxa"/>
              <w:bottom w:w="113" w:type="dxa"/>
              <w:right w:w="113" w:type="dxa"/>
            </w:tcMar>
          </w:tcPr>
          <w:p w14:paraId="51FB747F" w14:textId="6A766464" w:rsidR="005661B6" w:rsidRPr="00DE461B" w:rsidRDefault="000D481D" w:rsidP="00B07B8A">
            <w:pPr>
              <w:rPr>
                <w:rStyle w:val="Strong"/>
                <w:color w:val="FFFFFF" w:themeColor="background1"/>
              </w:rPr>
            </w:pPr>
            <w:r>
              <w:rPr>
                <w:b/>
                <w:color w:val="FFFFFF" w:themeColor="background1"/>
                <w:lang w:val="en-GB" w:eastAsia="en-AU"/>
              </w:rPr>
              <w:t>304</w:t>
            </w:r>
          </w:p>
        </w:tc>
        <w:tc>
          <w:tcPr>
            <w:tcW w:w="1842" w:type="dxa"/>
            <w:tcBorders>
              <w:top w:val="single" w:sz="2" w:space="0" w:color="2D4541" w:themeColor="accent2"/>
              <w:bottom w:val="single" w:sz="2" w:space="0" w:color="2D4541" w:themeColor="accent2"/>
              <w:right w:val="single" w:sz="2" w:space="0" w:color="2D4541" w:themeColor="accent2"/>
            </w:tcBorders>
            <w:shd w:val="clear" w:color="auto" w:fill="2D4541" w:themeFill="accent2"/>
          </w:tcPr>
          <w:p w14:paraId="36B1205A" w14:textId="018C4249" w:rsidR="005661B6" w:rsidRPr="00DE461B" w:rsidRDefault="000D481D" w:rsidP="00B07B8A">
            <w:pPr>
              <w:rPr>
                <w:rStyle w:val="Strong"/>
                <w:color w:val="FFFFFF" w:themeColor="background1"/>
              </w:rPr>
            </w:pPr>
            <w:r>
              <w:rPr>
                <w:b/>
                <w:color w:val="FFFFFF" w:themeColor="background1"/>
                <w:lang w:val="en-GB" w:eastAsia="en-AU"/>
              </w:rPr>
              <w:t>1098</w:t>
            </w:r>
          </w:p>
        </w:tc>
      </w:tr>
    </w:tbl>
    <w:p w14:paraId="709369AC" w14:textId="53891FE6" w:rsidR="00EA2534" w:rsidRDefault="000D481D" w:rsidP="00FE6931">
      <w:pPr>
        <w:rPr>
          <w:i/>
          <w:lang w:val="en-US"/>
        </w:rPr>
      </w:pPr>
      <w:r w:rsidRPr="000D481D">
        <w:rPr>
          <w:i/>
          <w:lang w:val="en-US"/>
        </w:rPr>
        <w:t>*Seven of the 16 approvals in 2014/15 were Gazetted on 1 July 2014 and were inadvertently included</w:t>
      </w:r>
      <w:r w:rsidR="00883051">
        <w:rPr>
          <w:i/>
          <w:lang w:val="en-US"/>
        </w:rPr>
        <w:t xml:space="preserve"> in the 2013/14 Annual Report.</w:t>
      </w:r>
    </w:p>
    <w:p w14:paraId="671A3CD9" w14:textId="77777777" w:rsidR="00EA2534" w:rsidRDefault="00EA2534">
      <w:pPr>
        <w:keepLines w:val="0"/>
        <w:spacing w:after="0" w:line="240" w:lineRule="auto"/>
        <w:rPr>
          <w:i/>
          <w:lang w:val="en-US"/>
        </w:rPr>
      </w:pPr>
      <w:r>
        <w:rPr>
          <w:i/>
          <w:lang w:val="en-US"/>
        </w:rPr>
        <w:br w:type="page"/>
      </w:r>
    </w:p>
    <w:p w14:paraId="7EE707FC" w14:textId="61C0A0F8" w:rsidR="00F44ADB" w:rsidRPr="00C3455B" w:rsidRDefault="003E0D1B" w:rsidP="00C3455B">
      <w:pPr>
        <w:pStyle w:val="Heading3nonumber"/>
      </w:pPr>
      <w:bookmarkStart w:id="230" w:name="_Toc426617477"/>
      <w:bookmarkStart w:id="231" w:name="_Toc430091202"/>
      <w:r w:rsidRPr="00C3455B">
        <w:lastRenderedPageBreak/>
        <w:t>Complaints about</w:t>
      </w:r>
      <w:r w:rsidR="00F44ADB" w:rsidRPr="00C3455B">
        <w:t xml:space="preserve"> service providers</w:t>
      </w:r>
      <w:bookmarkEnd w:id="230"/>
      <w:bookmarkEnd w:id="231"/>
    </w:p>
    <w:p w14:paraId="002A4EFA" w14:textId="3FAE7B49" w:rsidR="00F44ADB" w:rsidRDefault="00EB2BCD" w:rsidP="00F44ADB">
      <w:r>
        <w:t>WorkCover WA investigates complaints against service providers made by scheme participants</w:t>
      </w:r>
      <w:r w:rsidR="00F44ADB" w:rsidRPr="00DE461B">
        <w:t>.</w:t>
      </w:r>
      <w:r w:rsidR="00F44ADB">
        <w:t xml:space="preserve"> </w:t>
      </w:r>
      <w:r w:rsidR="00F44ADB" w:rsidRPr="00F61975">
        <w:t>Table 2</w:t>
      </w:r>
      <w:r w:rsidR="00214B02" w:rsidRPr="00F61975">
        <w:t>4</w:t>
      </w:r>
      <w:r w:rsidR="00F44ADB" w:rsidRPr="00F61975">
        <w:t xml:space="preserve"> </w:t>
      </w:r>
      <w:r w:rsidR="00F44ADB">
        <w:t>compares 2014/15 complaint statistics for service providers to previous years.</w:t>
      </w:r>
    </w:p>
    <w:tbl>
      <w:tblPr>
        <w:tblW w:w="0" w:type="auto"/>
        <w:tblInd w:w="-3"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A0" w:firstRow="1" w:lastRow="0" w:firstColumn="1" w:lastColumn="0" w:noHBand="0" w:noVBand="0"/>
        <w:tblCaption w:val="Table 24 complaints against service providers"/>
        <w:tblDescription w:val="Table 24 details the number of complaints against service providers"/>
      </w:tblPr>
      <w:tblGrid>
        <w:gridCol w:w="3377"/>
        <w:gridCol w:w="1417"/>
        <w:gridCol w:w="1418"/>
        <w:gridCol w:w="1417"/>
        <w:gridCol w:w="1417"/>
      </w:tblGrid>
      <w:tr w:rsidR="00D022B7" w:rsidRPr="004F3526" w14:paraId="33DB95D9" w14:textId="77777777" w:rsidTr="00D022B7">
        <w:trPr>
          <w:trHeight w:val="60"/>
          <w:tblHeader/>
        </w:trPr>
        <w:tc>
          <w:tcPr>
            <w:tcW w:w="7629" w:type="dxa"/>
            <w:gridSpan w:val="4"/>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Mar>
              <w:top w:w="113" w:type="dxa"/>
              <w:left w:w="113" w:type="dxa"/>
              <w:bottom w:w="113" w:type="dxa"/>
              <w:right w:w="113" w:type="dxa"/>
            </w:tcMar>
            <w:vAlign w:val="center"/>
          </w:tcPr>
          <w:p w14:paraId="162A1485" w14:textId="6B3CB5E2" w:rsidR="00D022B7" w:rsidRPr="00DC5FF9" w:rsidRDefault="00D022B7" w:rsidP="009E75E3">
            <w:pPr>
              <w:rPr>
                <w:rStyle w:val="Strong"/>
                <w:color w:val="FFFFFF" w:themeColor="background1"/>
              </w:rPr>
            </w:pPr>
            <w:r w:rsidRPr="00EE4ECC">
              <w:rPr>
                <w:rStyle w:val="Strong"/>
                <w:color w:val="FFFFFF" w:themeColor="background1"/>
              </w:rPr>
              <w:t>Table 2</w:t>
            </w:r>
            <w:r w:rsidR="009E75E3">
              <w:rPr>
                <w:rStyle w:val="Strong"/>
                <w:color w:val="FFFFFF" w:themeColor="background1"/>
              </w:rPr>
              <w:t>4</w:t>
            </w:r>
            <w:r>
              <w:rPr>
                <w:rStyle w:val="Strong"/>
                <w:color w:val="FFFFFF" w:themeColor="background1"/>
              </w:rPr>
              <w:t>: Complaints against s</w:t>
            </w:r>
            <w:r w:rsidRPr="00EE4ECC">
              <w:rPr>
                <w:rStyle w:val="Strong"/>
                <w:color w:val="FFFFFF" w:themeColor="background1"/>
              </w:rPr>
              <w:t>ervice providers</w:t>
            </w:r>
            <w:r w:rsidRPr="00DC5FF9">
              <w:rPr>
                <w:rStyle w:val="Strong"/>
                <w:color w:val="FFFFFF" w:themeColor="background1"/>
              </w:rPr>
              <w:t xml:space="preserve"> </w:t>
            </w:r>
          </w:p>
        </w:tc>
        <w:tc>
          <w:tcPr>
            <w:tcW w:w="1417" w:type="dxa"/>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Pr>
          <w:p w14:paraId="6761F407" w14:textId="77777777" w:rsidR="00D022B7" w:rsidRPr="00EE4ECC" w:rsidRDefault="00D022B7" w:rsidP="00BA6657">
            <w:pPr>
              <w:rPr>
                <w:rStyle w:val="Strong"/>
                <w:color w:val="FFFFFF" w:themeColor="background1"/>
              </w:rPr>
            </w:pPr>
          </w:p>
        </w:tc>
      </w:tr>
      <w:tr w:rsidR="00D022B7" w:rsidRPr="004F3526" w14:paraId="29040386" w14:textId="77777777" w:rsidTr="00D022B7">
        <w:trPr>
          <w:trHeight w:val="60"/>
        </w:trPr>
        <w:tc>
          <w:tcPr>
            <w:tcW w:w="3377" w:type="dxa"/>
            <w:tcBorders>
              <w:top w:val="single" w:sz="2" w:space="0" w:color="2D4541" w:themeColor="accent2"/>
            </w:tcBorders>
            <w:shd w:val="clear" w:color="auto" w:fill="CEDFDC" w:themeFill="accent2" w:themeFillTint="33"/>
            <w:tcMar>
              <w:top w:w="113" w:type="dxa"/>
              <w:left w:w="113" w:type="dxa"/>
              <w:bottom w:w="113" w:type="dxa"/>
              <w:right w:w="113" w:type="dxa"/>
            </w:tcMar>
            <w:vAlign w:val="center"/>
          </w:tcPr>
          <w:p w14:paraId="0A106F7D" w14:textId="77777777" w:rsidR="00D022B7" w:rsidRPr="005905BC" w:rsidRDefault="00D022B7" w:rsidP="00DC7C1A">
            <w:pPr>
              <w:rPr>
                <w:rStyle w:val="Strong"/>
              </w:rPr>
            </w:pPr>
            <w:r w:rsidRPr="005905BC">
              <w:rPr>
                <w:rStyle w:val="Strong"/>
              </w:rPr>
              <w:t>Type of service provider</w:t>
            </w:r>
          </w:p>
        </w:tc>
        <w:tc>
          <w:tcPr>
            <w:tcW w:w="1417" w:type="dxa"/>
            <w:tcBorders>
              <w:top w:val="single" w:sz="2" w:space="0" w:color="2D4541" w:themeColor="accent2"/>
            </w:tcBorders>
            <w:shd w:val="clear" w:color="auto" w:fill="CEDFDC" w:themeFill="accent2" w:themeFillTint="33"/>
            <w:tcMar>
              <w:top w:w="113" w:type="dxa"/>
              <w:left w:w="113" w:type="dxa"/>
              <w:bottom w:w="113" w:type="dxa"/>
              <w:right w:w="113" w:type="dxa"/>
            </w:tcMar>
            <w:vAlign w:val="center"/>
          </w:tcPr>
          <w:p w14:paraId="3391D717" w14:textId="77777777" w:rsidR="00D022B7" w:rsidRPr="005905BC" w:rsidRDefault="00D022B7" w:rsidP="00DC7C1A">
            <w:pPr>
              <w:rPr>
                <w:rStyle w:val="Strong"/>
              </w:rPr>
            </w:pPr>
            <w:r w:rsidRPr="005905BC">
              <w:rPr>
                <w:rStyle w:val="Strong"/>
              </w:rPr>
              <w:t>2011/12</w:t>
            </w:r>
          </w:p>
        </w:tc>
        <w:tc>
          <w:tcPr>
            <w:tcW w:w="1418" w:type="dxa"/>
            <w:tcBorders>
              <w:top w:val="single" w:sz="2" w:space="0" w:color="2D4541" w:themeColor="accent2"/>
            </w:tcBorders>
            <w:shd w:val="clear" w:color="auto" w:fill="CEDFDC" w:themeFill="accent2" w:themeFillTint="33"/>
            <w:tcMar>
              <w:top w:w="113" w:type="dxa"/>
              <w:left w:w="113" w:type="dxa"/>
              <w:bottom w:w="113" w:type="dxa"/>
              <w:right w:w="113" w:type="dxa"/>
            </w:tcMar>
            <w:vAlign w:val="center"/>
          </w:tcPr>
          <w:p w14:paraId="7CF56E89" w14:textId="77777777" w:rsidR="00D022B7" w:rsidRPr="005905BC" w:rsidRDefault="00D022B7" w:rsidP="00DC7C1A">
            <w:pPr>
              <w:rPr>
                <w:rStyle w:val="Strong"/>
              </w:rPr>
            </w:pPr>
            <w:r w:rsidRPr="005905BC">
              <w:rPr>
                <w:rStyle w:val="Strong"/>
              </w:rPr>
              <w:t>2012/13</w:t>
            </w:r>
          </w:p>
        </w:tc>
        <w:tc>
          <w:tcPr>
            <w:tcW w:w="1417" w:type="dxa"/>
            <w:tcBorders>
              <w:top w:val="single" w:sz="2" w:space="0" w:color="2D4541" w:themeColor="accent2"/>
            </w:tcBorders>
            <w:shd w:val="clear" w:color="auto" w:fill="CEDFDC" w:themeFill="accent2" w:themeFillTint="33"/>
            <w:tcMar>
              <w:top w:w="113" w:type="dxa"/>
              <w:left w:w="113" w:type="dxa"/>
              <w:bottom w:w="113" w:type="dxa"/>
              <w:right w:w="113" w:type="dxa"/>
            </w:tcMar>
            <w:vAlign w:val="center"/>
          </w:tcPr>
          <w:p w14:paraId="6E9E6E29" w14:textId="77777777" w:rsidR="00D022B7" w:rsidRPr="005905BC" w:rsidRDefault="00D022B7" w:rsidP="00DC7C1A">
            <w:pPr>
              <w:rPr>
                <w:rStyle w:val="Strong"/>
              </w:rPr>
            </w:pPr>
            <w:r w:rsidRPr="005905BC">
              <w:rPr>
                <w:rStyle w:val="Strong"/>
              </w:rPr>
              <w:t>2013/14</w:t>
            </w:r>
          </w:p>
        </w:tc>
        <w:tc>
          <w:tcPr>
            <w:tcW w:w="1417" w:type="dxa"/>
            <w:tcBorders>
              <w:top w:val="single" w:sz="2" w:space="0" w:color="2D4541" w:themeColor="accent2"/>
            </w:tcBorders>
            <w:shd w:val="clear" w:color="auto" w:fill="CEDFDC" w:themeFill="accent2" w:themeFillTint="33"/>
            <w:vAlign w:val="center"/>
          </w:tcPr>
          <w:p w14:paraId="4EF5066B" w14:textId="77777777" w:rsidR="00D022B7" w:rsidRPr="005905BC" w:rsidRDefault="00D022B7" w:rsidP="00D022B7">
            <w:pPr>
              <w:rPr>
                <w:rStyle w:val="Strong"/>
              </w:rPr>
            </w:pPr>
            <w:r>
              <w:rPr>
                <w:rStyle w:val="Strong"/>
              </w:rPr>
              <w:t>2014/15</w:t>
            </w:r>
          </w:p>
        </w:tc>
      </w:tr>
      <w:tr w:rsidR="005661B6" w:rsidRPr="004F3526" w14:paraId="13166ED6" w14:textId="77777777" w:rsidTr="00D022B7">
        <w:trPr>
          <w:trHeight w:val="60"/>
        </w:trPr>
        <w:tc>
          <w:tcPr>
            <w:tcW w:w="3377" w:type="dxa"/>
            <w:shd w:val="clear" w:color="auto" w:fill="D4E2E0" w:themeFill="accent5"/>
            <w:tcMar>
              <w:top w:w="113" w:type="dxa"/>
              <w:left w:w="113" w:type="dxa"/>
              <w:bottom w:w="113" w:type="dxa"/>
              <w:right w:w="113" w:type="dxa"/>
            </w:tcMar>
          </w:tcPr>
          <w:p w14:paraId="1A07FE8E" w14:textId="77777777" w:rsidR="005661B6" w:rsidRPr="004F3526" w:rsidRDefault="005661B6" w:rsidP="005661B6">
            <w:pPr>
              <w:rPr>
                <w:color w:val="000000"/>
                <w:lang w:val="en-GB" w:eastAsia="en-AU"/>
              </w:rPr>
            </w:pPr>
            <w:r w:rsidRPr="004F3526">
              <w:rPr>
                <w:color w:val="000000"/>
                <w:lang w:val="en-GB" w:eastAsia="en-AU"/>
              </w:rPr>
              <w:t>Approved insurers</w:t>
            </w:r>
          </w:p>
        </w:tc>
        <w:tc>
          <w:tcPr>
            <w:tcW w:w="1417" w:type="dxa"/>
            <w:tcMar>
              <w:top w:w="113" w:type="dxa"/>
              <w:left w:w="113" w:type="dxa"/>
              <w:bottom w:w="113" w:type="dxa"/>
              <w:right w:w="113" w:type="dxa"/>
            </w:tcMar>
          </w:tcPr>
          <w:p w14:paraId="3FBD3D04" w14:textId="77777777" w:rsidR="005661B6" w:rsidRPr="000557E0" w:rsidRDefault="005661B6" w:rsidP="005661B6">
            <w:pPr>
              <w:rPr>
                <w:lang w:val="en-GB" w:eastAsia="en-AU"/>
              </w:rPr>
            </w:pPr>
            <w:r w:rsidRPr="000557E0">
              <w:rPr>
                <w:lang w:val="en-GB" w:eastAsia="en-AU"/>
              </w:rPr>
              <w:t>11</w:t>
            </w:r>
          </w:p>
        </w:tc>
        <w:tc>
          <w:tcPr>
            <w:tcW w:w="1418" w:type="dxa"/>
            <w:tcMar>
              <w:top w:w="113" w:type="dxa"/>
              <w:left w:w="113" w:type="dxa"/>
              <w:bottom w:w="113" w:type="dxa"/>
              <w:right w:w="113" w:type="dxa"/>
            </w:tcMar>
          </w:tcPr>
          <w:p w14:paraId="59DA9B77" w14:textId="77777777" w:rsidR="005661B6" w:rsidRPr="000557E0" w:rsidRDefault="005661B6" w:rsidP="005661B6">
            <w:pPr>
              <w:rPr>
                <w:lang w:val="en-GB" w:eastAsia="en-AU"/>
              </w:rPr>
            </w:pPr>
            <w:r w:rsidRPr="000557E0">
              <w:rPr>
                <w:lang w:val="en-GB" w:eastAsia="en-AU"/>
              </w:rPr>
              <w:t>17</w:t>
            </w:r>
          </w:p>
        </w:tc>
        <w:tc>
          <w:tcPr>
            <w:tcW w:w="1417" w:type="dxa"/>
            <w:shd w:val="clear" w:color="auto" w:fill="auto"/>
            <w:tcMar>
              <w:top w:w="113" w:type="dxa"/>
              <w:left w:w="113" w:type="dxa"/>
              <w:bottom w:w="113" w:type="dxa"/>
              <w:right w:w="113" w:type="dxa"/>
            </w:tcMar>
          </w:tcPr>
          <w:p w14:paraId="328B1C57" w14:textId="77777777" w:rsidR="005661B6" w:rsidRPr="000557E0" w:rsidRDefault="005661B6" w:rsidP="005661B6">
            <w:pPr>
              <w:keepLines w:val="0"/>
              <w:suppressAutoHyphens/>
              <w:autoSpaceDE w:val="0"/>
              <w:autoSpaceDN w:val="0"/>
              <w:adjustRightInd w:val="0"/>
              <w:spacing w:after="0" w:line="288" w:lineRule="auto"/>
              <w:textAlignment w:val="center"/>
              <w:rPr>
                <w:rFonts w:cs="Arial"/>
                <w:lang w:val="en-GB" w:eastAsia="en-AU"/>
              </w:rPr>
            </w:pPr>
            <w:r w:rsidRPr="000557E0">
              <w:rPr>
                <w:rFonts w:cs="Arial"/>
                <w:lang w:val="en-GB" w:eastAsia="en-AU"/>
              </w:rPr>
              <w:t>4</w:t>
            </w:r>
          </w:p>
        </w:tc>
        <w:tc>
          <w:tcPr>
            <w:tcW w:w="1417" w:type="dxa"/>
          </w:tcPr>
          <w:p w14:paraId="1DCB15F7" w14:textId="1EB738E7" w:rsidR="005661B6" w:rsidRPr="000557E0" w:rsidRDefault="00EE103E" w:rsidP="005661B6">
            <w:pPr>
              <w:keepLines w:val="0"/>
              <w:suppressAutoHyphens/>
              <w:autoSpaceDE w:val="0"/>
              <w:autoSpaceDN w:val="0"/>
              <w:adjustRightInd w:val="0"/>
              <w:spacing w:after="0" w:line="288" w:lineRule="auto"/>
              <w:textAlignment w:val="center"/>
              <w:rPr>
                <w:rFonts w:cs="Arial"/>
                <w:lang w:val="en-GB" w:eastAsia="en-AU"/>
              </w:rPr>
            </w:pPr>
            <w:r w:rsidRPr="000557E0">
              <w:rPr>
                <w:lang w:val="en-GB" w:eastAsia="en-AU"/>
              </w:rPr>
              <w:t>11</w:t>
            </w:r>
          </w:p>
        </w:tc>
      </w:tr>
      <w:tr w:rsidR="005661B6" w:rsidRPr="004F3526" w14:paraId="72B06411" w14:textId="77777777" w:rsidTr="00D022B7">
        <w:trPr>
          <w:trHeight w:val="60"/>
        </w:trPr>
        <w:tc>
          <w:tcPr>
            <w:tcW w:w="3377" w:type="dxa"/>
            <w:shd w:val="clear" w:color="auto" w:fill="D4E2E0" w:themeFill="accent5"/>
            <w:tcMar>
              <w:top w:w="113" w:type="dxa"/>
              <w:left w:w="113" w:type="dxa"/>
              <w:bottom w:w="113" w:type="dxa"/>
              <w:right w:w="113" w:type="dxa"/>
            </w:tcMar>
          </w:tcPr>
          <w:p w14:paraId="5EA6D3DE" w14:textId="77777777" w:rsidR="005661B6" w:rsidRPr="004F3526" w:rsidRDefault="005661B6" w:rsidP="005661B6">
            <w:pPr>
              <w:rPr>
                <w:color w:val="000000"/>
                <w:lang w:val="en-GB" w:eastAsia="en-AU"/>
              </w:rPr>
            </w:pPr>
            <w:r w:rsidRPr="004F3526">
              <w:rPr>
                <w:color w:val="000000"/>
                <w:lang w:val="en-GB" w:eastAsia="en-AU"/>
              </w:rPr>
              <w:t>Approved self-insurers</w:t>
            </w:r>
          </w:p>
        </w:tc>
        <w:tc>
          <w:tcPr>
            <w:tcW w:w="1417" w:type="dxa"/>
            <w:tcMar>
              <w:top w:w="113" w:type="dxa"/>
              <w:left w:w="113" w:type="dxa"/>
              <w:bottom w:w="113" w:type="dxa"/>
              <w:right w:w="113" w:type="dxa"/>
            </w:tcMar>
          </w:tcPr>
          <w:p w14:paraId="411ADA78" w14:textId="77777777" w:rsidR="005661B6" w:rsidRPr="000557E0" w:rsidRDefault="005661B6" w:rsidP="005661B6">
            <w:pPr>
              <w:rPr>
                <w:lang w:val="en-GB" w:eastAsia="en-AU"/>
              </w:rPr>
            </w:pPr>
            <w:r w:rsidRPr="000557E0">
              <w:rPr>
                <w:lang w:val="en-GB" w:eastAsia="en-AU"/>
              </w:rPr>
              <w:t>1</w:t>
            </w:r>
          </w:p>
        </w:tc>
        <w:tc>
          <w:tcPr>
            <w:tcW w:w="1418" w:type="dxa"/>
            <w:tcMar>
              <w:top w:w="113" w:type="dxa"/>
              <w:left w:w="113" w:type="dxa"/>
              <w:bottom w:w="113" w:type="dxa"/>
              <w:right w:w="113" w:type="dxa"/>
            </w:tcMar>
          </w:tcPr>
          <w:p w14:paraId="3E3BF9DF" w14:textId="77777777" w:rsidR="005661B6" w:rsidRPr="000557E0" w:rsidRDefault="005661B6" w:rsidP="005661B6">
            <w:pPr>
              <w:rPr>
                <w:lang w:val="en-GB" w:eastAsia="en-AU"/>
              </w:rPr>
            </w:pPr>
            <w:r w:rsidRPr="000557E0">
              <w:rPr>
                <w:lang w:val="en-GB" w:eastAsia="en-AU"/>
              </w:rPr>
              <w:t>1</w:t>
            </w:r>
          </w:p>
        </w:tc>
        <w:tc>
          <w:tcPr>
            <w:tcW w:w="1417" w:type="dxa"/>
            <w:shd w:val="clear" w:color="auto" w:fill="auto"/>
            <w:tcMar>
              <w:top w:w="113" w:type="dxa"/>
              <w:left w:w="113" w:type="dxa"/>
              <w:bottom w:w="113" w:type="dxa"/>
              <w:right w:w="113" w:type="dxa"/>
            </w:tcMar>
          </w:tcPr>
          <w:p w14:paraId="1DEDB668" w14:textId="2DFDBCEA" w:rsidR="005661B6" w:rsidRPr="000557E0" w:rsidRDefault="00EE103E" w:rsidP="005661B6">
            <w:pPr>
              <w:keepLines w:val="0"/>
              <w:suppressAutoHyphens/>
              <w:autoSpaceDE w:val="0"/>
              <w:autoSpaceDN w:val="0"/>
              <w:adjustRightInd w:val="0"/>
              <w:spacing w:after="0" w:line="288" w:lineRule="auto"/>
              <w:textAlignment w:val="center"/>
              <w:rPr>
                <w:rFonts w:cs="Arial"/>
                <w:lang w:val="en-GB" w:eastAsia="en-AU"/>
              </w:rPr>
            </w:pPr>
            <w:r w:rsidRPr="000557E0">
              <w:rPr>
                <w:rFonts w:cs="Arial"/>
                <w:lang w:val="en-GB" w:eastAsia="en-AU"/>
              </w:rPr>
              <w:t>0</w:t>
            </w:r>
          </w:p>
        </w:tc>
        <w:tc>
          <w:tcPr>
            <w:tcW w:w="1417" w:type="dxa"/>
          </w:tcPr>
          <w:p w14:paraId="437B77D1" w14:textId="48A71EEC" w:rsidR="005661B6" w:rsidRPr="000557E0" w:rsidRDefault="00EE103E" w:rsidP="005661B6">
            <w:pPr>
              <w:keepLines w:val="0"/>
              <w:suppressAutoHyphens/>
              <w:autoSpaceDE w:val="0"/>
              <w:autoSpaceDN w:val="0"/>
              <w:adjustRightInd w:val="0"/>
              <w:spacing w:after="0" w:line="288" w:lineRule="auto"/>
              <w:textAlignment w:val="center"/>
              <w:rPr>
                <w:rFonts w:cs="Arial"/>
                <w:lang w:val="en-GB" w:eastAsia="en-AU"/>
              </w:rPr>
            </w:pPr>
            <w:r w:rsidRPr="000557E0">
              <w:rPr>
                <w:lang w:val="en-GB" w:eastAsia="en-AU"/>
              </w:rPr>
              <w:t>0</w:t>
            </w:r>
          </w:p>
        </w:tc>
      </w:tr>
      <w:tr w:rsidR="005661B6" w:rsidRPr="004F3526" w14:paraId="08034AC5" w14:textId="77777777" w:rsidTr="00D022B7">
        <w:trPr>
          <w:trHeight w:val="60"/>
        </w:trPr>
        <w:tc>
          <w:tcPr>
            <w:tcW w:w="3377" w:type="dxa"/>
            <w:shd w:val="clear" w:color="auto" w:fill="D4E2E0" w:themeFill="accent5"/>
            <w:tcMar>
              <w:top w:w="113" w:type="dxa"/>
              <w:left w:w="113" w:type="dxa"/>
              <w:bottom w:w="113" w:type="dxa"/>
              <w:right w:w="113" w:type="dxa"/>
            </w:tcMar>
          </w:tcPr>
          <w:p w14:paraId="73FBC387" w14:textId="77777777" w:rsidR="005661B6" w:rsidRPr="004F3526" w:rsidRDefault="005661B6" w:rsidP="005661B6">
            <w:pPr>
              <w:rPr>
                <w:color w:val="000000"/>
                <w:lang w:val="en-GB" w:eastAsia="en-AU"/>
              </w:rPr>
            </w:pPr>
            <w:r w:rsidRPr="004F3526">
              <w:rPr>
                <w:color w:val="000000"/>
                <w:lang w:val="en-GB" w:eastAsia="en-AU"/>
              </w:rPr>
              <w:t>Registered agents</w:t>
            </w:r>
          </w:p>
        </w:tc>
        <w:tc>
          <w:tcPr>
            <w:tcW w:w="1417" w:type="dxa"/>
            <w:tcMar>
              <w:top w:w="113" w:type="dxa"/>
              <w:left w:w="113" w:type="dxa"/>
              <w:bottom w:w="113" w:type="dxa"/>
              <w:right w:w="113" w:type="dxa"/>
            </w:tcMar>
          </w:tcPr>
          <w:p w14:paraId="1C890CDA" w14:textId="77777777" w:rsidR="005661B6" w:rsidRPr="000557E0" w:rsidRDefault="005661B6" w:rsidP="005661B6">
            <w:pPr>
              <w:rPr>
                <w:lang w:val="en-GB" w:eastAsia="en-AU"/>
              </w:rPr>
            </w:pPr>
            <w:r w:rsidRPr="000557E0">
              <w:rPr>
                <w:lang w:val="en-GB" w:eastAsia="en-AU"/>
              </w:rPr>
              <w:t>6</w:t>
            </w:r>
          </w:p>
        </w:tc>
        <w:tc>
          <w:tcPr>
            <w:tcW w:w="1418" w:type="dxa"/>
            <w:tcMar>
              <w:top w:w="113" w:type="dxa"/>
              <w:left w:w="113" w:type="dxa"/>
              <w:bottom w:w="113" w:type="dxa"/>
              <w:right w:w="113" w:type="dxa"/>
            </w:tcMar>
          </w:tcPr>
          <w:p w14:paraId="50BED5F2" w14:textId="77777777" w:rsidR="005661B6" w:rsidRPr="000557E0" w:rsidRDefault="005661B6" w:rsidP="005661B6">
            <w:pPr>
              <w:rPr>
                <w:lang w:val="en-GB" w:eastAsia="en-AU"/>
              </w:rPr>
            </w:pPr>
            <w:r w:rsidRPr="000557E0">
              <w:rPr>
                <w:lang w:val="en-GB" w:eastAsia="en-AU"/>
              </w:rPr>
              <w:t>6</w:t>
            </w:r>
          </w:p>
        </w:tc>
        <w:tc>
          <w:tcPr>
            <w:tcW w:w="1417" w:type="dxa"/>
            <w:shd w:val="clear" w:color="auto" w:fill="auto"/>
            <w:tcMar>
              <w:top w:w="113" w:type="dxa"/>
              <w:left w:w="113" w:type="dxa"/>
              <w:bottom w:w="113" w:type="dxa"/>
              <w:right w:w="113" w:type="dxa"/>
            </w:tcMar>
          </w:tcPr>
          <w:p w14:paraId="44227B15" w14:textId="77777777" w:rsidR="005661B6" w:rsidRPr="000557E0" w:rsidRDefault="005661B6" w:rsidP="005661B6">
            <w:pPr>
              <w:keepLines w:val="0"/>
              <w:suppressAutoHyphens/>
              <w:autoSpaceDE w:val="0"/>
              <w:autoSpaceDN w:val="0"/>
              <w:adjustRightInd w:val="0"/>
              <w:spacing w:after="0" w:line="288" w:lineRule="auto"/>
              <w:textAlignment w:val="center"/>
              <w:rPr>
                <w:rFonts w:cs="Arial"/>
                <w:lang w:val="en-GB" w:eastAsia="en-AU"/>
              </w:rPr>
            </w:pPr>
            <w:r w:rsidRPr="000557E0">
              <w:rPr>
                <w:rFonts w:cs="Arial"/>
                <w:lang w:val="en-GB" w:eastAsia="en-AU"/>
              </w:rPr>
              <w:t>1</w:t>
            </w:r>
          </w:p>
        </w:tc>
        <w:tc>
          <w:tcPr>
            <w:tcW w:w="1417" w:type="dxa"/>
          </w:tcPr>
          <w:p w14:paraId="79D8AA1E" w14:textId="737AD312" w:rsidR="005661B6" w:rsidRPr="000557E0" w:rsidRDefault="00EE103E" w:rsidP="005661B6">
            <w:pPr>
              <w:keepLines w:val="0"/>
              <w:suppressAutoHyphens/>
              <w:autoSpaceDE w:val="0"/>
              <w:autoSpaceDN w:val="0"/>
              <w:adjustRightInd w:val="0"/>
              <w:spacing w:after="0" w:line="288" w:lineRule="auto"/>
              <w:textAlignment w:val="center"/>
              <w:rPr>
                <w:rFonts w:cs="Arial"/>
                <w:lang w:val="en-GB" w:eastAsia="en-AU"/>
              </w:rPr>
            </w:pPr>
            <w:r w:rsidRPr="000557E0">
              <w:rPr>
                <w:lang w:val="en-GB" w:eastAsia="en-AU"/>
              </w:rPr>
              <w:t>7</w:t>
            </w:r>
          </w:p>
        </w:tc>
      </w:tr>
      <w:tr w:rsidR="00615DC2" w:rsidRPr="004F3526" w14:paraId="42418F0F" w14:textId="77777777" w:rsidTr="00D022B7">
        <w:trPr>
          <w:trHeight w:val="60"/>
        </w:trPr>
        <w:tc>
          <w:tcPr>
            <w:tcW w:w="3377" w:type="dxa"/>
            <w:shd w:val="clear" w:color="auto" w:fill="D4E2E0" w:themeFill="accent5"/>
            <w:tcMar>
              <w:top w:w="113" w:type="dxa"/>
              <w:left w:w="113" w:type="dxa"/>
              <w:bottom w:w="113" w:type="dxa"/>
              <w:right w:w="113" w:type="dxa"/>
            </w:tcMar>
          </w:tcPr>
          <w:p w14:paraId="2E14E112" w14:textId="3750B1EE" w:rsidR="00615DC2" w:rsidRPr="004F3526" w:rsidRDefault="00615DC2" w:rsidP="00615DC2">
            <w:pPr>
              <w:rPr>
                <w:color w:val="000000"/>
                <w:lang w:val="en-GB" w:eastAsia="en-AU"/>
              </w:rPr>
            </w:pPr>
            <w:r>
              <w:rPr>
                <w:color w:val="000000"/>
                <w:lang w:val="en-GB" w:eastAsia="en-AU"/>
              </w:rPr>
              <w:t>Approved workplace rehabilitation providers</w:t>
            </w:r>
          </w:p>
        </w:tc>
        <w:tc>
          <w:tcPr>
            <w:tcW w:w="1417" w:type="dxa"/>
            <w:tcMar>
              <w:top w:w="113" w:type="dxa"/>
              <w:left w:w="113" w:type="dxa"/>
              <w:bottom w:w="113" w:type="dxa"/>
              <w:right w:w="113" w:type="dxa"/>
            </w:tcMar>
          </w:tcPr>
          <w:p w14:paraId="720B3E49" w14:textId="7BC03861" w:rsidR="00615DC2" w:rsidRPr="000557E0" w:rsidRDefault="00615DC2" w:rsidP="00615DC2">
            <w:pPr>
              <w:rPr>
                <w:lang w:val="en-GB" w:eastAsia="en-AU"/>
              </w:rPr>
            </w:pPr>
            <w:r w:rsidRPr="00EE103E">
              <w:rPr>
                <w:lang w:val="en-GB" w:eastAsia="en-AU"/>
              </w:rPr>
              <w:t>4</w:t>
            </w:r>
          </w:p>
        </w:tc>
        <w:tc>
          <w:tcPr>
            <w:tcW w:w="1418" w:type="dxa"/>
            <w:tcMar>
              <w:top w:w="113" w:type="dxa"/>
              <w:left w:w="113" w:type="dxa"/>
              <w:bottom w:w="113" w:type="dxa"/>
              <w:right w:w="113" w:type="dxa"/>
            </w:tcMar>
          </w:tcPr>
          <w:p w14:paraId="3461730D" w14:textId="183FD95A" w:rsidR="00615DC2" w:rsidRPr="000557E0" w:rsidRDefault="00615DC2" w:rsidP="00615DC2">
            <w:pPr>
              <w:rPr>
                <w:lang w:val="en-GB" w:eastAsia="en-AU"/>
              </w:rPr>
            </w:pPr>
            <w:r w:rsidRPr="00EE103E">
              <w:rPr>
                <w:lang w:val="en-GB" w:eastAsia="en-AU"/>
              </w:rPr>
              <w:t>7</w:t>
            </w:r>
          </w:p>
        </w:tc>
        <w:tc>
          <w:tcPr>
            <w:tcW w:w="1417" w:type="dxa"/>
            <w:shd w:val="clear" w:color="auto" w:fill="auto"/>
            <w:tcMar>
              <w:top w:w="113" w:type="dxa"/>
              <w:left w:w="113" w:type="dxa"/>
              <w:bottom w:w="113" w:type="dxa"/>
              <w:right w:w="113" w:type="dxa"/>
            </w:tcMar>
          </w:tcPr>
          <w:p w14:paraId="19878F5E" w14:textId="64820BC3" w:rsidR="00615DC2" w:rsidRPr="000557E0" w:rsidRDefault="00615DC2" w:rsidP="00615DC2">
            <w:pPr>
              <w:keepLines w:val="0"/>
              <w:suppressAutoHyphens/>
              <w:autoSpaceDE w:val="0"/>
              <w:autoSpaceDN w:val="0"/>
              <w:adjustRightInd w:val="0"/>
              <w:spacing w:after="0" w:line="288" w:lineRule="auto"/>
              <w:textAlignment w:val="center"/>
              <w:rPr>
                <w:rFonts w:cs="Arial"/>
                <w:lang w:val="en-GB" w:eastAsia="en-AU"/>
              </w:rPr>
            </w:pPr>
            <w:r w:rsidRPr="00EE103E">
              <w:rPr>
                <w:rFonts w:cs="Arial"/>
                <w:lang w:val="en-GB" w:eastAsia="en-AU"/>
              </w:rPr>
              <w:t>1</w:t>
            </w:r>
          </w:p>
        </w:tc>
        <w:tc>
          <w:tcPr>
            <w:tcW w:w="1417" w:type="dxa"/>
          </w:tcPr>
          <w:p w14:paraId="0093D43B" w14:textId="6C0A2F46" w:rsidR="00615DC2" w:rsidRPr="000557E0" w:rsidRDefault="00615DC2" w:rsidP="00615DC2">
            <w:pPr>
              <w:keepLines w:val="0"/>
              <w:suppressAutoHyphens/>
              <w:autoSpaceDE w:val="0"/>
              <w:autoSpaceDN w:val="0"/>
              <w:adjustRightInd w:val="0"/>
              <w:spacing w:after="0" w:line="288" w:lineRule="auto"/>
              <w:textAlignment w:val="center"/>
              <w:rPr>
                <w:lang w:val="en-GB" w:eastAsia="en-AU"/>
              </w:rPr>
            </w:pPr>
            <w:r w:rsidRPr="00EE103E">
              <w:rPr>
                <w:lang w:val="en-GB" w:eastAsia="en-AU"/>
              </w:rPr>
              <w:t>2</w:t>
            </w:r>
          </w:p>
        </w:tc>
      </w:tr>
      <w:tr w:rsidR="002A2418" w:rsidRPr="004F3526" w14:paraId="00741454" w14:textId="77777777" w:rsidTr="00D022B7">
        <w:trPr>
          <w:trHeight w:val="60"/>
        </w:trPr>
        <w:tc>
          <w:tcPr>
            <w:tcW w:w="3377" w:type="dxa"/>
            <w:shd w:val="clear" w:color="auto" w:fill="D4E2E0" w:themeFill="accent5"/>
            <w:tcMar>
              <w:top w:w="113" w:type="dxa"/>
              <w:left w:w="113" w:type="dxa"/>
              <w:bottom w:w="113" w:type="dxa"/>
              <w:right w:w="113" w:type="dxa"/>
            </w:tcMar>
          </w:tcPr>
          <w:p w14:paraId="4151FAF3" w14:textId="60E95DEA" w:rsidR="002A2418" w:rsidRPr="004F3526" w:rsidRDefault="00662BF2" w:rsidP="00B26741">
            <w:pPr>
              <w:rPr>
                <w:color w:val="000000"/>
                <w:lang w:val="en-GB" w:eastAsia="en-AU"/>
              </w:rPr>
            </w:pPr>
            <w:r>
              <w:rPr>
                <w:color w:val="000000"/>
                <w:lang w:val="en-GB" w:eastAsia="en-AU"/>
              </w:rPr>
              <w:t>A</w:t>
            </w:r>
            <w:r w:rsidR="00B26741">
              <w:rPr>
                <w:color w:val="000000"/>
                <w:lang w:val="en-GB" w:eastAsia="en-AU"/>
              </w:rPr>
              <w:t xml:space="preserve">pproved </w:t>
            </w:r>
            <w:r>
              <w:rPr>
                <w:color w:val="000000"/>
                <w:lang w:val="en-GB" w:eastAsia="en-AU"/>
              </w:rPr>
              <w:t>M</w:t>
            </w:r>
            <w:r w:rsidR="00B26741">
              <w:rPr>
                <w:color w:val="000000"/>
                <w:lang w:val="en-GB" w:eastAsia="en-AU"/>
              </w:rPr>
              <w:t xml:space="preserve">edical </w:t>
            </w:r>
            <w:r>
              <w:rPr>
                <w:color w:val="000000"/>
                <w:lang w:val="en-GB" w:eastAsia="en-AU"/>
              </w:rPr>
              <w:t>S</w:t>
            </w:r>
            <w:r w:rsidR="00B26741">
              <w:rPr>
                <w:color w:val="000000"/>
                <w:lang w:val="en-GB" w:eastAsia="en-AU"/>
              </w:rPr>
              <w:t>pecialist</w:t>
            </w:r>
            <w:r w:rsidR="002A2418">
              <w:rPr>
                <w:color w:val="000000"/>
                <w:lang w:val="en-GB" w:eastAsia="en-AU"/>
              </w:rPr>
              <w:t>s</w:t>
            </w:r>
          </w:p>
        </w:tc>
        <w:tc>
          <w:tcPr>
            <w:tcW w:w="1417" w:type="dxa"/>
            <w:tcMar>
              <w:top w:w="113" w:type="dxa"/>
              <w:left w:w="113" w:type="dxa"/>
              <w:bottom w:w="113" w:type="dxa"/>
              <w:right w:w="113" w:type="dxa"/>
            </w:tcMar>
          </w:tcPr>
          <w:p w14:paraId="011508B5" w14:textId="703B1EB7" w:rsidR="002A2418" w:rsidRPr="000557E0" w:rsidRDefault="00615DC2" w:rsidP="005661B6">
            <w:pPr>
              <w:rPr>
                <w:lang w:val="en-GB" w:eastAsia="en-AU"/>
              </w:rPr>
            </w:pPr>
            <w:r>
              <w:rPr>
                <w:lang w:val="en-GB" w:eastAsia="en-AU"/>
              </w:rPr>
              <w:t>2</w:t>
            </w:r>
          </w:p>
        </w:tc>
        <w:tc>
          <w:tcPr>
            <w:tcW w:w="1418" w:type="dxa"/>
            <w:tcMar>
              <w:top w:w="113" w:type="dxa"/>
              <w:left w:w="113" w:type="dxa"/>
              <w:bottom w:w="113" w:type="dxa"/>
              <w:right w:w="113" w:type="dxa"/>
            </w:tcMar>
          </w:tcPr>
          <w:p w14:paraId="1EFBC5B9" w14:textId="27164EA4" w:rsidR="002A2418" w:rsidRPr="000557E0" w:rsidRDefault="00615DC2" w:rsidP="005661B6">
            <w:pPr>
              <w:rPr>
                <w:lang w:val="en-GB" w:eastAsia="en-AU"/>
              </w:rPr>
            </w:pPr>
            <w:r>
              <w:rPr>
                <w:lang w:val="en-GB" w:eastAsia="en-AU"/>
              </w:rPr>
              <w:t>1</w:t>
            </w:r>
          </w:p>
        </w:tc>
        <w:tc>
          <w:tcPr>
            <w:tcW w:w="1417" w:type="dxa"/>
            <w:shd w:val="clear" w:color="auto" w:fill="auto"/>
            <w:tcMar>
              <w:top w:w="113" w:type="dxa"/>
              <w:left w:w="113" w:type="dxa"/>
              <w:bottom w:w="113" w:type="dxa"/>
              <w:right w:w="113" w:type="dxa"/>
            </w:tcMar>
          </w:tcPr>
          <w:p w14:paraId="3BDD0600" w14:textId="1DD3A7D9" w:rsidR="002A2418" w:rsidRPr="000557E0" w:rsidRDefault="00615DC2" w:rsidP="005661B6">
            <w:pPr>
              <w:keepLines w:val="0"/>
              <w:suppressAutoHyphens/>
              <w:autoSpaceDE w:val="0"/>
              <w:autoSpaceDN w:val="0"/>
              <w:adjustRightInd w:val="0"/>
              <w:spacing w:after="0" w:line="288" w:lineRule="auto"/>
              <w:textAlignment w:val="center"/>
              <w:rPr>
                <w:rFonts w:cs="Arial"/>
                <w:lang w:val="en-GB" w:eastAsia="en-AU"/>
              </w:rPr>
            </w:pPr>
            <w:r>
              <w:rPr>
                <w:rFonts w:cs="Arial"/>
                <w:lang w:val="en-GB" w:eastAsia="en-AU"/>
              </w:rPr>
              <w:t>5</w:t>
            </w:r>
          </w:p>
        </w:tc>
        <w:tc>
          <w:tcPr>
            <w:tcW w:w="1417" w:type="dxa"/>
          </w:tcPr>
          <w:p w14:paraId="293C1165" w14:textId="5BDAE122" w:rsidR="002A2418" w:rsidRPr="000557E0" w:rsidRDefault="00615DC2" w:rsidP="005661B6">
            <w:pPr>
              <w:keepLines w:val="0"/>
              <w:suppressAutoHyphens/>
              <w:autoSpaceDE w:val="0"/>
              <w:autoSpaceDN w:val="0"/>
              <w:adjustRightInd w:val="0"/>
              <w:spacing w:after="0" w:line="288" w:lineRule="auto"/>
              <w:textAlignment w:val="center"/>
              <w:rPr>
                <w:lang w:val="en-GB" w:eastAsia="en-AU"/>
              </w:rPr>
            </w:pPr>
            <w:r>
              <w:rPr>
                <w:lang w:val="en-GB" w:eastAsia="en-AU"/>
              </w:rPr>
              <w:t>2</w:t>
            </w:r>
          </w:p>
        </w:tc>
      </w:tr>
      <w:tr w:rsidR="00615DC2" w:rsidRPr="004F3526" w14:paraId="4AA4EFEF" w14:textId="77777777" w:rsidTr="00D022B7">
        <w:trPr>
          <w:trHeight w:val="60"/>
        </w:trPr>
        <w:tc>
          <w:tcPr>
            <w:tcW w:w="3377" w:type="dxa"/>
            <w:shd w:val="clear" w:color="auto" w:fill="D4E2E0" w:themeFill="accent5"/>
            <w:tcMar>
              <w:top w:w="113" w:type="dxa"/>
              <w:left w:w="113" w:type="dxa"/>
              <w:bottom w:w="113" w:type="dxa"/>
              <w:right w:w="113" w:type="dxa"/>
            </w:tcMar>
          </w:tcPr>
          <w:p w14:paraId="1AA30837" w14:textId="3053819A" w:rsidR="00615DC2" w:rsidRPr="004F3526" w:rsidRDefault="00615DC2" w:rsidP="00615DC2">
            <w:pPr>
              <w:rPr>
                <w:color w:val="000000"/>
                <w:lang w:val="en-GB" w:eastAsia="en-AU"/>
              </w:rPr>
            </w:pPr>
            <w:r>
              <w:rPr>
                <w:color w:val="000000"/>
                <w:lang w:val="en-GB" w:eastAsia="en-AU"/>
              </w:rPr>
              <w:t xml:space="preserve">Approved audiometric officers, audiologists and audiometrists </w:t>
            </w:r>
          </w:p>
        </w:tc>
        <w:tc>
          <w:tcPr>
            <w:tcW w:w="1417" w:type="dxa"/>
            <w:tcMar>
              <w:top w:w="113" w:type="dxa"/>
              <w:left w:w="113" w:type="dxa"/>
              <w:bottom w:w="113" w:type="dxa"/>
              <w:right w:w="113" w:type="dxa"/>
            </w:tcMar>
          </w:tcPr>
          <w:p w14:paraId="7B7EF913" w14:textId="05E5AE2A" w:rsidR="00615DC2" w:rsidRPr="000557E0" w:rsidRDefault="00615DC2" w:rsidP="00615DC2">
            <w:pPr>
              <w:rPr>
                <w:lang w:val="en-GB" w:eastAsia="en-AU"/>
              </w:rPr>
            </w:pPr>
            <w:r w:rsidRPr="00EE103E">
              <w:rPr>
                <w:lang w:val="en-GB" w:eastAsia="en-AU"/>
              </w:rPr>
              <w:t>2</w:t>
            </w:r>
          </w:p>
        </w:tc>
        <w:tc>
          <w:tcPr>
            <w:tcW w:w="1418" w:type="dxa"/>
            <w:tcMar>
              <w:top w:w="113" w:type="dxa"/>
              <w:left w:w="113" w:type="dxa"/>
              <w:bottom w:w="113" w:type="dxa"/>
              <w:right w:w="113" w:type="dxa"/>
            </w:tcMar>
          </w:tcPr>
          <w:p w14:paraId="51263899" w14:textId="57572D9D" w:rsidR="00615DC2" w:rsidRPr="000557E0" w:rsidRDefault="00615DC2" w:rsidP="00615DC2">
            <w:pPr>
              <w:rPr>
                <w:lang w:val="en-GB" w:eastAsia="en-AU"/>
              </w:rPr>
            </w:pPr>
            <w:r w:rsidRPr="00EE103E">
              <w:rPr>
                <w:lang w:val="en-GB" w:eastAsia="en-AU"/>
              </w:rPr>
              <w:t>0</w:t>
            </w:r>
          </w:p>
        </w:tc>
        <w:tc>
          <w:tcPr>
            <w:tcW w:w="1417" w:type="dxa"/>
            <w:shd w:val="clear" w:color="auto" w:fill="auto"/>
            <w:tcMar>
              <w:top w:w="113" w:type="dxa"/>
              <w:left w:w="113" w:type="dxa"/>
              <w:bottom w:w="113" w:type="dxa"/>
              <w:right w:w="113" w:type="dxa"/>
            </w:tcMar>
          </w:tcPr>
          <w:p w14:paraId="42563899" w14:textId="467DCE41" w:rsidR="00615DC2" w:rsidRPr="000557E0" w:rsidRDefault="00615DC2" w:rsidP="00615DC2">
            <w:pPr>
              <w:keepLines w:val="0"/>
              <w:suppressAutoHyphens/>
              <w:autoSpaceDE w:val="0"/>
              <w:autoSpaceDN w:val="0"/>
              <w:adjustRightInd w:val="0"/>
              <w:spacing w:after="0" w:line="288" w:lineRule="auto"/>
              <w:textAlignment w:val="center"/>
              <w:rPr>
                <w:rFonts w:cs="Arial"/>
                <w:lang w:val="en-GB" w:eastAsia="en-AU"/>
              </w:rPr>
            </w:pPr>
            <w:r w:rsidRPr="00EE103E">
              <w:rPr>
                <w:rFonts w:cs="Arial"/>
                <w:lang w:val="en-GB" w:eastAsia="en-AU"/>
              </w:rPr>
              <w:t>0</w:t>
            </w:r>
          </w:p>
        </w:tc>
        <w:tc>
          <w:tcPr>
            <w:tcW w:w="1417" w:type="dxa"/>
          </w:tcPr>
          <w:p w14:paraId="00C61875" w14:textId="635E74DE" w:rsidR="00615DC2" w:rsidRPr="000557E0" w:rsidRDefault="00615DC2" w:rsidP="00615DC2">
            <w:pPr>
              <w:keepLines w:val="0"/>
              <w:suppressAutoHyphens/>
              <w:autoSpaceDE w:val="0"/>
              <w:autoSpaceDN w:val="0"/>
              <w:adjustRightInd w:val="0"/>
              <w:spacing w:after="0" w:line="288" w:lineRule="auto"/>
              <w:textAlignment w:val="center"/>
              <w:rPr>
                <w:lang w:val="en-GB" w:eastAsia="en-AU"/>
              </w:rPr>
            </w:pPr>
            <w:r w:rsidRPr="00EE103E">
              <w:rPr>
                <w:lang w:val="en-GB" w:eastAsia="en-AU"/>
              </w:rPr>
              <w:t>0</w:t>
            </w:r>
          </w:p>
        </w:tc>
      </w:tr>
      <w:tr w:rsidR="00D022B7" w:rsidRPr="004F3526" w14:paraId="4838D60A" w14:textId="77777777" w:rsidTr="00D022B7">
        <w:trPr>
          <w:trHeight w:val="60"/>
        </w:trPr>
        <w:tc>
          <w:tcPr>
            <w:tcW w:w="3377" w:type="dxa"/>
            <w:shd w:val="clear" w:color="auto" w:fill="2D4541" w:themeFill="accent2"/>
            <w:tcMar>
              <w:top w:w="113" w:type="dxa"/>
              <w:left w:w="113" w:type="dxa"/>
              <w:bottom w:w="113" w:type="dxa"/>
              <w:right w:w="113" w:type="dxa"/>
            </w:tcMar>
          </w:tcPr>
          <w:p w14:paraId="01582370" w14:textId="77777777" w:rsidR="00D022B7" w:rsidRPr="009233BD" w:rsidRDefault="00D022B7" w:rsidP="009233BD">
            <w:pPr>
              <w:rPr>
                <w:rStyle w:val="Strong"/>
                <w:color w:val="FFFFFF" w:themeColor="background1"/>
              </w:rPr>
            </w:pPr>
            <w:r w:rsidRPr="009233BD">
              <w:rPr>
                <w:rStyle w:val="Strong"/>
                <w:color w:val="FFFFFF" w:themeColor="background1"/>
              </w:rPr>
              <w:t>Total complaints</w:t>
            </w:r>
          </w:p>
        </w:tc>
        <w:tc>
          <w:tcPr>
            <w:tcW w:w="1417" w:type="dxa"/>
            <w:shd w:val="clear" w:color="auto" w:fill="2D4541" w:themeFill="accent2"/>
            <w:tcMar>
              <w:top w:w="113" w:type="dxa"/>
              <w:left w:w="113" w:type="dxa"/>
              <w:bottom w:w="113" w:type="dxa"/>
              <w:right w:w="113" w:type="dxa"/>
            </w:tcMar>
          </w:tcPr>
          <w:p w14:paraId="2D54382F" w14:textId="33795A13" w:rsidR="00D022B7" w:rsidRPr="000557E0" w:rsidRDefault="00615DC2" w:rsidP="009233BD">
            <w:pPr>
              <w:rPr>
                <w:rStyle w:val="Strong"/>
                <w:color w:val="FFFFFF" w:themeColor="background1"/>
              </w:rPr>
            </w:pPr>
            <w:r>
              <w:rPr>
                <w:rStyle w:val="Strong"/>
                <w:color w:val="FFFFFF" w:themeColor="background1"/>
              </w:rPr>
              <w:t>26</w:t>
            </w:r>
          </w:p>
        </w:tc>
        <w:tc>
          <w:tcPr>
            <w:tcW w:w="1418" w:type="dxa"/>
            <w:shd w:val="clear" w:color="auto" w:fill="2D4541" w:themeFill="accent2"/>
            <w:tcMar>
              <w:top w:w="113" w:type="dxa"/>
              <w:left w:w="113" w:type="dxa"/>
              <w:bottom w:w="113" w:type="dxa"/>
              <w:right w:w="113" w:type="dxa"/>
            </w:tcMar>
          </w:tcPr>
          <w:p w14:paraId="12FC3B45" w14:textId="68A4457E" w:rsidR="00D022B7" w:rsidRPr="000557E0" w:rsidRDefault="00615DC2" w:rsidP="009233BD">
            <w:pPr>
              <w:rPr>
                <w:rStyle w:val="Strong"/>
                <w:color w:val="FFFFFF" w:themeColor="background1"/>
              </w:rPr>
            </w:pPr>
            <w:r>
              <w:rPr>
                <w:rStyle w:val="Strong"/>
                <w:color w:val="FFFFFF" w:themeColor="background1"/>
              </w:rPr>
              <w:t>32</w:t>
            </w:r>
          </w:p>
        </w:tc>
        <w:tc>
          <w:tcPr>
            <w:tcW w:w="1417" w:type="dxa"/>
            <w:shd w:val="clear" w:color="auto" w:fill="2D4541" w:themeFill="accent2"/>
            <w:tcMar>
              <w:top w:w="113" w:type="dxa"/>
              <w:left w:w="113" w:type="dxa"/>
              <w:bottom w:w="113" w:type="dxa"/>
              <w:right w:w="113" w:type="dxa"/>
            </w:tcMar>
          </w:tcPr>
          <w:p w14:paraId="717A7D06" w14:textId="1794A67C" w:rsidR="00D022B7" w:rsidRPr="000557E0" w:rsidRDefault="00615DC2" w:rsidP="009233BD">
            <w:pPr>
              <w:rPr>
                <w:rStyle w:val="Strong"/>
                <w:color w:val="FFFFFF" w:themeColor="background1"/>
              </w:rPr>
            </w:pPr>
            <w:r>
              <w:rPr>
                <w:rStyle w:val="Strong"/>
                <w:color w:val="FFFFFF" w:themeColor="background1"/>
              </w:rPr>
              <w:t>11</w:t>
            </w:r>
          </w:p>
        </w:tc>
        <w:tc>
          <w:tcPr>
            <w:tcW w:w="1417" w:type="dxa"/>
            <w:shd w:val="clear" w:color="auto" w:fill="2D4541" w:themeFill="accent2"/>
          </w:tcPr>
          <w:p w14:paraId="031B4529" w14:textId="376F6479" w:rsidR="00D022B7" w:rsidRPr="000557E0" w:rsidRDefault="00615DC2" w:rsidP="009233BD">
            <w:pPr>
              <w:rPr>
                <w:rStyle w:val="Strong"/>
                <w:color w:val="FFFFFF" w:themeColor="background1"/>
              </w:rPr>
            </w:pPr>
            <w:r>
              <w:rPr>
                <w:rStyle w:val="Strong"/>
                <w:color w:val="FFFFFF" w:themeColor="background1"/>
              </w:rPr>
              <w:t>22</w:t>
            </w:r>
          </w:p>
        </w:tc>
      </w:tr>
    </w:tbl>
    <w:p w14:paraId="19B7D00A" w14:textId="77777777" w:rsidR="00EA2534" w:rsidRDefault="00EA2534">
      <w:pPr>
        <w:keepLines w:val="0"/>
        <w:spacing w:after="0" w:line="240" w:lineRule="auto"/>
        <w:rPr>
          <w:rFonts w:eastAsiaTheme="majorEastAsia" w:cs="Arial"/>
          <w:b/>
          <w:bCs/>
          <w:iCs/>
          <w:color w:val="205352"/>
          <w:sz w:val="30"/>
          <w:szCs w:val="30"/>
          <w:lang w:val="en-US"/>
        </w:rPr>
      </w:pPr>
      <w:bookmarkStart w:id="232" w:name="_Toc399316949"/>
      <w:bookmarkStart w:id="233" w:name="_Toc426617478"/>
      <w:r>
        <w:rPr>
          <w:lang w:val="en-US"/>
        </w:rPr>
        <w:br w:type="page"/>
      </w:r>
    </w:p>
    <w:p w14:paraId="64B94AAC" w14:textId="6EB10FCB" w:rsidR="005E0B3D" w:rsidRDefault="005E0B3D" w:rsidP="00870467">
      <w:pPr>
        <w:pStyle w:val="Heading2nonumber"/>
        <w:rPr>
          <w:lang w:val="en-US"/>
        </w:rPr>
      </w:pPr>
      <w:bookmarkStart w:id="234" w:name="_Toc430091203"/>
      <w:r>
        <w:rPr>
          <w:lang w:val="en-US"/>
        </w:rPr>
        <w:lastRenderedPageBreak/>
        <w:t xml:space="preserve">Insurers and </w:t>
      </w:r>
      <w:r w:rsidR="00BA28C3">
        <w:rPr>
          <w:lang w:val="en-US"/>
        </w:rPr>
        <w:t>s</w:t>
      </w:r>
      <w:r>
        <w:rPr>
          <w:lang w:val="en-US"/>
        </w:rPr>
        <w:t>elf-insurers</w:t>
      </w:r>
      <w:bookmarkEnd w:id="232"/>
      <w:bookmarkEnd w:id="233"/>
      <w:bookmarkEnd w:id="234"/>
      <w:r>
        <w:rPr>
          <w:lang w:val="en-US"/>
        </w:rPr>
        <w:t xml:space="preserve"> </w:t>
      </w:r>
    </w:p>
    <w:p w14:paraId="3372A671" w14:textId="77777777" w:rsidR="005E0B3D" w:rsidRDefault="005E0B3D" w:rsidP="00870467">
      <w:pPr>
        <w:pStyle w:val="Heading3nonumber"/>
      </w:pPr>
      <w:bookmarkStart w:id="235" w:name="_Toc426617479"/>
      <w:bookmarkStart w:id="236" w:name="_Toc430091204"/>
      <w:r>
        <w:t>Insurer monitoring</w:t>
      </w:r>
      <w:bookmarkEnd w:id="235"/>
      <w:bookmarkEnd w:id="236"/>
    </w:p>
    <w:p w14:paraId="166AD286" w14:textId="6F1389C6" w:rsidR="003E0D1B" w:rsidRDefault="003E0D1B" w:rsidP="003E0D1B">
      <w:pPr>
        <w:rPr>
          <w:rFonts w:cs="Arial"/>
        </w:rPr>
      </w:pPr>
      <w:r>
        <w:rPr>
          <w:rFonts w:cs="Arial"/>
        </w:rPr>
        <w:t>Approved</w:t>
      </w:r>
      <w:r w:rsidRPr="00B1218A">
        <w:rPr>
          <w:rFonts w:cs="Arial"/>
        </w:rPr>
        <w:t xml:space="preserve"> insurer</w:t>
      </w:r>
      <w:r>
        <w:rPr>
          <w:rFonts w:cs="Arial"/>
        </w:rPr>
        <w:t>s</w:t>
      </w:r>
      <w:r w:rsidRPr="00B1218A">
        <w:rPr>
          <w:rFonts w:cs="Arial"/>
        </w:rPr>
        <w:t xml:space="preserve"> must meet requirements set out in the Act. WorkCover WA reviews the performance of all approved insurers on an annual basis to ensure compliance with these requirements.</w:t>
      </w:r>
      <w:r>
        <w:rPr>
          <w:rFonts w:cs="Arial"/>
        </w:rPr>
        <w:t xml:space="preserve"> </w:t>
      </w:r>
    </w:p>
    <w:p w14:paraId="1B1B23FE" w14:textId="7C8FF658" w:rsidR="003E0D1B" w:rsidRPr="003E0D1B" w:rsidRDefault="003E0D1B" w:rsidP="003E0D1B">
      <w:r w:rsidRPr="003E0D1B">
        <w:t>Historically WorkCover WA has reviewed insurer performance through a process of annual insurer returns. In 2014/15 this was augmented by a new approach which tests specific performance measures through</w:t>
      </w:r>
      <w:r w:rsidR="00F42BEB">
        <w:t xml:space="preserve"> on</w:t>
      </w:r>
      <w:r w:rsidRPr="003E0D1B">
        <w:t xml:space="preserve">-site insurer audits. </w:t>
      </w:r>
      <w:r w:rsidRPr="003E0D1B">
        <w:rPr>
          <w:bCs/>
        </w:rPr>
        <w:t>An audit based approach aligns WorkCover WA practices with compliance and performance monitoring used in other jurisdictions.</w:t>
      </w:r>
      <w:r w:rsidR="00F42BEB">
        <w:rPr>
          <w:bCs/>
        </w:rPr>
        <w:t xml:space="preserve"> </w:t>
      </w:r>
      <w:r w:rsidRPr="003E0D1B">
        <w:t>The audit process is in a 12 month test phase and will be evaluated in the 2015/16 year.</w:t>
      </w:r>
    </w:p>
    <w:p w14:paraId="7B407B6C" w14:textId="77777777" w:rsidR="003E0D1B" w:rsidRPr="00932B79" w:rsidRDefault="003E0D1B" w:rsidP="003E0D1B">
      <w:pPr>
        <w:rPr>
          <w:rFonts w:cs="Arial"/>
        </w:rPr>
      </w:pPr>
      <w:r>
        <w:rPr>
          <w:rFonts w:cs="Arial"/>
        </w:rPr>
        <w:t>The performance of all approved insurers is considered by the WorkCover WA Board in an Annual Review Report.</w:t>
      </w:r>
      <w:r>
        <w:rPr>
          <w:lang w:eastAsia="en-AU"/>
        </w:rPr>
        <w:t xml:space="preserve"> </w:t>
      </w:r>
      <w:r w:rsidRPr="00932B79">
        <w:rPr>
          <w:rFonts w:cs="Arial"/>
        </w:rPr>
        <w:t xml:space="preserve">The </w:t>
      </w:r>
      <w:r>
        <w:rPr>
          <w:rFonts w:cs="Arial"/>
        </w:rPr>
        <w:t xml:space="preserve">most </w:t>
      </w:r>
      <w:r w:rsidRPr="00AF5F35">
        <w:rPr>
          <w:rFonts w:cs="Arial"/>
        </w:rPr>
        <w:t>recent (2013/14) Annual</w:t>
      </w:r>
      <w:r w:rsidRPr="00932B79">
        <w:rPr>
          <w:rFonts w:cs="Arial"/>
        </w:rPr>
        <w:t xml:space="preserve"> </w:t>
      </w:r>
      <w:r>
        <w:rPr>
          <w:rFonts w:cs="Arial"/>
        </w:rPr>
        <w:t>R</w:t>
      </w:r>
      <w:r w:rsidRPr="00932B79">
        <w:rPr>
          <w:rFonts w:cs="Arial"/>
        </w:rPr>
        <w:t xml:space="preserve">eview </w:t>
      </w:r>
      <w:r>
        <w:rPr>
          <w:rFonts w:cs="Arial"/>
        </w:rPr>
        <w:t>Report</w:t>
      </w:r>
      <w:r w:rsidRPr="00932B79">
        <w:rPr>
          <w:rFonts w:cs="Arial"/>
        </w:rPr>
        <w:t xml:space="preserve"> assessed approved</w:t>
      </w:r>
      <w:r>
        <w:rPr>
          <w:rFonts w:cs="Arial"/>
        </w:rPr>
        <w:t xml:space="preserve"> insurer</w:t>
      </w:r>
      <w:r w:rsidRPr="00932B79">
        <w:rPr>
          <w:rFonts w:cs="Arial"/>
        </w:rPr>
        <w:t xml:space="preserve"> performance against selected performance and financial indicators</w:t>
      </w:r>
      <w:r>
        <w:rPr>
          <w:rFonts w:cs="Arial"/>
        </w:rPr>
        <w:t xml:space="preserve"> and</w:t>
      </w:r>
      <w:r w:rsidRPr="00932B79">
        <w:rPr>
          <w:rFonts w:cs="Arial"/>
        </w:rPr>
        <w:t xml:space="preserve"> focused on:</w:t>
      </w:r>
    </w:p>
    <w:p w14:paraId="73CBC841" w14:textId="77777777" w:rsidR="003E0D1B" w:rsidRPr="00932B79" w:rsidRDefault="003E0D1B" w:rsidP="003E0D1B">
      <w:pPr>
        <w:pStyle w:val="BulletListLevel1"/>
      </w:pPr>
      <w:r w:rsidRPr="00932B79">
        <w:t>financial management and viability</w:t>
      </w:r>
    </w:p>
    <w:p w14:paraId="6BCE66B6" w14:textId="77777777" w:rsidR="003E0D1B" w:rsidRPr="00932B79" w:rsidRDefault="003E0D1B" w:rsidP="003E0D1B">
      <w:pPr>
        <w:pStyle w:val="BulletListLevel1"/>
      </w:pPr>
      <w:r w:rsidRPr="00932B79">
        <w:t>material and financial resources</w:t>
      </w:r>
    </w:p>
    <w:p w14:paraId="6847531E" w14:textId="77777777" w:rsidR="003E0D1B" w:rsidRPr="00932B79" w:rsidRDefault="003E0D1B" w:rsidP="003E0D1B">
      <w:pPr>
        <w:pStyle w:val="BulletListLevel1"/>
      </w:pPr>
      <w:r w:rsidRPr="00932B79">
        <w:t>claims management</w:t>
      </w:r>
    </w:p>
    <w:p w14:paraId="134CA19C" w14:textId="77777777" w:rsidR="003E0D1B" w:rsidRPr="00932B79" w:rsidRDefault="003E0D1B" w:rsidP="003E0D1B">
      <w:pPr>
        <w:pStyle w:val="BulletListLevel1"/>
      </w:pPr>
      <w:r w:rsidRPr="00932B79">
        <w:t>data management and reporting</w:t>
      </w:r>
    </w:p>
    <w:p w14:paraId="7DE08CE0" w14:textId="77777777" w:rsidR="003E0D1B" w:rsidRPr="00932B79" w:rsidRDefault="003E0D1B" w:rsidP="003E0D1B">
      <w:pPr>
        <w:pStyle w:val="BulletListLevel1"/>
      </w:pPr>
      <w:r w:rsidRPr="00932B79">
        <w:t>complaints</w:t>
      </w:r>
    </w:p>
    <w:p w14:paraId="2A8957DA" w14:textId="77777777" w:rsidR="003E0D1B" w:rsidRPr="00932B79" w:rsidRDefault="003E0D1B" w:rsidP="003E0D1B">
      <w:pPr>
        <w:pStyle w:val="BulletListLevel1"/>
      </w:pPr>
      <w:r w:rsidRPr="00932B79">
        <w:t>standards of service.</w:t>
      </w:r>
    </w:p>
    <w:p w14:paraId="71FBFE04" w14:textId="77777777" w:rsidR="003E0D1B" w:rsidRPr="00426E3A" w:rsidRDefault="003E0D1B" w:rsidP="003E0D1B">
      <w:pPr>
        <w:rPr>
          <w:rFonts w:cs="Arial"/>
        </w:rPr>
      </w:pPr>
      <w:r w:rsidRPr="00932B79">
        <w:rPr>
          <w:rFonts w:cs="Arial"/>
        </w:rPr>
        <w:t xml:space="preserve">All approved insurers </w:t>
      </w:r>
      <w:r>
        <w:rPr>
          <w:rFonts w:cs="Arial"/>
        </w:rPr>
        <w:t xml:space="preserve">were found to have </w:t>
      </w:r>
      <w:r w:rsidRPr="00932B79">
        <w:rPr>
          <w:rFonts w:cs="Arial"/>
        </w:rPr>
        <w:t xml:space="preserve">met their </w:t>
      </w:r>
      <w:r>
        <w:rPr>
          <w:rFonts w:cs="Arial"/>
        </w:rPr>
        <w:t>statutory</w:t>
      </w:r>
      <w:r w:rsidRPr="00932B79">
        <w:rPr>
          <w:rFonts w:cs="Arial"/>
        </w:rPr>
        <w:t xml:space="preserve"> obligations and </w:t>
      </w:r>
      <w:r>
        <w:rPr>
          <w:rFonts w:cs="Arial"/>
        </w:rPr>
        <w:t>maintained appropriate financial</w:t>
      </w:r>
      <w:r w:rsidRPr="00932B79">
        <w:rPr>
          <w:rFonts w:cs="Arial"/>
        </w:rPr>
        <w:t xml:space="preserve"> requirements</w:t>
      </w:r>
      <w:r>
        <w:rPr>
          <w:rFonts w:cs="Arial"/>
        </w:rPr>
        <w:t>, while some matters</w:t>
      </w:r>
      <w:r w:rsidRPr="00932B79">
        <w:rPr>
          <w:rFonts w:cs="Arial"/>
        </w:rPr>
        <w:t xml:space="preserve"> </w:t>
      </w:r>
      <w:r>
        <w:rPr>
          <w:rFonts w:cs="Arial"/>
        </w:rPr>
        <w:t xml:space="preserve">for improvement were identified and discussed </w:t>
      </w:r>
      <w:r w:rsidRPr="00426E3A">
        <w:rPr>
          <w:rFonts w:cs="Arial"/>
        </w:rPr>
        <w:t xml:space="preserve">with </w:t>
      </w:r>
      <w:r>
        <w:rPr>
          <w:rFonts w:cs="Arial"/>
        </w:rPr>
        <w:t>each</w:t>
      </w:r>
      <w:r w:rsidRPr="00426E3A">
        <w:rPr>
          <w:rFonts w:cs="Arial"/>
        </w:rPr>
        <w:t xml:space="preserve"> approved insurer. </w:t>
      </w:r>
    </w:p>
    <w:p w14:paraId="13C3D571" w14:textId="755D51D5" w:rsidR="005E0B3D" w:rsidRDefault="005E0B3D" w:rsidP="00870467">
      <w:pPr>
        <w:pStyle w:val="Heading3nonumber"/>
      </w:pPr>
      <w:bookmarkStart w:id="237" w:name="_Toc426617480"/>
      <w:bookmarkStart w:id="238" w:name="_Toc430091205"/>
      <w:r w:rsidRPr="00814100">
        <w:t>Insurer complaints</w:t>
      </w:r>
      <w:bookmarkEnd w:id="237"/>
      <w:bookmarkEnd w:id="238"/>
      <w:r w:rsidRPr="00814100">
        <w:t xml:space="preserve"> </w:t>
      </w:r>
    </w:p>
    <w:p w14:paraId="401229D1" w14:textId="4651CEFD" w:rsidR="003E0D1B" w:rsidRDefault="003E0D1B" w:rsidP="00C3455B">
      <w:pPr>
        <w:rPr>
          <w:lang w:val="en-US" w:eastAsia="en-AU"/>
        </w:rPr>
      </w:pPr>
      <w:bookmarkStart w:id="239" w:name="_Toc399316951"/>
      <w:r w:rsidRPr="00EE103E">
        <w:rPr>
          <w:lang w:val="en-US" w:eastAsia="en-AU"/>
        </w:rPr>
        <w:t xml:space="preserve">There were 11 complaints against approved insurers in 2014/15, compared with four </w:t>
      </w:r>
      <w:r>
        <w:rPr>
          <w:lang w:val="en-US" w:eastAsia="en-AU"/>
        </w:rPr>
        <w:t xml:space="preserve">in the </w:t>
      </w:r>
      <w:r w:rsidRPr="00F42BEB">
        <w:rPr>
          <w:lang w:val="en-US" w:eastAsia="en-AU"/>
        </w:rPr>
        <w:t xml:space="preserve">previous year. Of these, two were substantiated, two were proven to be unsubstantiated, </w:t>
      </w:r>
      <w:r w:rsidR="00F42BEB" w:rsidRPr="00F42BEB">
        <w:rPr>
          <w:lang w:val="en-US" w:eastAsia="en-AU"/>
        </w:rPr>
        <w:t xml:space="preserve">four </w:t>
      </w:r>
      <w:r w:rsidRPr="00F42BEB">
        <w:rPr>
          <w:lang w:val="en-US" w:eastAsia="en-AU"/>
        </w:rPr>
        <w:t xml:space="preserve">were resolved by the parties, two were outside WorkCover WA’s jurisdiction and </w:t>
      </w:r>
      <w:r w:rsidR="00F42BEB" w:rsidRPr="00F42BEB">
        <w:rPr>
          <w:lang w:val="en-US" w:eastAsia="en-AU"/>
        </w:rPr>
        <w:t>one was withdrawn.</w:t>
      </w:r>
    </w:p>
    <w:p w14:paraId="13DAFC03" w14:textId="7B066927" w:rsidR="003E0D1B" w:rsidRDefault="009A3BED" w:rsidP="00C3455B">
      <w:pPr>
        <w:rPr>
          <w:lang w:val="en-US" w:eastAsia="en-AU"/>
        </w:rPr>
      </w:pPr>
      <w:r>
        <w:rPr>
          <w:lang w:val="en-US" w:eastAsia="en-AU"/>
        </w:rPr>
        <w:lastRenderedPageBreak/>
        <w:t>WorkCover </w:t>
      </w:r>
      <w:r w:rsidR="003E0D1B">
        <w:rPr>
          <w:lang w:val="en-US" w:eastAsia="en-AU"/>
        </w:rPr>
        <w:t>WA manages c</w:t>
      </w:r>
      <w:r w:rsidR="003E0D1B" w:rsidRPr="00A92B31">
        <w:rPr>
          <w:lang w:val="en-US" w:eastAsia="en-AU"/>
        </w:rPr>
        <w:t xml:space="preserve">omplaints </w:t>
      </w:r>
      <w:r w:rsidR="003E0D1B">
        <w:rPr>
          <w:lang w:val="en-US" w:eastAsia="en-AU"/>
        </w:rPr>
        <w:t xml:space="preserve">made about approved insurers </w:t>
      </w:r>
      <w:r w:rsidR="003E0D1B" w:rsidRPr="00A92B31">
        <w:rPr>
          <w:lang w:val="en-US" w:eastAsia="en-AU"/>
        </w:rPr>
        <w:t xml:space="preserve">in accordance with </w:t>
      </w:r>
      <w:r w:rsidR="003E0D1B">
        <w:rPr>
          <w:lang w:val="en-US" w:eastAsia="en-AU"/>
        </w:rPr>
        <w:t xml:space="preserve">the </w:t>
      </w:r>
      <w:r w:rsidR="003E0D1B" w:rsidRPr="00FE0427">
        <w:rPr>
          <w:i/>
          <w:lang w:val="en-US" w:eastAsia="en-AU"/>
        </w:rPr>
        <w:t>Complaints Against Scheme Participants Policy</w:t>
      </w:r>
      <w:r w:rsidR="003E0D1B">
        <w:rPr>
          <w:lang w:val="en-US" w:eastAsia="en-AU"/>
        </w:rPr>
        <w:t>. Processes and procedures for making a complaint are available on the WorkCover WA website.</w:t>
      </w:r>
    </w:p>
    <w:p w14:paraId="597689E0" w14:textId="502222AE" w:rsidR="00D022B7" w:rsidRDefault="00D022B7" w:rsidP="00870467">
      <w:pPr>
        <w:pStyle w:val="Heading2nonumber"/>
        <w:rPr>
          <w:lang w:val="en-US"/>
        </w:rPr>
      </w:pPr>
      <w:bookmarkStart w:id="240" w:name="_Toc426617481"/>
      <w:bookmarkStart w:id="241" w:name="_Toc430091206"/>
      <w:r>
        <w:rPr>
          <w:lang w:val="en-US"/>
        </w:rPr>
        <w:t>Registered agents</w:t>
      </w:r>
      <w:bookmarkEnd w:id="239"/>
      <w:bookmarkEnd w:id="240"/>
      <w:bookmarkEnd w:id="241"/>
    </w:p>
    <w:p w14:paraId="1002B14F" w14:textId="77777777" w:rsidR="009D3265" w:rsidRDefault="004421D7" w:rsidP="004421D7">
      <w:pPr>
        <w:rPr>
          <w:rFonts w:cs="Arial"/>
        </w:rPr>
      </w:pPr>
      <w:r>
        <w:t>WorkCover</w:t>
      </w:r>
      <w:r w:rsidR="009A3BED">
        <w:t> </w:t>
      </w:r>
      <w:r>
        <w:t xml:space="preserve">WA registers agents who may </w:t>
      </w:r>
      <w:r>
        <w:rPr>
          <w:rFonts w:cs="Arial"/>
        </w:rPr>
        <w:t xml:space="preserve">represent parties in proceedings in the Conciliation and Arbitration Services. </w:t>
      </w:r>
    </w:p>
    <w:p w14:paraId="35ED4364" w14:textId="1DBD9190" w:rsidR="009D3265" w:rsidRDefault="009D3265" w:rsidP="004421D7">
      <w:pPr>
        <w:rPr>
          <w:rFonts w:cs="Arial"/>
        </w:rPr>
      </w:pPr>
      <w:r>
        <w:rPr>
          <w:rFonts w:cs="Arial"/>
        </w:rPr>
        <w:t xml:space="preserve">Registered agents are subject to performance monitoring by WorkCover WA for compliance with the </w:t>
      </w:r>
      <w:r w:rsidRPr="009D3265">
        <w:rPr>
          <w:rFonts w:cs="Arial"/>
          <w:i/>
        </w:rPr>
        <w:t>Registered Agents Code of Conduct</w:t>
      </w:r>
      <w:r>
        <w:rPr>
          <w:rFonts w:cs="Arial"/>
        </w:rPr>
        <w:t>.</w:t>
      </w:r>
    </w:p>
    <w:p w14:paraId="56937739" w14:textId="726ADCEC" w:rsidR="004421D7" w:rsidRDefault="004421D7" w:rsidP="004421D7">
      <w:pPr>
        <w:rPr>
          <w:rFonts w:cs="Arial"/>
        </w:rPr>
      </w:pPr>
      <w:r>
        <w:rPr>
          <w:rFonts w:cs="Arial"/>
        </w:rPr>
        <w:t>Most registered agents are employees of insurers, self-insurers, law firms or representative organisations and act under the instruction of their employe</w:t>
      </w:r>
      <w:r w:rsidR="009D3265">
        <w:rPr>
          <w:rFonts w:cs="Arial"/>
        </w:rPr>
        <w:t xml:space="preserve">r. </w:t>
      </w:r>
      <w:r>
        <w:rPr>
          <w:rFonts w:cs="Arial"/>
        </w:rPr>
        <w:t>Additionally, in 2014/15 there were five independent registered agents</w:t>
      </w:r>
      <w:r w:rsidR="009D3265">
        <w:rPr>
          <w:rFonts w:cs="Arial"/>
        </w:rPr>
        <w:t>.</w:t>
      </w:r>
    </w:p>
    <w:p w14:paraId="23F24986" w14:textId="4E3B5022" w:rsidR="00D022B7" w:rsidRPr="00FD7E68" w:rsidRDefault="00D022B7" w:rsidP="00870467">
      <w:pPr>
        <w:pStyle w:val="Heading3nonumber"/>
      </w:pPr>
      <w:bookmarkStart w:id="242" w:name="_Toc426617482"/>
      <w:bookmarkStart w:id="243" w:name="_Toc430091207"/>
      <w:r>
        <w:t>Registered agent complaints</w:t>
      </w:r>
      <w:bookmarkEnd w:id="242"/>
      <w:bookmarkEnd w:id="243"/>
    </w:p>
    <w:p w14:paraId="48BE93C7" w14:textId="09EE0048" w:rsidR="00B0533B" w:rsidRPr="000D481D" w:rsidRDefault="004421D7" w:rsidP="000D481D">
      <w:r w:rsidRPr="00A92B31">
        <w:t>WorkCover WA received seven</w:t>
      </w:r>
      <w:r>
        <w:t xml:space="preserve"> formal</w:t>
      </w:r>
      <w:r w:rsidRPr="00A92B31">
        <w:t xml:space="preserve"> complaints against independent registered agents in 2014/15. Of these complaints, two were withdrawn, two </w:t>
      </w:r>
      <w:r>
        <w:t>proved</w:t>
      </w:r>
      <w:r w:rsidRPr="00A92B31">
        <w:t xml:space="preserve"> to be unsubstantiated</w:t>
      </w:r>
      <w:r>
        <w:t>,</w:t>
      </w:r>
      <w:r w:rsidRPr="00A92B31">
        <w:t xml:space="preserve"> and two </w:t>
      </w:r>
      <w:r w:rsidR="00B00954">
        <w:t>complaints remain</w:t>
      </w:r>
      <w:r>
        <w:t xml:space="preserve"> under investigation</w:t>
      </w:r>
      <w:r w:rsidRPr="00A92B31">
        <w:t xml:space="preserve">. </w:t>
      </w:r>
      <w:r w:rsidR="00B00954">
        <w:t>One involved five allegations, three of which were substantiated.</w:t>
      </w:r>
    </w:p>
    <w:p w14:paraId="1CE6665F" w14:textId="77777777" w:rsidR="007F5302" w:rsidRDefault="002A3B08" w:rsidP="00870467">
      <w:pPr>
        <w:pStyle w:val="Heading2nonumber"/>
        <w:rPr>
          <w:lang w:val="en-US"/>
        </w:rPr>
      </w:pPr>
      <w:bookmarkStart w:id="244" w:name="_Toc399316950"/>
      <w:bookmarkStart w:id="245" w:name="_Toc426617483"/>
      <w:bookmarkStart w:id="246" w:name="_Toc430091208"/>
      <w:r>
        <w:rPr>
          <w:lang w:val="en-US"/>
        </w:rPr>
        <w:t>Workplace rehabilitation providers</w:t>
      </w:r>
      <w:bookmarkEnd w:id="244"/>
      <w:bookmarkEnd w:id="245"/>
      <w:bookmarkEnd w:id="246"/>
      <w:r>
        <w:rPr>
          <w:lang w:val="en-US"/>
        </w:rPr>
        <w:t xml:space="preserve"> </w:t>
      </w:r>
    </w:p>
    <w:p w14:paraId="4DF205DB" w14:textId="77777777" w:rsidR="002A3B08" w:rsidRDefault="002A3B08" w:rsidP="00C3455B">
      <w:pPr>
        <w:pStyle w:val="Heading3nonumber"/>
      </w:pPr>
      <w:bookmarkStart w:id="247" w:name="_Toc426617484"/>
      <w:bookmarkStart w:id="248" w:name="_Toc430091209"/>
      <w:r>
        <w:t>Audit framework</w:t>
      </w:r>
      <w:bookmarkEnd w:id="247"/>
      <w:bookmarkEnd w:id="248"/>
      <w:r>
        <w:t xml:space="preserve"> </w:t>
      </w:r>
    </w:p>
    <w:p w14:paraId="67783389" w14:textId="203452C9" w:rsidR="00DA749B" w:rsidRDefault="00DA749B" w:rsidP="00DA749B">
      <w:pPr>
        <w:rPr>
          <w:sz w:val="22"/>
          <w:szCs w:val="22"/>
          <w:lang w:val="en-US" w:eastAsia="en-AU"/>
        </w:rPr>
      </w:pPr>
      <w:r>
        <w:rPr>
          <w:lang w:val="en-US"/>
        </w:rPr>
        <w:t>WorkCover WA u</w:t>
      </w:r>
      <w:r w:rsidR="002F7770">
        <w:rPr>
          <w:lang w:val="en-US"/>
        </w:rPr>
        <w:t xml:space="preserve">tilises </w:t>
      </w:r>
      <w:r>
        <w:rPr>
          <w:lang w:val="en-US"/>
        </w:rPr>
        <w:t xml:space="preserve">an audit framework for </w:t>
      </w:r>
      <w:r w:rsidR="009A45A4">
        <w:rPr>
          <w:lang w:val="en-US"/>
        </w:rPr>
        <w:t>WRPs</w:t>
      </w:r>
      <w:r>
        <w:rPr>
          <w:lang w:val="en-US"/>
        </w:rPr>
        <w:t xml:space="preserve"> based on </w:t>
      </w:r>
      <w:r w:rsidRPr="007C24F3">
        <w:rPr>
          <w:i/>
          <w:lang w:val="en-US"/>
        </w:rPr>
        <w:t>Service Provision and Service Description Standards</w:t>
      </w:r>
      <w:r>
        <w:rPr>
          <w:lang w:val="en-US"/>
        </w:rPr>
        <w:t xml:space="preserve"> implemented in December 2011. These WRP standards are nationally consistent and are used by all workers’ compensation jurisdictions.</w:t>
      </w:r>
    </w:p>
    <w:p w14:paraId="095DEE4F" w14:textId="77777777" w:rsidR="00DA749B" w:rsidRPr="002B43CC" w:rsidRDefault="00DA749B" w:rsidP="00DA749B">
      <w:r>
        <w:t xml:space="preserve">Throughout </w:t>
      </w:r>
      <w:r w:rsidRPr="002B43CC">
        <w:t>2014/2015 WorkCover</w:t>
      </w:r>
      <w:r>
        <w:t> WA completed</w:t>
      </w:r>
      <w:r w:rsidRPr="002B43CC">
        <w:t xml:space="preserve"> </w:t>
      </w:r>
      <w:r>
        <w:t>the five audits planned for the year.</w:t>
      </w:r>
    </w:p>
    <w:p w14:paraId="4E2DCAFE" w14:textId="77777777" w:rsidR="006B56C0" w:rsidRPr="00C3455B" w:rsidRDefault="002F69BD" w:rsidP="00C3455B">
      <w:pPr>
        <w:pStyle w:val="Heading3nonumber"/>
      </w:pPr>
      <w:bookmarkStart w:id="249" w:name="_Toc426617485"/>
      <w:bookmarkStart w:id="250" w:name="_Toc430091210"/>
      <w:r w:rsidRPr="00C3455B">
        <w:t>Workplace rehabilitation provider complaints</w:t>
      </w:r>
      <w:bookmarkEnd w:id="249"/>
      <w:bookmarkEnd w:id="250"/>
      <w:r w:rsidRPr="00C3455B">
        <w:t xml:space="preserve"> </w:t>
      </w:r>
    </w:p>
    <w:p w14:paraId="24D54EFD" w14:textId="77777777" w:rsidR="00DA749B" w:rsidRPr="007764AD" w:rsidRDefault="00DA749B" w:rsidP="007764AD">
      <w:pPr>
        <w:rPr>
          <w:lang w:val="en-US"/>
        </w:rPr>
      </w:pPr>
      <w:bookmarkStart w:id="251" w:name="_Toc399316952"/>
      <w:r w:rsidRPr="007764AD">
        <w:rPr>
          <w:lang w:val="en-US"/>
        </w:rPr>
        <w:t>There were two complaints against WRPs in 2014/15, compared to one in the previous financial year.</w:t>
      </w:r>
    </w:p>
    <w:p w14:paraId="2643F9C2" w14:textId="77777777" w:rsidR="00DA749B" w:rsidRPr="007764AD" w:rsidRDefault="00DA749B" w:rsidP="007764AD">
      <w:pPr>
        <w:rPr>
          <w:bCs/>
          <w:lang w:val="en-US"/>
        </w:rPr>
      </w:pPr>
      <w:r w:rsidRPr="007764AD">
        <w:rPr>
          <w:bCs/>
          <w:lang w:val="en-US"/>
        </w:rPr>
        <w:t>One complaint was partially substantiated and the other was substantiated. Both complaints resulted in a requirement that the WRP amend its procedures.</w:t>
      </w:r>
    </w:p>
    <w:p w14:paraId="39190316" w14:textId="023C4F92" w:rsidR="00CD6894" w:rsidRPr="00164D92" w:rsidRDefault="00CD6894" w:rsidP="00870467">
      <w:pPr>
        <w:pStyle w:val="Heading2nonumber"/>
      </w:pPr>
      <w:bookmarkStart w:id="252" w:name="_Toc426617486"/>
      <w:bookmarkStart w:id="253" w:name="_Toc430091211"/>
      <w:r w:rsidRPr="00164D92">
        <w:lastRenderedPageBreak/>
        <w:t>Approved audiometric officers</w:t>
      </w:r>
      <w:bookmarkEnd w:id="251"/>
      <w:bookmarkEnd w:id="252"/>
      <w:bookmarkEnd w:id="253"/>
      <w:r w:rsidRPr="00164D92">
        <w:t xml:space="preserve"> </w:t>
      </w:r>
    </w:p>
    <w:p w14:paraId="3E687A75" w14:textId="194DC673" w:rsidR="00DA749B" w:rsidRDefault="00DA749B" w:rsidP="00DA749B">
      <w:bookmarkStart w:id="254" w:name="_Toc399316953"/>
      <w:r>
        <w:t xml:space="preserve">Audiometric officers, </w:t>
      </w:r>
      <w:r w:rsidR="002F7770">
        <w:t>a</w:t>
      </w:r>
      <w:r>
        <w:t xml:space="preserve">udiometrists and </w:t>
      </w:r>
      <w:r w:rsidR="002F7770">
        <w:t>a</w:t>
      </w:r>
      <w:r>
        <w:t xml:space="preserve">udiologists </w:t>
      </w:r>
      <w:r w:rsidR="002F7770">
        <w:t xml:space="preserve">(AAOs) </w:t>
      </w:r>
      <w:r w:rsidR="00C90BB7">
        <w:t xml:space="preserve">are approved by </w:t>
      </w:r>
      <w:r>
        <w:t>WorkCover WA to conduc</w:t>
      </w:r>
      <w:r w:rsidR="00C90BB7">
        <w:t xml:space="preserve">t air conduction hearing tests. </w:t>
      </w:r>
      <w:r>
        <w:t>A regulatory framework ensures high standards are maintained for the processing of hearing tests and audiological testing.</w:t>
      </w:r>
    </w:p>
    <w:p w14:paraId="492EBBD6" w14:textId="77777777" w:rsidR="00DA749B" w:rsidRDefault="00DA749B" w:rsidP="00DA749B">
      <w:r>
        <w:t>No complaints were recorded against AAOs in 2014/15.</w:t>
      </w:r>
    </w:p>
    <w:p w14:paraId="6850F89E" w14:textId="20D31DCF" w:rsidR="000F595E" w:rsidRDefault="00662BF2" w:rsidP="00870467">
      <w:pPr>
        <w:pStyle w:val="Heading2nonumber"/>
      </w:pPr>
      <w:bookmarkStart w:id="255" w:name="_Toc426617487"/>
      <w:bookmarkStart w:id="256" w:name="_Toc430091212"/>
      <w:r>
        <w:t>Approved Medical S</w:t>
      </w:r>
      <w:r w:rsidR="00CD6894">
        <w:t>pecialists</w:t>
      </w:r>
      <w:bookmarkEnd w:id="254"/>
      <w:bookmarkEnd w:id="255"/>
      <w:bookmarkEnd w:id="256"/>
      <w:r w:rsidR="00CD6894">
        <w:t xml:space="preserve"> </w:t>
      </w:r>
    </w:p>
    <w:p w14:paraId="52E963BC" w14:textId="1D4376FC" w:rsidR="00D81DCB" w:rsidRPr="00703D25" w:rsidRDefault="00662BF2" w:rsidP="00D81DCB">
      <w:pPr>
        <w:rPr>
          <w:rFonts w:eastAsia="Calibri"/>
        </w:rPr>
      </w:pPr>
      <w:r>
        <w:rPr>
          <w:rFonts w:eastAsia="Calibri"/>
        </w:rPr>
        <w:t xml:space="preserve">WorkCover WA </w:t>
      </w:r>
      <w:r w:rsidR="00B772A7">
        <w:rPr>
          <w:rFonts w:eastAsia="Calibri"/>
        </w:rPr>
        <w:t>a</w:t>
      </w:r>
      <w:r w:rsidR="00D81DCB" w:rsidRPr="00703D25">
        <w:rPr>
          <w:rFonts w:eastAsia="Calibri"/>
        </w:rPr>
        <w:t>pprove</w:t>
      </w:r>
      <w:r w:rsidR="00D81DCB">
        <w:rPr>
          <w:rFonts w:eastAsia="Calibri"/>
        </w:rPr>
        <w:t>s</w:t>
      </w:r>
      <w:r>
        <w:rPr>
          <w:rFonts w:eastAsia="Calibri"/>
        </w:rPr>
        <w:t xml:space="preserve"> </w:t>
      </w:r>
      <w:r w:rsidR="00B772A7">
        <w:rPr>
          <w:rFonts w:eastAsia="Calibri"/>
        </w:rPr>
        <w:t>m</w:t>
      </w:r>
      <w:r>
        <w:rPr>
          <w:rFonts w:eastAsia="Calibri"/>
        </w:rPr>
        <w:t xml:space="preserve">edical </w:t>
      </w:r>
      <w:r w:rsidR="00B772A7">
        <w:rPr>
          <w:rFonts w:eastAsia="Calibri"/>
        </w:rPr>
        <w:t>s</w:t>
      </w:r>
      <w:r w:rsidR="00D81DCB" w:rsidRPr="00703D25">
        <w:rPr>
          <w:rFonts w:eastAsia="Calibri"/>
        </w:rPr>
        <w:t xml:space="preserve">pecialists </w:t>
      </w:r>
      <w:r w:rsidR="00D81DCB">
        <w:rPr>
          <w:rFonts w:eastAsia="Calibri"/>
        </w:rPr>
        <w:t xml:space="preserve">who </w:t>
      </w:r>
      <w:r w:rsidR="00D81DCB" w:rsidRPr="00703D25">
        <w:rPr>
          <w:rFonts w:eastAsia="Calibri"/>
        </w:rPr>
        <w:t>are designated to assess a worker’s degree of permanent whole person impairment.</w:t>
      </w:r>
    </w:p>
    <w:p w14:paraId="5EA3F8A3" w14:textId="6EDC8C24" w:rsidR="00D81DCB" w:rsidRPr="00703D25" w:rsidRDefault="00D81DCB" w:rsidP="00D81DCB">
      <w:pPr>
        <w:rPr>
          <w:rFonts w:eastAsia="Calibri"/>
        </w:rPr>
      </w:pPr>
      <w:r>
        <w:rPr>
          <w:rFonts w:eastAsia="Calibri"/>
        </w:rPr>
        <w:t xml:space="preserve">To provide </w:t>
      </w:r>
      <w:r w:rsidR="00DC188F">
        <w:rPr>
          <w:rFonts w:eastAsia="Calibri"/>
        </w:rPr>
        <w:t>ongoing</w:t>
      </w:r>
      <w:r>
        <w:rPr>
          <w:rFonts w:eastAsia="Calibri"/>
        </w:rPr>
        <w:t xml:space="preserve"> education in the assessment of </w:t>
      </w:r>
      <w:r w:rsidRPr="00703D25">
        <w:rPr>
          <w:rFonts w:eastAsia="Calibri"/>
        </w:rPr>
        <w:t>permanent whole person impairment</w:t>
      </w:r>
      <w:r>
        <w:rPr>
          <w:rFonts w:eastAsia="Calibri"/>
        </w:rPr>
        <w:t xml:space="preserve">, </w:t>
      </w:r>
      <w:r w:rsidRPr="00703D25">
        <w:rPr>
          <w:rFonts w:eastAsia="Calibri"/>
        </w:rPr>
        <w:t>WorkCover WA conducts AMS peer review sessions</w:t>
      </w:r>
      <w:r>
        <w:rPr>
          <w:rFonts w:eastAsia="Calibri"/>
        </w:rPr>
        <w:t xml:space="preserve"> to discuss </w:t>
      </w:r>
      <w:r w:rsidRPr="00703D25">
        <w:rPr>
          <w:rFonts w:eastAsia="Calibri"/>
        </w:rPr>
        <w:t xml:space="preserve">case </w:t>
      </w:r>
      <w:r>
        <w:rPr>
          <w:rFonts w:eastAsia="Calibri"/>
        </w:rPr>
        <w:t>studies</w:t>
      </w:r>
      <w:r w:rsidRPr="00703D25">
        <w:rPr>
          <w:rFonts w:eastAsia="Calibri"/>
        </w:rPr>
        <w:t xml:space="preserve">. Two peer review sessions were held in 2014/15, with the most recent event </w:t>
      </w:r>
      <w:r w:rsidR="002F7770">
        <w:rPr>
          <w:rFonts w:eastAsia="Calibri"/>
        </w:rPr>
        <w:t>focu</w:t>
      </w:r>
      <w:r>
        <w:rPr>
          <w:rFonts w:eastAsia="Calibri"/>
        </w:rPr>
        <w:t>sed on</w:t>
      </w:r>
      <w:r w:rsidRPr="00703D25">
        <w:rPr>
          <w:rFonts w:eastAsia="Calibri"/>
        </w:rPr>
        <w:t xml:space="preserve"> psychiatr</w:t>
      </w:r>
      <w:r>
        <w:rPr>
          <w:rFonts w:eastAsia="Calibri"/>
        </w:rPr>
        <w:t>ic assessment</w:t>
      </w:r>
      <w:r w:rsidRPr="00703D25">
        <w:rPr>
          <w:rFonts w:eastAsia="Calibri"/>
        </w:rPr>
        <w:t>.</w:t>
      </w:r>
    </w:p>
    <w:p w14:paraId="3C72A4A9" w14:textId="4AB58902" w:rsidR="00703D25" w:rsidRPr="00703D25" w:rsidRDefault="00D81DCB" w:rsidP="00D81DCB">
      <w:pPr>
        <w:rPr>
          <w:rFonts w:eastAsia="Calibri"/>
        </w:rPr>
      </w:pPr>
      <w:r w:rsidRPr="00703D25">
        <w:rPr>
          <w:rFonts w:eastAsia="Calibri"/>
        </w:rPr>
        <w:t>Based on the success of the peer review format and the inaugural Psychiatric Peer Review</w:t>
      </w:r>
      <w:r>
        <w:rPr>
          <w:rFonts w:eastAsia="Calibri"/>
        </w:rPr>
        <w:t xml:space="preserve"> session</w:t>
      </w:r>
      <w:r w:rsidRPr="00703D25">
        <w:rPr>
          <w:rFonts w:eastAsia="Calibri"/>
        </w:rPr>
        <w:t>, WorkCover </w:t>
      </w:r>
      <w:r w:rsidR="005A707F">
        <w:rPr>
          <w:rFonts w:eastAsia="Calibri"/>
        </w:rPr>
        <w:t>WA will continue the program in 2015/16, with a focus on speciality areas.</w:t>
      </w:r>
    </w:p>
    <w:p w14:paraId="407873AE" w14:textId="32346B94" w:rsidR="000F595E" w:rsidRPr="00C3455B" w:rsidRDefault="00156F1F" w:rsidP="00C3455B">
      <w:pPr>
        <w:pStyle w:val="Heading3nonumber"/>
        <w:rPr>
          <w:rStyle w:val="Emphasis"/>
          <w:i w:val="0"/>
          <w:iCs w:val="0"/>
          <w:color w:val="86731E" w:themeColor="text1"/>
        </w:rPr>
      </w:pPr>
      <w:bookmarkStart w:id="257" w:name="_Toc426617488"/>
      <w:bookmarkStart w:id="258" w:name="_Toc430091213"/>
      <w:r w:rsidRPr="00C3455B">
        <w:rPr>
          <w:rStyle w:val="Emphasis"/>
          <w:i w:val="0"/>
          <w:iCs w:val="0"/>
          <w:color w:val="86731E" w:themeColor="text1"/>
        </w:rPr>
        <w:t xml:space="preserve">Complaints against </w:t>
      </w:r>
      <w:r w:rsidR="00B87212" w:rsidRPr="00C3455B">
        <w:rPr>
          <w:rStyle w:val="Emphasis"/>
          <w:i w:val="0"/>
          <w:iCs w:val="0"/>
          <w:color w:val="86731E" w:themeColor="text1"/>
        </w:rPr>
        <w:t>Approved Medical Specialist</w:t>
      </w:r>
      <w:r w:rsidRPr="00C3455B">
        <w:rPr>
          <w:rStyle w:val="Emphasis"/>
          <w:i w:val="0"/>
          <w:iCs w:val="0"/>
          <w:color w:val="86731E" w:themeColor="text1"/>
        </w:rPr>
        <w:t>s</w:t>
      </w:r>
      <w:bookmarkEnd w:id="257"/>
      <w:bookmarkEnd w:id="258"/>
      <w:r w:rsidR="00A66D90" w:rsidRPr="00C3455B">
        <w:rPr>
          <w:rStyle w:val="Emphasis"/>
          <w:i w:val="0"/>
          <w:iCs w:val="0"/>
          <w:color w:val="86731E" w:themeColor="text1"/>
        </w:rPr>
        <w:t xml:space="preserve"> </w:t>
      </w:r>
    </w:p>
    <w:p w14:paraId="472D9FCD" w14:textId="12E91600" w:rsidR="00EA2534" w:rsidRDefault="00614DAF" w:rsidP="00932B79">
      <w:r>
        <w:t>Two</w:t>
      </w:r>
      <w:r w:rsidR="00EC50EC">
        <w:t xml:space="preserve"> complaints</w:t>
      </w:r>
      <w:r>
        <w:t xml:space="preserve"> were</w:t>
      </w:r>
      <w:r w:rsidR="00EC50EC">
        <w:t xml:space="preserve"> </w:t>
      </w:r>
      <w:r w:rsidR="00D81DCB">
        <w:t xml:space="preserve">brought </w:t>
      </w:r>
      <w:r w:rsidR="00703D25" w:rsidRPr="00703D25">
        <w:t>against AMS i</w:t>
      </w:r>
      <w:r w:rsidR="00703D25">
        <w:t>n 2014/15</w:t>
      </w:r>
      <w:r>
        <w:t xml:space="preserve"> both of which</w:t>
      </w:r>
      <w:r w:rsidR="00703D25">
        <w:t xml:space="preserve"> were unsubstantiated.</w:t>
      </w:r>
      <w:r w:rsidR="00703D25" w:rsidRPr="00703D25">
        <w:t xml:space="preserve"> Two of the five complaints filed in 2013/14 remain under investigation.</w:t>
      </w:r>
      <w:bookmarkStart w:id="259" w:name="_Toc399316954"/>
    </w:p>
    <w:p w14:paraId="245CB06D" w14:textId="3E0F617B" w:rsidR="00242CA4" w:rsidRDefault="00EA2534" w:rsidP="00EA2534">
      <w:pPr>
        <w:keepLines w:val="0"/>
        <w:spacing w:after="0" w:line="240" w:lineRule="auto"/>
      </w:pPr>
      <w:r>
        <w:br w:type="page"/>
      </w:r>
    </w:p>
    <w:p w14:paraId="08E6B8E4" w14:textId="09CACCBC" w:rsidR="00B9568B" w:rsidRDefault="00116797" w:rsidP="00A22FB6">
      <w:pPr>
        <w:pStyle w:val="Heading1nonumber"/>
      </w:pPr>
      <w:bookmarkStart w:id="260" w:name="_Toc426617489"/>
      <w:bookmarkStart w:id="261" w:name="_Toc430091214"/>
      <w:bookmarkEnd w:id="259"/>
      <w:r>
        <w:lastRenderedPageBreak/>
        <w:t>Improving scheme performance</w:t>
      </w:r>
      <w:bookmarkEnd w:id="260"/>
      <w:bookmarkEnd w:id="261"/>
      <w:r>
        <w:t xml:space="preserve"> </w:t>
      </w:r>
    </w:p>
    <w:tbl>
      <w:tblPr>
        <w:tblW w:w="9072" w:type="dxa"/>
        <w:tblInd w:w="80" w:type="dxa"/>
        <w:tblBorders>
          <w:top w:val="single" w:sz="8" w:space="0" w:color="897719" w:themeColor="accent3"/>
          <w:left w:val="single" w:sz="8" w:space="0" w:color="897719" w:themeColor="accent3"/>
          <w:bottom w:val="single" w:sz="8" w:space="0" w:color="897719" w:themeColor="accent3"/>
          <w:right w:val="single" w:sz="8" w:space="0" w:color="897719" w:themeColor="accent3"/>
          <w:insideH w:val="single" w:sz="8" w:space="0" w:color="897719" w:themeColor="accent3"/>
          <w:insideV w:val="single" w:sz="8" w:space="0" w:color="897719" w:themeColor="accent3"/>
        </w:tblBorders>
        <w:tblLayout w:type="fixed"/>
        <w:tblCellMar>
          <w:left w:w="0" w:type="dxa"/>
          <w:right w:w="0" w:type="dxa"/>
        </w:tblCellMar>
        <w:tblLook w:val="0000" w:firstRow="0" w:lastRow="0" w:firstColumn="0" w:lastColumn="0" w:noHBand="0" w:noVBand="0"/>
      </w:tblPr>
      <w:tblGrid>
        <w:gridCol w:w="2217"/>
        <w:gridCol w:w="4214"/>
        <w:gridCol w:w="2641"/>
      </w:tblGrid>
      <w:tr w:rsidR="00794A0D" w:rsidRPr="00630BE0" w14:paraId="41827F37" w14:textId="77777777" w:rsidTr="00AF5F61">
        <w:trPr>
          <w:trHeight w:val="60"/>
        </w:trPr>
        <w:tc>
          <w:tcPr>
            <w:tcW w:w="2217" w:type="dxa"/>
            <w:vMerge w:val="restart"/>
            <w:tcBorders>
              <w:right w:val="single" w:sz="8" w:space="0" w:color="F5EDC1" w:themeColor="accent4"/>
            </w:tcBorders>
            <w:shd w:val="clear" w:color="auto" w:fill="86731E" w:themeFill="text1"/>
            <w:tcMar>
              <w:top w:w="113" w:type="dxa"/>
              <w:left w:w="80" w:type="dxa"/>
              <w:bottom w:w="113" w:type="dxa"/>
              <w:right w:w="80" w:type="dxa"/>
            </w:tcMar>
          </w:tcPr>
          <w:p w14:paraId="164FC3A5" w14:textId="77777777" w:rsidR="00794A0D" w:rsidRPr="00630BE0" w:rsidRDefault="00794A0D" w:rsidP="00794A0D">
            <w:pPr>
              <w:rPr>
                <w:rStyle w:val="Strong"/>
              </w:rPr>
            </w:pPr>
            <w:r w:rsidRPr="00630BE0">
              <w:rPr>
                <w:rStyle w:val="Strong"/>
              </w:rPr>
              <w:t>This scheme service contributes to, and is aligned with:</w:t>
            </w:r>
          </w:p>
        </w:tc>
        <w:tc>
          <w:tcPr>
            <w:tcW w:w="4214" w:type="dxa"/>
            <w:tcBorders>
              <w:left w:val="single" w:sz="8" w:space="0" w:color="F5EDC1" w:themeColor="accent4"/>
            </w:tcBorders>
            <w:shd w:val="clear" w:color="auto" w:fill="86731E" w:themeFill="text1"/>
            <w:tcMar>
              <w:top w:w="113" w:type="dxa"/>
              <w:left w:w="80" w:type="dxa"/>
              <w:bottom w:w="113" w:type="dxa"/>
              <w:right w:w="80" w:type="dxa"/>
            </w:tcMar>
          </w:tcPr>
          <w:p w14:paraId="0D1148FE" w14:textId="77777777" w:rsidR="00794A0D" w:rsidRPr="00630BE0" w:rsidRDefault="00794A0D" w:rsidP="00794A0D">
            <w:pPr>
              <w:rPr>
                <w:rStyle w:val="Strong"/>
              </w:rPr>
            </w:pPr>
            <w:r w:rsidRPr="00630BE0">
              <w:rPr>
                <w:rStyle w:val="Strong"/>
              </w:rPr>
              <w:t>Government Goal(s)</w:t>
            </w:r>
          </w:p>
        </w:tc>
        <w:tc>
          <w:tcPr>
            <w:tcW w:w="2641" w:type="dxa"/>
            <w:shd w:val="clear" w:color="auto" w:fill="86731E" w:themeFill="text1"/>
            <w:tcMar>
              <w:top w:w="113" w:type="dxa"/>
              <w:left w:w="80" w:type="dxa"/>
              <w:bottom w:w="113" w:type="dxa"/>
              <w:right w:w="80" w:type="dxa"/>
            </w:tcMar>
          </w:tcPr>
          <w:p w14:paraId="6B29E6A7" w14:textId="619514D7" w:rsidR="00794A0D" w:rsidRPr="00630BE0" w:rsidRDefault="00C726B0" w:rsidP="00794A0D">
            <w:pPr>
              <w:rPr>
                <w:rStyle w:val="Strong"/>
              </w:rPr>
            </w:pPr>
            <w:r>
              <w:rPr>
                <w:rStyle w:val="Strong"/>
              </w:rPr>
              <w:t>WorkCover WA</w:t>
            </w:r>
            <w:r w:rsidR="00F12C14" w:rsidRPr="00272A8B">
              <w:rPr>
                <w:rStyle w:val="Strong"/>
              </w:rPr>
              <w:t xml:space="preserve"> Strategic Goal</w:t>
            </w:r>
          </w:p>
        </w:tc>
      </w:tr>
      <w:tr w:rsidR="00794A0D" w:rsidRPr="005D768A" w14:paraId="54C35B32" w14:textId="77777777" w:rsidTr="00AF5F61">
        <w:trPr>
          <w:trHeight w:val="825"/>
        </w:trPr>
        <w:tc>
          <w:tcPr>
            <w:tcW w:w="2217" w:type="dxa"/>
            <w:vMerge/>
            <w:tcBorders>
              <w:right w:val="single" w:sz="8" w:space="0" w:color="F5EDC1" w:themeColor="accent4"/>
            </w:tcBorders>
          </w:tcPr>
          <w:p w14:paraId="46574635" w14:textId="77777777" w:rsidR="00794A0D" w:rsidRPr="005D768A" w:rsidRDefault="00794A0D" w:rsidP="00794A0D">
            <w:pPr>
              <w:rPr>
                <w:lang w:eastAsia="en-AU"/>
              </w:rPr>
            </w:pPr>
          </w:p>
        </w:tc>
        <w:tc>
          <w:tcPr>
            <w:tcW w:w="4214" w:type="dxa"/>
            <w:tcBorders>
              <w:left w:val="single" w:sz="8" w:space="0" w:color="F5EDC1" w:themeColor="accent4"/>
            </w:tcBorders>
            <w:tcMar>
              <w:top w:w="113" w:type="dxa"/>
              <w:left w:w="80" w:type="dxa"/>
              <w:bottom w:w="113" w:type="dxa"/>
              <w:right w:w="80" w:type="dxa"/>
            </w:tcMar>
          </w:tcPr>
          <w:p w14:paraId="1D2D484E" w14:textId="188B7EF6" w:rsidR="00141FD8" w:rsidRPr="00AF5F61" w:rsidRDefault="00794A0D" w:rsidP="0096027A">
            <w:pPr>
              <w:rPr>
                <w:rStyle w:val="Strong"/>
              </w:rPr>
            </w:pPr>
            <w:r w:rsidRPr="00AF5F61">
              <w:rPr>
                <w:rStyle w:val="Strong"/>
              </w:rPr>
              <w:t>3</w:t>
            </w:r>
            <w:r w:rsidR="00141FD8" w:rsidRPr="00AF5F61">
              <w:rPr>
                <w:rStyle w:val="Strong"/>
              </w:rPr>
              <w:t xml:space="preserve"> </w:t>
            </w:r>
            <w:r w:rsidR="00AF5F61" w:rsidRPr="00AF5F61">
              <w:rPr>
                <w:rStyle w:val="Strong"/>
              </w:rPr>
              <w:t>–</w:t>
            </w:r>
            <w:r w:rsidR="00141FD8" w:rsidRPr="00AF5F61">
              <w:rPr>
                <w:rStyle w:val="Strong"/>
              </w:rPr>
              <w:t xml:space="preserve"> </w:t>
            </w:r>
            <w:r w:rsidR="00AF5F61" w:rsidRPr="00AF5F61">
              <w:rPr>
                <w:rStyle w:val="Strong"/>
              </w:rPr>
              <w:t>Results-Based Service</w:t>
            </w:r>
            <w:r w:rsidR="00AF56FD">
              <w:rPr>
                <w:rStyle w:val="Strong"/>
              </w:rPr>
              <w:t xml:space="preserve"> &amp;</w:t>
            </w:r>
          </w:p>
          <w:p w14:paraId="6D3BA523" w14:textId="1B2BAD5E" w:rsidR="00CA56C9" w:rsidRDefault="00C86431" w:rsidP="00AF5F61">
            <w:pPr>
              <w:rPr>
                <w:rStyle w:val="Strong"/>
              </w:rPr>
            </w:pPr>
            <w:r>
              <w:rPr>
                <w:rStyle w:val="Strong"/>
              </w:rPr>
              <w:t>(</w:t>
            </w:r>
            <w:r w:rsidR="00141FD8" w:rsidRPr="00AF5F61">
              <w:rPr>
                <w:rStyle w:val="Strong"/>
              </w:rPr>
              <w:t>2</w:t>
            </w:r>
            <w:r w:rsidR="00AF5F61" w:rsidRPr="00AF5F61">
              <w:rPr>
                <w:rStyle w:val="Strong"/>
              </w:rPr>
              <w:t xml:space="preserve"> – Financial </w:t>
            </w:r>
            <w:r>
              <w:rPr>
                <w:rStyle w:val="Strong"/>
              </w:rPr>
              <w:t>and economic responsibility</w:t>
            </w:r>
            <w:r w:rsidR="00AF56FD">
              <w:rPr>
                <w:rStyle w:val="Strong"/>
              </w:rPr>
              <w:t>,</w:t>
            </w:r>
          </w:p>
          <w:p w14:paraId="243B1086" w14:textId="77777777" w:rsidR="00794A0D" w:rsidRPr="00C86431" w:rsidRDefault="00141FD8" w:rsidP="00AF5F61">
            <w:pPr>
              <w:rPr>
                <w:b/>
                <w:bCs/>
              </w:rPr>
            </w:pPr>
            <w:r w:rsidRPr="00AF5F61">
              <w:rPr>
                <w:rStyle w:val="Strong"/>
              </w:rPr>
              <w:t>5</w:t>
            </w:r>
            <w:r w:rsidR="00794A0D" w:rsidRPr="00AF5F61">
              <w:rPr>
                <w:rStyle w:val="Strong"/>
              </w:rPr>
              <w:t xml:space="preserve"> </w:t>
            </w:r>
            <w:r w:rsidR="00AF5F61" w:rsidRPr="00AF5F61">
              <w:rPr>
                <w:rStyle w:val="Strong"/>
              </w:rPr>
              <w:t>– Social and environmental responsibility</w:t>
            </w:r>
            <w:r w:rsidR="00C86431">
              <w:rPr>
                <w:rStyle w:val="Strong"/>
              </w:rPr>
              <w:t>)</w:t>
            </w:r>
          </w:p>
        </w:tc>
        <w:tc>
          <w:tcPr>
            <w:tcW w:w="2641" w:type="dxa"/>
            <w:tcMar>
              <w:top w:w="113" w:type="dxa"/>
              <w:left w:w="80" w:type="dxa"/>
              <w:bottom w:w="113" w:type="dxa"/>
              <w:right w:w="80" w:type="dxa"/>
            </w:tcMar>
          </w:tcPr>
          <w:p w14:paraId="08F5B23C" w14:textId="77777777" w:rsidR="00794A0D" w:rsidRPr="00AF5F61" w:rsidRDefault="00794A0D" w:rsidP="0096027A">
            <w:pPr>
              <w:rPr>
                <w:rStyle w:val="Strong"/>
              </w:rPr>
            </w:pPr>
            <w:r w:rsidRPr="00AF5F61">
              <w:rPr>
                <w:rStyle w:val="Strong"/>
              </w:rPr>
              <w:t>1</w:t>
            </w:r>
            <w:r w:rsidR="00141FD8" w:rsidRPr="00AF5F61">
              <w:rPr>
                <w:rStyle w:val="Strong"/>
              </w:rPr>
              <w:t xml:space="preserve"> – Strategic scheme management </w:t>
            </w:r>
          </w:p>
        </w:tc>
      </w:tr>
    </w:tbl>
    <w:p w14:paraId="658E7E3B" w14:textId="77777777" w:rsidR="00794A0D" w:rsidRDefault="00794A0D" w:rsidP="00B9750E">
      <w:pPr>
        <w:rPr>
          <w:lang w:val="en-GB"/>
        </w:rPr>
      </w:pPr>
    </w:p>
    <w:p w14:paraId="268D7AF2" w14:textId="5ACF6A5D" w:rsidR="00685FB3" w:rsidRPr="00685FB3" w:rsidRDefault="00C726B0" w:rsidP="00685FB3">
      <w:pPr>
        <w:rPr>
          <w:lang w:val="en-GB"/>
        </w:rPr>
      </w:pPr>
      <w:r>
        <w:rPr>
          <w:rFonts w:cs="Arial"/>
        </w:rPr>
        <w:t>WorkCover WA</w:t>
      </w:r>
      <w:r w:rsidR="00172B8B" w:rsidRPr="00172B8B">
        <w:rPr>
          <w:rFonts w:cs="Arial"/>
        </w:rPr>
        <w:t xml:space="preserve"> continued to actively manage the workers’ compensation and injury management scheme during the financial year to ensure stakeholders have </w:t>
      </w:r>
      <w:r w:rsidR="0048152F">
        <w:rPr>
          <w:rFonts w:cs="Arial"/>
        </w:rPr>
        <w:t xml:space="preserve">ongoing </w:t>
      </w:r>
      <w:r w:rsidR="00172B8B" w:rsidRPr="00172B8B">
        <w:rPr>
          <w:rFonts w:cs="Arial"/>
        </w:rPr>
        <w:t xml:space="preserve">access to a viable, equitable and robust system. This included the calculation and gazettal of variations to entitlement limits, and to other workers’ compensation amounts, for the financial year commencing 1 July 2015; as well as the indexation of medical and allied health fees, effective 1 November 2014. </w:t>
      </w:r>
    </w:p>
    <w:p w14:paraId="34BB23BB" w14:textId="77777777" w:rsidR="00562A30" w:rsidRDefault="00562A30" w:rsidP="00A22FB6">
      <w:pPr>
        <w:pStyle w:val="Heading2nonumber"/>
      </w:pPr>
      <w:bookmarkStart w:id="262" w:name="_Toc399316962"/>
      <w:bookmarkStart w:id="263" w:name="_Toc426617490"/>
      <w:bookmarkStart w:id="264" w:name="_Toc430091215"/>
      <w:r w:rsidRPr="00630BE0">
        <w:t>National Insurer Data Specification</w:t>
      </w:r>
      <w:bookmarkEnd w:id="262"/>
      <w:bookmarkEnd w:id="263"/>
      <w:bookmarkEnd w:id="264"/>
      <w:r>
        <w:t xml:space="preserve"> </w:t>
      </w:r>
    </w:p>
    <w:p w14:paraId="66285930" w14:textId="20C85880" w:rsidR="00AF79E4" w:rsidRDefault="00282DFD" w:rsidP="00AF79E4">
      <w:bookmarkStart w:id="265" w:name="_Toc399316963"/>
      <w:r>
        <w:t>The National Insurer Data Specification</w:t>
      </w:r>
      <w:r w:rsidR="00AF79E4">
        <w:t xml:space="preserve"> was implemented in West</w:t>
      </w:r>
      <w:r w:rsidR="002F7770">
        <w:t xml:space="preserve">ern Australia in January 2014. </w:t>
      </w:r>
      <w:r w:rsidR="00AF79E4">
        <w:t>All insurers provided data in accordance with the NIDS during 2014/15.</w:t>
      </w:r>
    </w:p>
    <w:p w14:paraId="46BCD608" w14:textId="77777777" w:rsidR="00562A30" w:rsidRPr="00630BE0" w:rsidRDefault="00562A30" w:rsidP="00A22FB6">
      <w:pPr>
        <w:pStyle w:val="Heading2nonumber"/>
      </w:pPr>
      <w:bookmarkStart w:id="266" w:name="_Toc426617491"/>
      <w:bookmarkStart w:id="267" w:name="_Toc430091216"/>
      <w:r w:rsidRPr="00630BE0">
        <w:t>New industry classes for recommended premium rates</w:t>
      </w:r>
      <w:bookmarkEnd w:id="265"/>
      <w:bookmarkEnd w:id="266"/>
      <w:bookmarkEnd w:id="267"/>
      <w:r w:rsidRPr="00630BE0">
        <w:t xml:space="preserve"> </w:t>
      </w:r>
    </w:p>
    <w:p w14:paraId="48B8A707" w14:textId="6B9CB495" w:rsidR="00AF79E4" w:rsidRPr="00AF79E4" w:rsidRDefault="00AF79E4" w:rsidP="00AF79E4">
      <w:pPr>
        <w:rPr>
          <w:sz w:val="22"/>
          <w:szCs w:val="22"/>
          <w:lang w:eastAsia="en-AU"/>
        </w:rPr>
      </w:pPr>
      <w:bookmarkStart w:id="268" w:name="_Toc399316964"/>
      <w:r>
        <w:t xml:space="preserve">WorkCover WA is working with stakeholders to transition from premium rating classifications (PRC) based on the Australian and New Zealand Standard Industry Classification (ANZSIC) 1993 to classifications based on the ANZSIC 2006 standard. Insurers provided policy data with ANZSIC 1993 and ANZSCI 2006 based classification codes for the 2012/13 and 2013/14 reporting years, and the requirement for dual coded data will continue during the transition period. </w:t>
      </w:r>
    </w:p>
    <w:p w14:paraId="6EEC8132" w14:textId="0555F309" w:rsidR="00AF79E4" w:rsidRDefault="00AF79E4" w:rsidP="00AF79E4">
      <w:r>
        <w:t>Following advice from the scheme actuary, the planned gazettal of recommended premium rates based on ANZSIC 2006 will now occur in 2017/18, instead of</w:t>
      </w:r>
      <w:r w:rsidR="00180C0F">
        <w:t xml:space="preserve"> 2016/17 as originally planned.</w:t>
      </w:r>
      <w:r>
        <w:t xml:space="preserve"> This will ensure sufficient claims experience is included in </w:t>
      </w:r>
      <w:r w:rsidR="000164CB">
        <w:t xml:space="preserve">the </w:t>
      </w:r>
      <w:r>
        <w:t xml:space="preserve">calculation of the new rates.  </w:t>
      </w:r>
    </w:p>
    <w:p w14:paraId="4C66C64E" w14:textId="77777777" w:rsidR="00562A30" w:rsidRDefault="007809F4" w:rsidP="00A22FB6">
      <w:pPr>
        <w:pStyle w:val="Heading1nonumber"/>
      </w:pPr>
      <w:bookmarkStart w:id="269" w:name="_Toc426617492"/>
      <w:bookmarkStart w:id="270" w:name="_Toc430091217"/>
      <w:r>
        <w:lastRenderedPageBreak/>
        <w:t xml:space="preserve">Progressing </w:t>
      </w:r>
      <w:r w:rsidR="00854400">
        <w:t>l</w:t>
      </w:r>
      <w:r>
        <w:t xml:space="preserve">egislative </w:t>
      </w:r>
      <w:r w:rsidR="00854400">
        <w:t>r</w:t>
      </w:r>
      <w:r>
        <w:t>eform</w:t>
      </w:r>
      <w:bookmarkEnd w:id="268"/>
      <w:bookmarkEnd w:id="269"/>
      <w:bookmarkEnd w:id="270"/>
    </w:p>
    <w:tbl>
      <w:tblPr>
        <w:tblW w:w="9072" w:type="dxa"/>
        <w:tblInd w:w="80" w:type="dxa"/>
        <w:tblLayout w:type="fixed"/>
        <w:tblCellMar>
          <w:left w:w="0" w:type="dxa"/>
          <w:right w:w="0" w:type="dxa"/>
        </w:tblCellMar>
        <w:tblLook w:val="0000" w:firstRow="0" w:lastRow="0" w:firstColumn="0" w:lastColumn="0" w:noHBand="0" w:noVBand="0"/>
      </w:tblPr>
      <w:tblGrid>
        <w:gridCol w:w="2217"/>
        <w:gridCol w:w="3090"/>
        <w:gridCol w:w="3765"/>
      </w:tblGrid>
      <w:tr w:rsidR="00794A0D" w:rsidRPr="00630BE0" w14:paraId="5A84C162" w14:textId="77777777" w:rsidTr="00480628">
        <w:trPr>
          <w:trHeight w:val="60"/>
        </w:trPr>
        <w:tc>
          <w:tcPr>
            <w:tcW w:w="2217" w:type="dxa"/>
            <w:vMerge w:val="restart"/>
            <w:tcBorders>
              <w:right w:val="single" w:sz="8" w:space="0" w:color="F5EDC1" w:themeColor="accent4"/>
            </w:tcBorders>
            <w:shd w:val="clear" w:color="auto" w:fill="86731E" w:themeFill="text1"/>
            <w:tcMar>
              <w:top w:w="113" w:type="dxa"/>
              <w:left w:w="80" w:type="dxa"/>
              <w:bottom w:w="113" w:type="dxa"/>
              <w:right w:w="80" w:type="dxa"/>
            </w:tcMar>
          </w:tcPr>
          <w:p w14:paraId="1DD285D0" w14:textId="1290495C" w:rsidR="00E22526" w:rsidRDefault="00794A0D" w:rsidP="00794A0D">
            <w:pPr>
              <w:rPr>
                <w:rStyle w:val="Strong"/>
              </w:rPr>
            </w:pPr>
            <w:r w:rsidRPr="00630BE0">
              <w:rPr>
                <w:rStyle w:val="Strong"/>
              </w:rPr>
              <w:t>This scheme service contributes to, and is aligned with:</w:t>
            </w:r>
          </w:p>
          <w:p w14:paraId="445B1694" w14:textId="4AD0E59F" w:rsidR="00E22526" w:rsidRDefault="00E22526" w:rsidP="00E22526"/>
          <w:p w14:paraId="5CD4C6F2" w14:textId="77777777" w:rsidR="00E22526" w:rsidRPr="00E22526" w:rsidRDefault="00E22526" w:rsidP="00E22526"/>
          <w:p w14:paraId="4B05E08C" w14:textId="3B844841" w:rsidR="00794A0D" w:rsidRPr="00E22526" w:rsidRDefault="00794A0D" w:rsidP="00E22526">
            <w:pPr>
              <w:ind w:firstLine="720"/>
            </w:pPr>
          </w:p>
        </w:tc>
        <w:tc>
          <w:tcPr>
            <w:tcW w:w="3090" w:type="dxa"/>
            <w:tcBorders>
              <w:top w:val="single" w:sz="2" w:space="0" w:color="86731E" w:themeColor="text1"/>
              <w:left w:val="single" w:sz="8" w:space="0" w:color="F5EDC1" w:themeColor="accent4"/>
              <w:bottom w:val="single" w:sz="2" w:space="0" w:color="86731E" w:themeColor="text1"/>
              <w:right w:val="single" w:sz="2" w:space="0" w:color="86731E" w:themeColor="text1"/>
            </w:tcBorders>
            <w:shd w:val="clear" w:color="auto" w:fill="86731E" w:themeFill="text1"/>
            <w:tcMar>
              <w:top w:w="113" w:type="dxa"/>
              <w:left w:w="80" w:type="dxa"/>
              <w:bottom w:w="113" w:type="dxa"/>
              <w:right w:w="80" w:type="dxa"/>
            </w:tcMar>
          </w:tcPr>
          <w:p w14:paraId="3064507C" w14:textId="77777777" w:rsidR="00794A0D" w:rsidRPr="00630BE0" w:rsidRDefault="00794A0D" w:rsidP="00794A0D">
            <w:pPr>
              <w:rPr>
                <w:rStyle w:val="Strong"/>
              </w:rPr>
            </w:pPr>
            <w:r w:rsidRPr="00630BE0">
              <w:rPr>
                <w:rStyle w:val="Strong"/>
              </w:rPr>
              <w:t>Government Goal(s)</w:t>
            </w:r>
          </w:p>
        </w:tc>
        <w:tc>
          <w:tcPr>
            <w:tcW w:w="3765" w:type="dxa"/>
            <w:tcBorders>
              <w:top w:val="single" w:sz="2" w:space="0" w:color="86731E" w:themeColor="text1"/>
              <w:left w:val="single" w:sz="2" w:space="0" w:color="86731E" w:themeColor="text1"/>
              <w:bottom w:val="single" w:sz="2" w:space="0" w:color="86731E" w:themeColor="text1"/>
              <w:right w:val="single" w:sz="2" w:space="0" w:color="86731E" w:themeColor="text1"/>
            </w:tcBorders>
            <w:shd w:val="clear" w:color="auto" w:fill="86731E" w:themeFill="text1"/>
            <w:tcMar>
              <w:top w:w="113" w:type="dxa"/>
              <w:left w:w="80" w:type="dxa"/>
              <w:bottom w:w="113" w:type="dxa"/>
              <w:right w:w="80" w:type="dxa"/>
            </w:tcMar>
          </w:tcPr>
          <w:p w14:paraId="1370694F" w14:textId="45F335F0" w:rsidR="00794A0D" w:rsidRPr="00630BE0" w:rsidRDefault="00C726B0" w:rsidP="00794A0D">
            <w:pPr>
              <w:rPr>
                <w:rStyle w:val="Strong"/>
              </w:rPr>
            </w:pPr>
            <w:r>
              <w:rPr>
                <w:rStyle w:val="Strong"/>
              </w:rPr>
              <w:t>WorkCover WA</w:t>
            </w:r>
            <w:r w:rsidR="00794A0D" w:rsidRPr="00630BE0">
              <w:rPr>
                <w:rStyle w:val="Strong"/>
              </w:rPr>
              <w:t xml:space="preserve"> Strategic Goal</w:t>
            </w:r>
          </w:p>
        </w:tc>
      </w:tr>
      <w:tr w:rsidR="00794A0D" w:rsidRPr="005D768A" w14:paraId="0430192D" w14:textId="77777777" w:rsidTr="00995FAA">
        <w:trPr>
          <w:trHeight w:val="2995"/>
        </w:trPr>
        <w:tc>
          <w:tcPr>
            <w:tcW w:w="2217" w:type="dxa"/>
            <w:vMerge/>
            <w:tcBorders>
              <w:right w:val="single" w:sz="8" w:space="0" w:color="F5EDC1" w:themeColor="accent4"/>
            </w:tcBorders>
          </w:tcPr>
          <w:p w14:paraId="31FBA398" w14:textId="77777777" w:rsidR="00794A0D" w:rsidRPr="005D768A" w:rsidRDefault="00794A0D" w:rsidP="00794A0D">
            <w:pPr>
              <w:rPr>
                <w:lang w:eastAsia="en-AU"/>
              </w:rPr>
            </w:pPr>
          </w:p>
        </w:tc>
        <w:tc>
          <w:tcPr>
            <w:tcW w:w="3090" w:type="dxa"/>
            <w:tcBorders>
              <w:top w:val="single" w:sz="2" w:space="0" w:color="86731E" w:themeColor="text1"/>
              <w:left w:val="single" w:sz="8" w:space="0" w:color="F5EDC1" w:themeColor="accent4"/>
              <w:bottom w:val="single" w:sz="2" w:space="0" w:color="86731E" w:themeColor="text1"/>
              <w:right w:val="single" w:sz="2" w:space="0" w:color="86731E" w:themeColor="text1"/>
            </w:tcBorders>
            <w:tcMar>
              <w:top w:w="113" w:type="dxa"/>
              <w:left w:w="80" w:type="dxa"/>
              <w:bottom w:w="113" w:type="dxa"/>
              <w:right w:w="80" w:type="dxa"/>
            </w:tcMar>
          </w:tcPr>
          <w:p w14:paraId="1DBFD3A4" w14:textId="2BA5B647" w:rsidR="00C86431" w:rsidRPr="00AF5F61" w:rsidRDefault="00C86431" w:rsidP="00C86431">
            <w:pPr>
              <w:rPr>
                <w:rStyle w:val="Strong"/>
              </w:rPr>
            </w:pPr>
            <w:r w:rsidRPr="00AF5F61">
              <w:rPr>
                <w:rStyle w:val="Strong"/>
              </w:rPr>
              <w:t>3 – Results-Based Service</w:t>
            </w:r>
            <w:r w:rsidR="00480628">
              <w:rPr>
                <w:rStyle w:val="Strong"/>
              </w:rPr>
              <w:t xml:space="preserve"> Delivery</w:t>
            </w:r>
          </w:p>
          <w:p w14:paraId="6326F0C0" w14:textId="0F4E9D22" w:rsidR="00C86431" w:rsidRPr="00AF5F61" w:rsidRDefault="00C86431" w:rsidP="00C86431">
            <w:pPr>
              <w:rPr>
                <w:rStyle w:val="Strong"/>
              </w:rPr>
            </w:pPr>
            <w:r>
              <w:rPr>
                <w:rStyle w:val="Strong"/>
              </w:rPr>
              <w:t>(</w:t>
            </w:r>
            <w:r w:rsidR="006866BE">
              <w:rPr>
                <w:rStyle w:val="Strong"/>
              </w:rPr>
              <w:t xml:space="preserve">&amp; </w:t>
            </w:r>
            <w:r w:rsidRPr="00AF5F61">
              <w:rPr>
                <w:rStyle w:val="Strong"/>
              </w:rPr>
              <w:t>2 – Financial and economic responsibility</w:t>
            </w:r>
            <w:r w:rsidR="00CA56C9">
              <w:rPr>
                <w:rStyle w:val="Strong"/>
              </w:rPr>
              <w:t>,</w:t>
            </w:r>
          </w:p>
          <w:p w14:paraId="67EEDC1A" w14:textId="77777777" w:rsidR="00794A0D" w:rsidRDefault="00C86431" w:rsidP="00C86431">
            <w:r w:rsidRPr="00AF5F61">
              <w:rPr>
                <w:rStyle w:val="Strong"/>
              </w:rPr>
              <w:t>5 – Social and environmental responsibility</w:t>
            </w:r>
            <w:r>
              <w:rPr>
                <w:rStyle w:val="Strong"/>
              </w:rPr>
              <w:t>)</w:t>
            </w:r>
          </w:p>
        </w:tc>
        <w:tc>
          <w:tcPr>
            <w:tcW w:w="3765" w:type="dxa"/>
            <w:tcBorders>
              <w:top w:val="single" w:sz="2" w:space="0" w:color="86731E" w:themeColor="text1"/>
              <w:left w:val="single" w:sz="2" w:space="0" w:color="86731E" w:themeColor="text1"/>
              <w:bottom w:val="single" w:sz="2" w:space="0" w:color="86731E" w:themeColor="text1"/>
              <w:right w:val="single" w:sz="2" w:space="0" w:color="86731E" w:themeColor="text1"/>
            </w:tcBorders>
            <w:tcMar>
              <w:top w:w="113" w:type="dxa"/>
              <w:left w:w="80" w:type="dxa"/>
              <w:bottom w:w="113" w:type="dxa"/>
              <w:right w:w="80" w:type="dxa"/>
            </w:tcMar>
          </w:tcPr>
          <w:p w14:paraId="517EAFEE" w14:textId="77777777" w:rsidR="00794A0D" w:rsidRPr="005D768A" w:rsidRDefault="00C86431" w:rsidP="0096027A">
            <w:pPr>
              <w:rPr>
                <w:lang w:val="en-GB" w:eastAsia="en-AU"/>
              </w:rPr>
            </w:pPr>
            <w:r w:rsidRPr="00AF5F61">
              <w:rPr>
                <w:rStyle w:val="Strong"/>
              </w:rPr>
              <w:t>1 – Strategic scheme management</w:t>
            </w:r>
          </w:p>
        </w:tc>
      </w:tr>
    </w:tbl>
    <w:p w14:paraId="44429369" w14:textId="77777777" w:rsidR="009D5933" w:rsidRDefault="009811F2" w:rsidP="00717DBB">
      <w:pPr>
        <w:pStyle w:val="Heading2nonumber"/>
      </w:pPr>
      <w:bookmarkStart w:id="271" w:name="_Toc426617493"/>
      <w:bookmarkStart w:id="272" w:name="_Toc430091218"/>
      <w:r>
        <w:t>Recognition of acupuncture as an ‘approved treatment’</w:t>
      </w:r>
      <w:bookmarkEnd w:id="271"/>
      <w:bookmarkEnd w:id="272"/>
    </w:p>
    <w:p w14:paraId="491E0899" w14:textId="73158544" w:rsidR="009811F2" w:rsidRDefault="009811F2" w:rsidP="005A1D99">
      <w:pPr>
        <w:rPr>
          <w:rFonts w:cs="Arial"/>
        </w:rPr>
      </w:pPr>
      <w:r>
        <w:rPr>
          <w:rFonts w:cs="Arial"/>
        </w:rPr>
        <w:t>On 1 April 2015 r</w:t>
      </w:r>
      <w:r w:rsidRPr="009811F2">
        <w:rPr>
          <w:rFonts w:cs="Arial"/>
        </w:rPr>
        <w:t xml:space="preserve">egulatory amendments came into effect to recognise acupuncture as an approved treatment under the </w:t>
      </w:r>
      <w:r w:rsidR="006866BE" w:rsidRPr="006866BE">
        <w:rPr>
          <w:rFonts w:cs="Arial"/>
        </w:rPr>
        <w:t>Act.</w:t>
      </w:r>
    </w:p>
    <w:p w14:paraId="203CAD2D" w14:textId="45CF5B93" w:rsidR="009811F2" w:rsidRPr="009811F2" w:rsidRDefault="009811F2" w:rsidP="005A1D99">
      <w:r w:rsidRPr="009811F2">
        <w:rPr>
          <w:rFonts w:cs="Arial"/>
        </w:rPr>
        <w:t xml:space="preserve">Acupuncture was </w:t>
      </w:r>
      <w:r>
        <w:rPr>
          <w:rFonts w:cs="Arial"/>
        </w:rPr>
        <w:t xml:space="preserve">previously only a compensable service in the scheme if performed by a medical practitioner. </w:t>
      </w:r>
      <w:r w:rsidRPr="009811F2">
        <w:rPr>
          <w:rFonts w:cs="Arial"/>
        </w:rPr>
        <w:t>The regulatory amendments recognise</w:t>
      </w:r>
      <w:r>
        <w:rPr>
          <w:rFonts w:cs="Arial"/>
        </w:rPr>
        <w:t xml:space="preserve"> Chinese Medicine P</w:t>
      </w:r>
      <w:r w:rsidRPr="009811F2">
        <w:rPr>
          <w:rFonts w:cs="Arial"/>
        </w:rPr>
        <w:t>ractitioners</w:t>
      </w:r>
      <w:r>
        <w:rPr>
          <w:rFonts w:cs="Arial"/>
        </w:rPr>
        <w:t>,</w:t>
      </w:r>
      <w:r w:rsidRPr="009811F2">
        <w:rPr>
          <w:rFonts w:cs="Arial"/>
        </w:rPr>
        <w:t xml:space="preserve"> and other health practitioners endorsed under the </w:t>
      </w:r>
      <w:r w:rsidRPr="009811F2">
        <w:rPr>
          <w:rFonts w:cs="Arial"/>
          <w:i/>
        </w:rPr>
        <w:t>Health Practitioner Regulation National Law (Western Australia)</w:t>
      </w:r>
      <w:r>
        <w:rPr>
          <w:rFonts w:cs="Arial"/>
        </w:rPr>
        <w:t>,</w:t>
      </w:r>
      <w:r w:rsidRPr="009811F2">
        <w:rPr>
          <w:rFonts w:cs="Arial"/>
        </w:rPr>
        <w:t xml:space="preserve"> as service providers able to treat injured workers and charge for acupuncture as a compensable service.</w:t>
      </w:r>
    </w:p>
    <w:p w14:paraId="52CC57C9" w14:textId="77777777" w:rsidR="009811F2" w:rsidRDefault="00686E53" w:rsidP="00717DBB">
      <w:pPr>
        <w:pStyle w:val="Heading2nonumber"/>
      </w:pPr>
      <w:bookmarkStart w:id="273" w:name="_Toc426617494"/>
      <w:bookmarkStart w:id="274" w:name="_Toc430091219"/>
      <w:r>
        <w:t>Costs determination review</w:t>
      </w:r>
      <w:bookmarkEnd w:id="273"/>
      <w:bookmarkEnd w:id="274"/>
    </w:p>
    <w:p w14:paraId="04509BF4" w14:textId="0A3D7AF1" w:rsidR="005A1D99" w:rsidRDefault="00686E53" w:rsidP="005A1D99">
      <w:pPr>
        <w:rPr>
          <w:rFonts w:cs="Arial"/>
          <w:iCs/>
        </w:rPr>
      </w:pPr>
      <w:r w:rsidRPr="00C50CDA">
        <w:rPr>
          <w:rFonts w:cs="Arial"/>
          <w:iCs/>
        </w:rPr>
        <w:t xml:space="preserve">The </w:t>
      </w:r>
      <w:r w:rsidRPr="00686E53">
        <w:rPr>
          <w:rFonts w:cs="Arial"/>
          <w:i/>
          <w:iCs/>
        </w:rPr>
        <w:t>Workers' Compensation (Legal Practitioners and Registered Agents) Costs Determination</w:t>
      </w:r>
      <w:r w:rsidRPr="00C50CDA">
        <w:rPr>
          <w:rFonts w:cs="Arial"/>
          <w:iCs/>
        </w:rPr>
        <w:t xml:space="preserve"> regulates the amounts claimable and chargeable for legal services provided in the Concili</w:t>
      </w:r>
      <w:r w:rsidR="002F7770">
        <w:rPr>
          <w:rFonts w:cs="Arial"/>
          <w:iCs/>
        </w:rPr>
        <w:t>ation and Arbitration Services.</w:t>
      </w:r>
      <w:r w:rsidRPr="00C50CDA">
        <w:rPr>
          <w:rFonts w:cs="Arial"/>
          <w:iCs/>
        </w:rPr>
        <w:t xml:space="preserve"> The Costs Determination is reviewed on a regular basis to ensure it remains consistent with contemporary practice in </w:t>
      </w:r>
      <w:r w:rsidR="00C726B0">
        <w:rPr>
          <w:rFonts w:cs="Arial"/>
          <w:iCs/>
        </w:rPr>
        <w:t>WorkCover WA</w:t>
      </w:r>
      <w:r w:rsidRPr="00C50CDA">
        <w:rPr>
          <w:rFonts w:cs="Arial"/>
          <w:iCs/>
        </w:rPr>
        <w:t>’s Concili</w:t>
      </w:r>
      <w:r w:rsidR="002F7770">
        <w:rPr>
          <w:rFonts w:cs="Arial"/>
          <w:iCs/>
        </w:rPr>
        <w:t>ation and Arbitration Services.</w:t>
      </w:r>
      <w:r w:rsidRPr="00C50CDA">
        <w:rPr>
          <w:rFonts w:cs="Arial"/>
          <w:iCs/>
        </w:rPr>
        <w:t xml:space="preserve"> The last review was undertaken in 2013/14.</w:t>
      </w:r>
    </w:p>
    <w:p w14:paraId="237BA2A1" w14:textId="3DC460E7" w:rsidR="00686E53" w:rsidRDefault="004A5661" w:rsidP="005A1D99">
      <w:pPr>
        <w:rPr>
          <w:rFonts w:cs="Arial"/>
          <w:iCs/>
        </w:rPr>
      </w:pPr>
      <w:r>
        <w:rPr>
          <w:rFonts w:cs="Arial"/>
          <w:iCs/>
        </w:rPr>
        <w:t>Following</w:t>
      </w:r>
      <w:r w:rsidR="00686E53">
        <w:rPr>
          <w:rFonts w:cs="Arial"/>
          <w:iCs/>
        </w:rPr>
        <w:t xml:space="preserve"> stakeholder feedback, the </w:t>
      </w:r>
      <w:r w:rsidR="00C726B0">
        <w:rPr>
          <w:rFonts w:cs="Arial"/>
          <w:iCs/>
        </w:rPr>
        <w:t>WorkCover WA</w:t>
      </w:r>
      <w:r w:rsidR="00686E53">
        <w:rPr>
          <w:rFonts w:cs="Arial"/>
          <w:iCs/>
        </w:rPr>
        <w:t xml:space="preserve"> Costs Committee reviewed </w:t>
      </w:r>
      <w:r w:rsidR="00DE5F30">
        <w:rPr>
          <w:rFonts w:cs="Arial"/>
          <w:iCs/>
        </w:rPr>
        <w:t xml:space="preserve">the </w:t>
      </w:r>
      <w:r w:rsidR="00686E53">
        <w:rPr>
          <w:rFonts w:cs="Arial"/>
          <w:iCs/>
        </w:rPr>
        <w:t>recommendations</w:t>
      </w:r>
      <w:r w:rsidR="00DE5F30">
        <w:rPr>
          <w:rFonts w:cs="Arial"/>
          <w:iCs/>
        </w:rPr>
        <w:t xml:space="preserve"> of the Agency and issued the </w:t>
      </w:r>
      <w:r w:rsidR="00DE5F30">
        <w:rPr>
          <w:rFonts w:cs="Arial"/>
          <w:i/>
          <w:iCs/>
        </w:rPr>
        <w:t>Workers’ Compensation (Legal Practitioners and Registered Agents) Costs Determination 2015</w:t>
      </w:r>
      <w:r w:rsidR="00DE5F30">
        <w:rPr>
          <w:rFonts w:cs="Arial"/>
          <w:iCs/>
        </w:rPr>
        <w:t>.</w:t>
      </w:r>
    </w:p>
    <w:p w14:paraId="591ABCCC" w14:textId="5C6E00C4" w:rsidR="00FD5CF9" w:rsidRDefault="00DE5F30" w:rsidP="00FD5CF9">
      <w:pPr>
        <w:rPr>
          <w:rFonts w:cs="Arial"/>
          <w:iCs/>
        </w:rPr>
      </w:pPr>
      <w:r>
        <w:rPr>
          <w:rFonts w:cs="Arial"/>
          <w:iCs/>
        </w:rPr>
        <w:t xml:space="preserve">The Determination </w:t>
      </w:r>
      <w:r w:rsidRPr="00AF79E4">
        <w:rPr>
          <w:rFonts w:cs="Arial"/>
          <w:iCs/>
        </w:rPr>
        <w:t xml:space="preserve">came into effect on 1 July 2015. </w:t>
      </w:r>
      <w:r w:rsidR="00C726B0" w:rsidRPr="00AF79E4">
        <w:rPr>
          <w:rFonts w:cs="Arial"/>
          <w:iCs/>
        </w:rPr>
        <w:t>WorkCover</w:t>
      </w:r>
      <w:r w:rsidR="00C726B0">
        <w:rPr>
          <w:rFonts w:cs="Arial"/>
          <w:iCs/>
        </w:rPr>
        <w:t> WA</w:t>
      </w:r>
      <w:r>
        <w:rPr>
          <w:rFonts w:cs="Arial"/>
          <w:iCs/>
        </w:rPr>
        <w:t xml:space="preserve"> will monitor the effects of the amended Costs Determination </w:t>
      </w:r>
      <w:r w:rsidR="00D50C13">
        <w:rPr>
          <w:rFonts w:cs="Arial"/>
          <w:iCs/>
        </w:rPr>
        <w:t>during</w:t>
      </w:r>
      <w:r>
        <w:rPr>
          <w:rFonts w:cs="Arial"/>
          <w:iCs/>
        </w:rPr>
        <w:t xml:space="preserve"> 2015/16.</w:t>
      </w:r>
    </w:p>
    <w:p w14:paraId="66F56528" w14:textId="2FB9E5B4" w:rsidR="007809F4" w:rsidRDefault="007809F4" w:rsidP="00FD5CF9">
      <w:pPr>
        <w:pStyle w:val="Heading1nonumber"/>
      </w:pPr>
      <w:bookmarkStart w:id="275" w:name="_Toc399316969"/>
      <w:bookmarkStart w:id="276" w:name="_Toc426617495"/>
      <w:bookmarkStart w:id="277" w:name="_Toc430091220"/>
      <w:r>
        <w:lastRenderedPageBreak/>
        <w:t>Service 2: Scheme Services</w:t>
      </w:r>
      <w:bookmarkEnd w:id="275"/>
      <w:bookmarkEnd w:id="276"/>
      <w:bookmarkEnd w:id="277"/>
    </w:p>
    <w:p w14:paraId="6F36A1A5" w14:textId="77777777" w:rsidR="003779B6" w:rsidRPr="003779B6" w:rsidRDefault="003779B6" w:rsidP="001248E0">
      <w:pPr>
        <w:rPr>
          <w:rStyle w:val="Emphasis"/>
          <w:b/>
        </w:rPr>
      </w:pPr>
      <w:r w:rsidRPr="003779B6">
        <w:rPr>
          <w:rStyle w:val="Emphasis"/>
        </w:rPr>
        <w:t xml:space="preserve">Provision of effective and equitable dispute resolution and other services to scheme participants </w:t>
      </w:r>
    </w:p>
    <w:p w14:paraId="1DE42949" w14:textId="77777777" w:rsidR="00991436" w:rsidRDefault="00991436" w:rsidP="00180C0F">
      <w:pPr>
        <w:pStyle w:val="Heading1nonumber"/>
      </w:pPr>
      <w:bookmarkStart w:id="278" w:name="_Toc399316970"/>
      <w:bookmarkStart w:id="279" w:name="_Toc426617496"/>
      <w:bookmarkStart w:id="280" w:name="_Toc430091221"/>
      <w:r>
        <w:t>Resolving disputes</w:t>
      </w:r>
      <w:bookmarkEnd w:id="278"/>
      <w:bookmarkEnd w:id="279"/>
      <w:bookmarkEnd w:id="280"/>
    </w:p>
    <w:tbl>
      <w:tblPr>
        <w:tblW w:w="9072" w:type="dxa"/>
        <w:tblInd w:w="80" w:type="dxa"/>
        <w:tblLayout w:type="fixed"/>
        <w:tblCellMar>
          <w:left w:w="0" w:type="dxa"/>
          <w:right w:w="0" w:type="dxa"/>
        </w:tblCellMar>
        <w:tblLook w:val="0000" w:firstRow="0" w:lastRow="0" w:firstColumn="0" w:lastColumn="0" w:noHBand="0" w:noVBand="0"/>
      </w:tblPr>
      <w:tblGrid>
        <w:gridCol w:w="2217"/>
        <w:gridCol w:w="3232"/>
        <w:gridCol w:w="3623"/>
      </w:tblGrid>
      <w:tr w:rsidR="00794A0D" w:rsidRPr="00630BE0" w14:paraId="05523420" w14:textId="77777777" w:rsidTr="00480628">
        <w:trPr>
          <w:trHeight w:val="60"/>
        </w:trPr>
        <w:tc>
          <w:tcPr>
            <w:tcW w:w="2217" w:type="dxa"/>
            <w:vMerge w:val="restart"/>
            <w:tcBorders>
              <w:right w:val="single" w:sz="8" w:space="0" w:color="F5EDC1" w:themeColor="accent4"/>
            </w:tcBorders>
            <w:shd w:val="clear" w:color="auto" w:fill="86731E" w:themeFill="text1"/>
            <w:tcMar>
              <w:top w:w="113" w:type="dxa"/>
              <w:left w:w="80" w:type="dxa"/>
              <w:bottom w:w="113" w:type="dxa"/>
              <w:right w:w="80" w:type="dxa"/>
            </w:tcMar>
          </w:tcPr>
          <w:p w14:paraId="55109030" w14:textId="77777777" w:rsidR="00794A0D" w:rsidRPr="00630BE0" w:rsidRDefault="00794A0D" w:rsidP="00794A0D">
            <w:pPr>
              <w:rPr>
                <w:rStyle w:val="Strong"/>
              </w:rPr>
            </w:pPr>
            <w:r w:rsidRPr="00630BE0">
              <w:rPr>
                <w:rStyle w:val="Strong"/>
              </w:rPr>
              <w:t>This scheme service contributes to, and is aligned with:</w:t>
            </w:r>
          </w:p>
        </w:tc>
        <w:tc>
          <w:tcPr>
            <w:tcW w:w="3232" w:type="dxa"/>
            <w:tcBorders>
              <w:top w:val="single" w:sz="2" w:space="0" w:color="86731E" w:themeColor="text1"/>
              <w:left w:val="single" w:sz="8" w:space="0" w:color="F5EDC1" w:themeColor="accent4"/>
              <w:bottom w:val="single" w:sz="2" w:space="0" w:color="86731E" w:themeColor="text1"/>
              <w:right w:val="single" w:sz="2" w:space="0" w:color="86731E" w:themeColor="text1"/>
            </w:tcBorders>
            <w:shd w:val="clear" w:color="auto" w:fill="86731E" w:themeFill="text1"/>
            <w:tcMar>
              <w:top w:w="113" w:type="dxa"/>
              <w:left w:w="80" w:type="dxa"/>
              <w:bottom w:w="113" w:type="dxa"/>
              <w:right w:w="80" w:type="dxa"/>
            </w:tcMar>
          </w:tcPr>
          <w:p w14:paraId="777863E4" w14:textId="77777777" w:rsidR="00794A0D" w:rsidRPr="00630BE0" w:rsidRDefault="00794A0D" w:rsidP="00794A0D">
            <w:pPr>
              <w:rPr>
                <w:rStyle w:val="Strong"/>
              </w:rPr>
            </w:pPr>
            <w:r w:rsidRPr="00630BE0">
              <w:rPr>
                <w:rStyle w:val="Strong"/>
              </w:rPr>
              <w:t>Government Goal(s)</w:t>
            </w:r>
          </w:p>
        </w:tc>
        <w:tc>
          <w:tcPr>
            <w:tcW w:w="3623" w:type="dxa"/>
            <w:tcBorders>
              <w:top w:val="single" w:sz="2" w:space="0" w:color="86731E" w:themeColor="text1"/>
              <w:left w:val="single" w:sz="2" w:space="0" w:color="86731E" w:themeColor="text1"/>
              <w:bottom w:val="single" w:sz="2" w:space="0" w:color="86731E" w:themeColor="text1"/>
              <w:right w:val="single" w:sz="2" w:space="0" w:color="86731E" w:themeColor="text1"/>
            </w:tcBorders>
            <w:shd w:val="clear" w:color="auto" w:fill="86731E" w:themeFill="text1"/>
            <w:tcMar>
              <w:top w:w="113" w:type="dxa"/>
              <w:left w:w="80" w:type="dxa"/>
              <w:bottom w:w="113" w:type="dxa"/>
              <w:right w:w="80" w:type="dxa"/>
            </w:tcMar>
          </w:tcPr>
          <w:p w14:paraId="609D1597" w14:textId="066FCA37" w:rsidR="00794A0D" w:rsidRPr="00630BE0" w:rsidRDefault="00C726B0" w:rsidP="00794A0D">
            <w:pPr>
              <w:rPr>
                <w:rStyle w:val="Strong"/>
              </w:rPr>
            </w:pPr>
            <w:r>
              <w:rPr>
                <w:rStyle w:val="Strong"/>
              </w:rPr>
              <w:t>WorkCover WA</w:t>
            </w:r>
            <w:r w:rsidR="005A1D99" w:rsidRPr="008D0A0E">
              <w:rPr>
                <w:rStyle w:val="Strong"/>
              </w:rPr>
              <w:t xml:space="preserve"> Strategic Goal</w:t>
            </w:r>
          </w:p>
        </w:tc>
      </w:tr>
      <w:tr w:rsidR="00794A0D" w:rsidRPr="005D768A" w14:paraId="4DEB845E" w14:textId="77777777" w:rsidTr="00480628">
        <w:trPr>
          <w:trHeight w:val="65"/>
        </w:trPr>
        <w:tc>
          <w:tcPr>
            <w:tcW w:w="2217" w:type="dxa"/>
            <w:vMerge/>
            <w:tcBorders>
              <w:right w:val="single" w:sz="8" w:space="0" w:color="F5EDC1" w:themeColor="accent4"/>
            </w:tcBorders>
          </w:tcPr>
          <w:p w14:paraId="3DA6632D" w14:textId="77777777" w:rsidR="00794A0D" w:rsidRPr="005D768A" w:rsidRDefault="00794A0D" w:rsidP="00794A0D">
            <w:pPr>
              <w:rPr>
                <w:lang w:eastAsia="en-AU"/>
              </w:rPr>
            </w:pPr>
          </w:p>
        </w:tc>
        <w:tc>
          <w:tcPr>
            <w:tcW w:w="3232" w:type="dxa"/>
            <w:tcBorders>
              <w:top w:val="single" w:sz="2" w:space="0" w:color="86731E" w:themeColor="text1"/>
              <w:left w:val="single" w:sz="8" w:space="0" w:color="F5EDC1" w:themeColor="accent4"/>
              <w:bottom w:val="single" w:sz="2" w:space="0" w:color="86731E" w:themeColor="text1"/>
              <w:right w:val="single" w:sz="2" w:space="0" w:color="86731E" w:themeColor="text1"/>
            </w:tcBorders>
            <w:tcMar>
              <w:top w:w="113" w:type="dxa"/>
              <w:left w:w="80" w:type="dxa"/>
              <w:bottom w:w="113" w:type="dxa"/>
              <w:right w:w="80" w:type="dxa"/>
            </w:tcMar>
          </w:tcPr>
          <w:p w14:paraId="33378DFD" w14:textId="13E41302" w:rsidR="00CA56C9" w:rsidRPr="00CA56C9" w:rsidRDefault="00794A0D" w:rsidP="0096027A">
            <w:pPr>
              <w:rPr>
                <w:rStyle w:val="Strong"/>
              </w:rPr>
            </w:pPr>
            <w:r w:rsidRPr="00CA56C9">
              <w:rPr>
                <w:rStyle w:val="Strong"/>
              </w:rPr>
              <w:t>3</w:t>
            </w:r>
            <w:r w:rsidR="00CA56C9" w:rsidRPr="00CA56C9">
              <w:rPr>
                <w:rStyle w:val="Strong"/>
              </w:rPr>
              <w:t xml:space="preserve"> – Results-Based Service </w:t>
            </w:r>
            <w:r w:rsidR="00EF5585">
              <w:rPr>
                <w:rStyle w:val="Strong"/>
              </w:rPr>
              <w:t>Delivery</w:t>
            </w:r>
          </w:p>
          <w:p w14:paraId="754EF82D" w14:textId="5752AB97" w:rsidR="00794A0D" w:rsidRPr="00CA56C9" w:rsidRDefault="00CA56C9" w:rsidP="00CA56C9">
            <w:pPr>
              <w:rPr>
                <w:rStyle w:val="Strong"/>
              </w:rPr>
            </w:pPr>
            <w:r w:rsidRPr="00CA56C9">
              <w:rPr>
                <w:rStyle w:val="Strong"/>
              </w:rPr>
              <w:t>(</w:t>
            </w:r>
            <w:r w:rsidR="006866BE">
              <w:rPr>
                <w:rStyle w:val="Strong"/>
              </w:rPr>
              <w:t xml:space="preserve">&amp; </w:t>
            </w:r>
            <w:r w:rsidRPr="00CA56C9">
              <w:rPr>
                <w:rStyle w:val="Strong"/>
              </w:rPr>
              <w:t>2 – Financial and economic responsibility</w:t>
            </w:r>
            <w:r w:rsidR="00794A0D" w:rsidRPr="00CA56C9">
              <w:rPr>
                <w:rStyle w:val="Strong"/>
              </w:rPr>
              <w:t>)</w:t>
            </w:r>
          </w:p>
        </w:tc>
        <w:tc>
          <w:tcPr>
            <w:tcW w:w="3623" w:type="dxa"/>
            <w:tcBorders>
              <w:top w:val="single" w:sz="2" w:space="0" w:color="86731E" w:themeColor="text1"/>
              <w:left w:val="single" w:sz="2" w:space="0" w:color="86731E" w:themeColor="text1"/>
              <w:bottom w:val="single" w:sz="2" w:space="0" w:color="86731E" w:themeColor="text1"/>
              <w:right w:val="single" w:sz="2" w:space="0" w:color="86731E" w:themeColor="text1"/>
            </w:tcBorders>
            <w:tcMar>
              <w:top w:w="113" w:type="dxa"/>
              <w:left w:w="80" w:type="dxa"/>
              <w:bottom w:w="113" w:type="dxa"/>
              <w:right w:w="80" w:type="dxa"/>
            </w:tcMar>
          </w:tcPr>
          <w:p w14:paraId="7193CB4F" w14:textId="77777777" w:rsidR="00794A0D" w:rsidRPr="00CA56C9" w:rsidRDefault="00794A0D" w:rsidP="0096027A">
            <w:pPr>
              <w:rPr>
                <w:rStyle w:val="Strong"/>
              </w:rPr>
            </w:pPr>
            <w:r w:rsidRPr="00CA56C9">
              <w:rPr>
                <w:rStyle w:val="Strong"/>
              </w:rPr>
              <w:t>4</w:t>
            </w:r>
            <w:r w:rsidR="00CA56C9" w:rsidRPr="00CA56C9">
              <w:rPr>
                <w:rStyle w:val="Strong"/>
              </w:rPr>
              <w:t xml:space="preserve"> – Organisational excellence</w:t>
            </w:r>
          </w:p>
        </w:tc>
      </w:tr>
    </w:tbl>
    <w:p w14:paraId="5F41EEED" w14:textId="77777777" w:rsidR="00DD3C49" w:rsidRDefault="00DD3C49" w:rsidP="00F75995">
      <w:pPr>
        <w:rPr>
          <w:rFonts w:eastAsiaTheme="majorEastAsia"/>
        </w:rPr>
      </w:pPr>
    </w:p>
    <w:p w14:paraId="7F77DFB2" w14:textId="5919FBA9" w:rsidR="005A1D99" w:rsidRPr="00541600" w:rsidRDefault="00C726B0" w:rsidP="005A1D99">
      <w:r>
        <w:t>WorkCover WA</w:t>
      </w:r>
      <w:r w:rsidR="005A1D99">
        <w:t>’s</w:t>
      </w:r>
      <w:r w:rsidR="005A1D99" w:rsidRPr="00541600">
        <w:t xml:space="preserve"> Conciliation and Arbitration Services (CAS) provide a fair and cost effective system for the resolution of disputes that:</w:t>
      </w:r>
    </w:p>
    <w:p w14:paraId="34CDBB8E" w14:textId="77777777" w:rsidR="00541600" w:rsidRPr="00541600" w:rsidRDefault="00541600" w:rsidP="00541600">
      <w:pPr>
        <w:pStyle w:val="BulletListLevel1"/>
      </w:pPr>
      <w:r w:rsidRPr="00541600">
        <w:t>is timely</w:t>
      </w:r>
    </w:p>
    <w:p w14:paraId="53A11538" w14:textId="77777777" w:rsidR="00541600" w:rsidRPr="00541600" w:rsidRDefault="00541600" w:rsidP="00541600">
      <w:pPr>
        <w:pStyle w:val="BulletListLevel1"/>
      </w:pPr>
      <w:r w:rsidRPr="00541600">
        <w:t>is accessible, approachable and professional</w:t>
      </w:r>
    </w:p>
    <w:p w14:paraId="65B7EEFE" w14:textId="77777777" w:rsidR="00541600" w:rsidRPr="00541600" w:rsidRDefault="00541600" w:rsidP="00541600">
      <w:pPr>
        <w:pStyle w:val="BulletListLevel1"/>
      </w:pPr>
      <w:r w:rsidRPr="00541600">
        <w:t>minimises costs to parties to disputes</w:t>
      </w:r>
    </w:p>
    <w:p w14:paraId="5C586475" w14:textId="77777777" w:rsidR="00541600" w:rsidRPr="00541600" w:rsidRDefault="005A1D99" w:rsidP="005A1D99">
      <w:pPr>
        <w:pStyle w:val="BulletListLevel1"/>
      </w:pPr>
      <w:r w:rsidRPr="00541600">
        <w:t>in the case of conciliation, leads to final and appropriate agreements between parties in relation to disputes</w:t>
      </w:r>
      <w:r w:rsidR="00541600" w:rsidRPr="00541600">
        <w:tab/>
      </w:r>
    </w:p>
    <w:p w14:paraId="4612C2B5" w14:textId="77777777" w:rsidR="00541600" w:rsidRPr="00541600" w:rsidRDefault="00541600" w:rsidP="00541600">
      <w:pPr>
        <w:pStyle w:val="BulletListLevel1"/>
      </w:pPr>
      <w:r w:rsidRPr="00541600">
        <w:t>in the case of arbitration, enables disputes not resolved by conciliation to be determined according to their substantial merits with as little formality and technicality as practicable.</w:t>
      </w:r>
    </w:p>
    <w:p w14:paraId="58C46A4D" w14:textId="47BFEBE3" w:rsidR="00F70E4F" w:rsidRDefault="00F70E4F" w:rsidP="00274921">
      <w:pPr>
        <w:pStyle w:val="BulletListLevel1"/>
        <w:numPr>
          <w:ilvl w:val="0"/>
          <w:numId w:val="0"/>
        </w:numPr>
      </w:pPr>
      <w:r w:rsidRPr="00EC4A28">
        <w:t xml:space="preserve">In addition to </w:t>
      </w:r>
      <w:r>
        <w:t xml:space="preserve">facilitating the resolution of disputes by </w:t>
      </w:r>
      <w:r w:rsidRPr="00EC4A28">
        <w:t>conciliation the Conciliation Service is responsible for</w:t>
      </w:r>
      <w:r w:rsidR="001F6F23">
        <w:t xml:space="preserve"> recording</w:t>
      </w:r>
      <w:r w:rsidRPr="00EC4A28">
        <w:t xml:space="preserve"> the finalisation of workers’ compensation claims </w:t>
      </w:r>
      <w:r w:rsidR="00577CB8">
        <w:t>through</w:t>
      </w:r>
      <w:r w:rsidRPr="00EC4A28">
        <w:t xml:space="preserve"> settlements (i.e. registration of memoranda of agreement and common law settlement deeds) and the processing of documents submitted in rela</w:t>
      </w:r>
      <w:r>
        <w:t xml:space="preserve">tion to common law </w:t>
      </w:r>
      <w:r w:rsidR="00577CB8">
        <w:t>claims.</w:t>
      </w:r>
    </w:p>
    <w:p w14:paraId="5DB73CC6" w14:textId="7DC3A618" w:rsidR="00BA4EDE" w:rsidRDefault="00793625" w:rsidP="00541600">
      <w:r>
        <w:t>The C</w:t>
      </w:r>
      <w:r w:rsidR="00081413">
        <w:t>onciliation Service</w:t>
      </w:r>
      <w:r w:rsidR="001705B9" w:rsidRPr="00ED4BE5">
        <w:t xml:space="preserve"> </w:t>
      </w:r>
      <w:r w:rsidR="001705B9" w:rsidRPr="00C235A2">
        <w:t xml:space="preserve">registered </w:t>
      </w:r>
      <w:r w:rsidR="00C235A2" w:rsidRPr="00C235A2">
        <w:t>4,113</w:t>
      </w:r>
      <w:r w:rsidR="00ED4BE5" w:rsidRPr="00C235A2">
        <w:t xml:space="preserve"> </w:t>
      </w:r>
      <w:r w:rsidR="00F70E4F" w:rsidRPr="00C235A2">
        <w:t>memoranda</w:t>
      </w:r>
      <w:r w:rsidR="00F70E4F">
        <w:t xml:space="preserve"> of agreement in 2014/15</w:t>
      </w:r>
      <w:r w:rsidR="001705B9" w:rsidRPr="00ED4BE5">
        <w:t>.</w:t>
      </w:r>
    </w:p>
    <w:p w14:paraId="55C7CF3E" w14:textId="77777777" w:rsidR="00BA4EDE" w:rsidRDefault="00BA4EDE">
      <w:pPr>
        <w:keepLines w:val="0"/>
        <w:spacing w:after="0" w:line="240" w:lineRule="auto"/>
      </w:pPr>
      <w:r>
        <w:br w:type="page"/>
      </w:r>
    </w:p>
    <w:p w14:paraId="445EA3ED" w14:textId="77777777" w:rsidR="00541600" w:rsidRDefault="00541600" w:rsidP="00541600"/>
    <w:p w14:paraId="59A3646D" w14:textId="77777777" w:rsidR="00541600" w:rsidRPr="006246AB" w:rsidRDefault="00896CC7" w:rsidP="00B70A61">
      <w:pPr>
        <w:rPr>
          <w:rStyle w:val="Emphasis"/>
          <w:i w:val="0"/>
        </w:rPr>
      </w:pPr>
      <w:r>
        <w:rPr>
          <w:rStyle w:val="Emphasis"/>
          <w:i w:val="0"/>
        </w:rPr>
        <w:t>General CAS initiatives in 2014</w:t>
      </w:r>
      <w:r w:rsidR="00190EAD" w:rsidRPr="00190EAD">
        <w:rPr>
          <w:rStyle w:val="Emphasis"/>
          <w:i w:val="0"/>
        </w:rPr>
        <w:t>/</w:t>
      </w:r>
      <w:r>
        <w:rPr>
          <w:rStyle w:val="Emphasis"/>
          <w:i w:val="0"/>
        </w:rPr>
        <w:t>15</w:t>
      </w:r>
      <w:r w:rsidR="00C078D7">
        <w:rPr>
          <w:rStyle w:val="Emphasis"/>
          <w:i w:val="0"/>
        </w:rPr>
        <w:t xml:space="preserve"> included:</w:t>
      </w:r>
    </w:p>
    <w:p w14:paraId="6C509B09" w14:textId="3D66AFD6" w:rsidR="00896CC7" w:rsidRDefault="00971E9B" w:rsidP="00896CC7">
      <w:pPr>
        <w:pStyle w:val="BulletListLevel1"/>
      </w:pPr>
      <w:r>
        <w:t>e</w:t>
      </w:r>
      <w:r w:rsidR="00541600" w:rsidRPr="00541600">
        <w:t>ngagement of arbitrators on a sessional basis to assist in dealing with disputes in a ti</w:t>
      </w:r>
      <w:r w:rsidR="00896CC7">
        <w:t xml:space="preserve">mely manner </w:t>
      </w:r>
    </w:p>
    <w:p w14:paraId="6B58A89F" w14:textId="212DC5AE" w:rsidR="00896CC7" w:rsidRDefault="00D50C13" w:rsidP="00896CC7">
      <w:pPr>
        <w:pStyle w:val="BulletListLevel1"/>
      </w:pPr>
      <w:r>
        <w:t>publication</w:t>
      </w:r>
      <w:r w:rsidR="00896CC7">
        <w:t xml:space="preserve"> of a revised Costs Determination</w:t>
      </w:r>
    </w:p>
    <w:p w14:paraId="4349BB72" w14:textId="24112665" w:rsidR="00896CC7" w:rsidRDefault="00274921" w:rsidP="00896CC7">
      <w:pPr>
        <w:pStyle w:val="BulletListLevel1"/>
      </w:pPr>
      <w:r>
        <w:t>appointment of</w:t>
      </w:r>
      <w:r w:rsidR="00896CC7">
        <w:t xml:space="preserve"> an additional Conciliation Officer</w:t>
      </w:r>
    </w:p>
    <w:p w14:paraId="7EA8DC9A" w14:textId="0FD60083" w:rsidR="00896CC7" w:rsidRDefault="00896CC7" w:rsidP="00896CC7">
      <w:pPr>
        <w:pStyle w:val="BulletListLevel1"/>
      </w:pPr>
      <w:r>
        <w:t xml:space="preserve">ongoing enhancement of the core </w:t>
      </w:r>
      <w:r w:rsidR="00D50C13">
        <w:t>business management system (</w:t>
      </w:r>
      <w:r>
        <w:t>Dispute Case Management System</w:t>
      </w:r>
      <w:r w:rsidR="00D50C13">
        <w:t>)</w:t>
      </w:r>
    </w:p>
    <w:p w14:paraId="2F23F822" w14:textId="77777777" w:rsidR="00896CC7" w:rsidRDefault="00896CC7" w:rsidP="00896CC7">
      <w:pPr>
        <w:pStyle w:val="BulletListLevel1"/>
      </w:pPr>
      <w:r>
        <w:t xml:space="preserve">review of the </w:t>
      </w:r>
      <w:r>
        <w:rPr>
          <w:i/>
        </w:rPr>
        <w:t xml:space="preserve">Workers’ Compensation Conciliation Rules 2011 </w:t>
      </w:r>
      <w:r>
        <w:t xml:space="preserve">and </w:t>
      </w:r>
      <w:r>
        <w:rPr>
          <w:i/>
        </w:rPr>
        <w:t>Workers’ Compensation Arbitration Rules 2011</w:t>
      </w:r>
      <w:r>
        <w:t>.</w:t>
      </w:r>
    </w:p>
    <w:p w14:paraId="11F2F151" w14:textId="74773C7B" w:rsidR="00991436" w:rsidRDefault="00EF5585" w:rsidP="00180C0F">
      <w:pPr>
        <w:pStyle w:val="Heading2nonumber"/>
      </w:pPr>
      <w:bookmarkStart w:id="281" w:name="_Toc426617497"/>
      <w:bookmarkStart w:id="282" w:name="_Toc430091222"/>
      <w:r>
        <w:t>Dispute resolution performance</w:t>
      </w:r>
      <w:bookmarkEnd w:id="281"/>
      <w:bookmarkEnd w:id="282"/>
    </w:p>
    <w:p w14:paraId="30207669" w14:textId="5F2A1BDA" w:rsidR="001705B9" w:rsidRPr="001705B9" w:rsidRDefault="00896CC7" w:rsidP="001705B9">
      <w:r w:rsidRPr="00741008">
        <w:rPr>
          <w:rFonts w:cs="Arial"/>
        </w:rPr>
        <w:t xml:space="preserve">The objective of the Conciliation Service is to provide a </w:t>
      </w:r>
      <w:r>
        <w:rPr>
          <w:rFonts w:cs="Arial"/>
        </w:rPr>
        <w:t>timely and effective</w:t>
      </w:r>
      <w:r w:rsidRPr="00741008">
        <w:rPr>
          <w:rFonts w:cs="Arial"/>
        </w:rPr>
        <w:t xml:space="preserve"> service to assist parties to resolve their dispute</w:t>
      </w:r>
      <w:r>
        <w:rPr>
          <w:rFonts w:cs="Arial"/>
        </w:rPr>
        <w:t xml:space="preserve"> by agreement</w:t>
      </w:r>
      <w:r w:rsidRPr="00741008">
        <w:rPr>
          <w:rFonts w:cs="Arial"/>
        </w:rPr>
        <w:t xml:space="preserve">. The focus of the Arbitration Service is resolving disputes according to their substantial merits. The following </w:t>
      </w:r>
      <w:r>
        <w:rPr>
          <w:rFonts w:cs="Arial"/>
        </w:rPr>
        <w:t>tables</w:t>
      </w:r>
      <w:r w:rsidRPr="00741008">
        <w:rPr>
          <w:rFonts w:cs="Arial"/>
        </w:rPr>
        <w:t xml:space="preserve"> illustrate </w:t>
      </w:r>
      <w:r w:rsidR="00C726B0">
        <w:rPr>
          <w:rFonts w:cs="Arial"/>
        </w:rPr>
        <w:t>WorkCover WA</w:t>
      </w:r>
      <w:r w:rsidRPr="00741008">
        <w:rPr>
          <w:rFonts w:cs="Arial"/>
        </w:rPr>
        <w:t>’s achievement of these objectives</w:t>
      </w:r>
      <w:r>
        <w:rPr>
          <w:rFonts w:cs="Arial"/>
        </w:rPr>
        <w:t>, including numbers of applications accepted and cases completed</w:t>
      </w:r>
      <w:r w:rsidRPr="00741008">
        <w:rPr>
          <w:rFonts w:cs="Arial"/>
        </w:rPr>
        <w:t xml:space="preserve">. In </w:t>
      </w:r>
      <w:r w:rsidRPr="00E51EE4">
        <w:rPr>
          <w:rFonts w:cs="Arial"/>
        </w:rPr>
        <w:t xml:space="preserve">Table </w:t>
      </w:r>
      <w:r w:rsidR="009E75E3" w:rsidRPr="00E51EE4">
        <w:rPr>
          <w:rFonts w:cs="Arial"/>
        </w:rPr>
        <w:t>26</w:t>
      </w:r>
      <w:r w:rsidRPr="00E51EE4">
        <w:rPr>
          <w:rFonts w:cs="Arial"/>
        </w:rPr>
        <w:t xml:space="preserve">, </w:t>
      </w:r>
      <w:r w:rsidRPr="00741008">
        <w:rPr>
          <w:rFonts w:cs="Arial"/>
        </w:rPr>
        <w:t>KPI effectiveness indicator 1.2 relates to Conciliation Services and 1.3 to Concil</w:t>
      </w:r>
      <w:r w:rsidR="006866BE">
        <w:rPr>
          <w:rFonts w:cs="Arial"/>
        </w:rPr>
        <w:t>iation and Arbitration Services combined.</w:t>
      </w:r>
    </w:p>
    <w:tbl>
      <w:tblPr>
        <w:tblStyle w:val="TableGrid"/>
        <w:tblW w:w="0" w:type="auto"/>
        <w:tblInd w:w="108"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ook w:val="04A0" w:firstRow="1" w:lastRow="0" w:firstColumn="1" w:lastColumn="0" w:noHBand="0" w:noVBand="1"/>
        <w:tblCaption w:val="Table 25 2014/15 CAS applications and cases"/>
        <w:tblDescription w:val="Table 25 details all CAS applications and cases "/>
      </w:tblPr>
      <w:tblGrid>
        <w:gridCol w:w="4525"/>
        <w:gridCol w:w="4383"/>
      </w:tblGrid>
      <w:tr w:rsidR="005378AA" w:rsidRPr="00EF3D60" w14:paraId="7B4DB33C" w14:textId="77777777" w:rsidTr="00EA2534">
        <w:trPr>
          <w:tblHeader/>
        </w:trPr>
        <w:tc>
          <w:tcPr>
            <w:tcW w:w="8908" w:type="dxa"/>
            <w:gridSpan w:val="2"/>
            <w:tcBorders>
              <w:bottom w:val="single" w:sz="4" w:space="0" w:color="BAD0CD" w:themeColor="accent5" w:themeShade="E6"/>
            </w:tcBorders>
            <w:shd w:val="clear" w:color="auto" w:fill="2D4541" w:themeFill="accent2"/>
          </w:tcPr>
          <w:p w14:paraId="686B66A5" w14:textId="7D6FDB53" w:rsidR="005378AA" w:rsidRPr="007434F3" w:rsidRDefault="005378AA" w:rsidP="005524E7">
            <w:pPr>
              <w:rPr>
                <w:rStyle w:val="Strong"/>
                <w:color w:val="FFFFFF" w:themeColor="background1"/>
              </w:rPr>
            </w:pPr>
            <w:r w:rsidRPr="007434F3">
              <w:rPr>
                <w:rStyle w:val="Strong"/>
                <w:color w:val="FFFFFF" w:themeColor="background1"/>
              </w:rPr>
              <w:t xml:space="preserve">Table </w:t>
            </w:r>
            <w:r w:rsidR="009E75E3">
              <w:rPr>
                <w:rStyle w:val="Strong"/>
                <w:color w:val="FFFFFF" w:themeColor="background1"/>
              </w:rPr>
              <w:t>25</w:t>
            </w:r>
            <w:r w:rsidR="00DD4840" w:rsidRPr="007434F3">
              <w:rPr>
                <w:rStyle w:val="Strong"/>
                <w:color w:val="FFFFFF" w:themeColor="background1"/>
              </w:rPr>
              <w:t>:</w:t>
            </w:r>
            <w:r w:rsidR="00896CC7" w:rsidRPr="007434F3">
              <w:rPr>
                <w:rStyle w:val="Strong"/>
                <w:color w:val="FFFFFF" w:themeColor="background1"/>
              </w:rPr>
              <w:t xml:space="preserve"> 2014/15</w:t>
            </w:r>
            <w:r w:rsidRPr="007434F3">
              <w:rPr>
                <w:rStyle w:val="Strong"/>
                <w:color w:val="FFFFFF" w:themeColor="background1"/>
              </w:rPr>
              <w:t xml:space="preserve"> CAS applications and cases</w:t>
            </w:r>
          </w:p>
        </w:tc>
      </w:tr>
      <w:tr w:rsidR="00C235A2" w:rsidRPr="00EF3D60" w14:paraId="1D6583B3" w14:textId="77777777" w:rsidTr="00EA2534">
        <w:tc>
          <w:tcPr>
            <w:tcW w:w="4525"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6EE20931" w14:textId="77777777" w:rsidR="00C235A2" w:rsidRPr="007434F3" w:rsidRDefault="00C235A2" w:rsidP="00C235A2">
            <w:r w:rsidRPr="007434F3">
              <w:t>Conciliation applications accepted</w:t>
            </w:r>
          </w:p>
        </w:tc>
        <w:tc>
          <w:tcPr>
            <w:tcW w:w="438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70879B80" w14:textId="6ED3E0A2" w:rsidR="00C235A2" w:rsidRPr="00EA2534" w:rsidRDefault="00C235A2" w:rsidP="00C235A2">
            <w:r w:rsidRPr="00EA2534">
              <w:t>2,259</w:t>
            </w:r>
          </w:p>
        </w:tc>
      </w:tr>
      <w:tr w:rsidR="00C235A2" w:rsidRPr="00EF3D60" w14:paraId="34D8CA3B" w14:textId="77777777" w:rsidTr="00EA2534">
        <w:tc>
          <w:tcPr>
            <w:tcW w:w="4525"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5A7A29CA" w14:textId="77777777" w:rsidR="00C235A2" w:rsidRPr="007434F3" w:rsidRDefault="00C235A2" w:rsidP="00C235A2">
            <w:r w:rsidRPr="007434F3">
              <w:t>Conciliation cases completed</w:t>
            </w:r>
          </w:p>
        </w:tc>
        <w:tc>
          <w:tcPr>
            <w:tcW w:w="438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1BA21A54" w14:textId="6A56B788" w:rsidR="00C235A2" w:rsidRPr="00EA2534" w:rsidRDefault="002E55C3" w:rsidP="00C235A2">
            <w:r w:rsidRPr="00EA2534">
              <w:t>2,242</w:t>
            </w:r>
          </w:p>
        </w:tc>
      </w:tr>
      <w:tr w:rsidR="00C235A2" w:rsidRPr="00EF3D60" w14:paraId="7E44DE28" w14:textId="77777777" w:rsidTr="00EA2534">
        <w:tc>
          <w:tcPr>
            <w:tcW w:w="4525"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7BD2F85F" w14:textId="77777777" w:rsidR="00C235A2" w:rsidRPr="007434F3" w:rsidRDefault="00C235A2" w:rsidP="00C235A2">
            <w:r w:rsidRPr="007434F3">
              <w:t>Arbitration applications accepted</w:t>
            </w:r>
          </w:p>
        </w:tc>
        <w:tc>
          <w:tcPr>
            <w:tcW w:w="438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678F4487" w14:textId="59578438" w:rsidR="00C235A2" w:rsidRPr="00EA2534" w:rsidRDefault="00C235A2" w:rsidP="00C235A2">
            <w:r w:rsidRPr="00EA2534">
              <w:t>500</w:t>
            </w:r>
          </w:p>
        </w:tc>
      </w:tr>
      <w:tr w:rsidR="00C235A2" w:rsidRPr="00EF3D60" w14:paraId="5D6A7157" w14:textId="77777777" w:rsidTr="00EA2534">
        <w:tc>
          <w:tcPr>
            <w:tcW w:w="4525"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330BB30C" w14:textId="77777777" w:rsidR="00C235A2" w:rsidRPr="007434F3" w:rsidRDefault="00C235A2" w:rsidP="00C235A2">
            <w:r w:rsidRPr="007434F3">
              <w:t xml:space="preserve">Arbitration cases completed </w:t>
            </w:r>
          </w:p>
        </w:tc>
        <w:tc>
          <w:tcPr>
            <w:tcW w:w="438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62E0996A" w14:textId="5B09BA21" w:rsidR="00C235A2" w:rsidRPr="00EA2534" w:rsidRDefault="00C235A2" w:rsidP="00C235A2">
            <w:r w:rsidRPr="00EA2534">
              <w:t>482</w:t>
            </w:r>
          </w:p>
        </w:tc>
      </w:tr>
    </w:tbl>
    <w:p w14:paraId="578AFDC8" w14:textId="6E832416" w:rsidR="00092A70" w:rsidRDefault="00FE6931" w:rsidP="00FE6931">
      <w:r>
        <w:tab/>
      </w:r>
    </w:p>
    <w:p w14:paraId="380C4DEA" w14:textId="77777777" w:rsidR="00092A70" w:rsidRDefault="00092A70">
      <w:pPr>
        <w:keepLines w:val="0"/>
        <w:spacing w:after="0" w:line="240" w:lineRule="auto"/>
      </w:pPr>
      <w:r>
        <w:br w:type="page"/>
      </w:r>
    </w:p>
    <w:tbl>
      <w:tblPr>
        <w:tblStyle w:val="TableGrid"/>
        <w:tblW w:w="0" w:type="auto"/>
        <w:tblInd w:w="108"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ook w:val="04A0" w:firstRow="1" w:lastRow="0" w:firstColumn="1" w:lastColumn="0" w:noHBand="0" w:noVBand="1"/>
        <w:tblCaption w:val="Table 26 2014/15 KPI effectiveness indicators related to CAS"/>
        <w:tblDescription w:val="Table 26 details the financial years KPI effectiveness indicators related to CAS including the target and the result"/>
      </w:tblPr>
      <w:tblGrid>
        <w:gridCol w:w="2899"/>
        <w:gridCol w:w="3014"/>
        <w:gridCol w:w="2995"/>
      </w:tblGrid>
      <w:tr w:rsidR="005378AA" w:rsidRPr="00EF3D60" w14:paraId="717320EB" w14:textId="77777777" w:rsidTr="00EA2534">
        <w:trPr>
          <w:tblHeader/>
        </w:trPr>
        <w:tc>
          <w:tcPr>
            <w:tcW w:w="8908" w:type="dxa"/>
            <w:gridSpan w:val="3"/>
            <w:shd w:val="clear" w:color="auto" w:fill="2D4541" w:themeFill="accent2"/>
          </w:tcPr>
          <w:p w14:paraId="0A36C012" w14:textId="336FBF9C" w:rsidR="005378AA" w:rsidRPr="005378AA" w:rsidRDefault="005378AA" w:rsidP="009E75E3">
            <w:pPr>
              <w:rPr>
                <w:rStyle w:val="Strong"/>
                <w:color w:val="FFFFFF" w:themeColor="background1"/>
              </w:rPr>
            </w:pPr>
            <w:r w:rsidRPr="007434F3">
              <w:rPr>
                <w:rStyle w:val="Strong"/>
                <w:color w:val="FFFFFF" w:themeColor="background1"/>
              </w:rPr>
              <w:lastRenderedPageBreak/>
              <w:t xml:space="preserve">Table </w:t>
            </w:r>
            <w:r w:rsidR="005524E7" w:rsidRPr="007434F3">
              <w:rPr>
                <w:rStyle w:val="Strong"/>
                <w:color w:val="FFFFFF" w:themeColor="background1"/>
              </w:rPr>
              <w:t>2</w:t>
            </w:r>
            <w:r w:rsidR="009E75E3">
              <w:rPr>
                <w:rStyle w:val="Strong"/>
                <w:color w:val="FFFFFF" w:themeColor="background1"/>
              </w:rPr>
              <w:t>6</w:t>
            </w:r>
            <w:r w:rsidR="00DD4840" w:rsidRPr="007434F3">
              <w:rPr>
                <w:rStyle w:val="Strong"/>
                <w:color w:val="FFFFFF" w:themeColor="background1"/>
              </w:rPr>
              <w:t>:</w:t>
            </w:r>
            <w:r w:rsidRPr="007434F3">
              <w:rPr>
                <w:rStyle w:val="Strong"/>
                <w:color w:val="FFFFFF" w:themeColor="background1"/>
              </w:rPr>
              <w:t xml:space="preserve"> 201</w:t>
            </w:r>
            <w:r w:rsidR="000F53F5" w:rsidRPr="007434F3">
              <w:rPr>
                <w:rStyle w:val="Strong"/>
                <w:color w:val="FFFFFF" w:themeColor="background1"/>
              </w:rPr>
              <w:t>4</w:t>
            </w:r>
            <w:r w:rsidRPr="007434F3">
              <w:rPr>
                <w:rStyle w:val="Strong"/>
                <w:color w:val="FFFFFF" w:themeColor="background1"/>
              </w:rPr>
              <w:t>/1</w:t>
            </w:r>
            <w:r w:rsidR="000F53F5" w:rsidRPr="007434F3">
              <w:rPr>
                <w:rStyle w:val="Strong"/>
                <w:color w:val="FFFFFF" w:themeColor="background1"/>
              </w:rPr>
              <w:t xml:space="preserve">5 </w:t>
            </w:r>
            <w:r w:rsidRPr="007434F3">
              <w:rPr>
                <w:rStyle w:val="Strong"/>
                <w:color w:val="FFFFFF" w:themeColor="background1"/>
              </w:rPr>
              <w:t>KPI effectiveness indicators related to CAS</w:t>
            </w:r>
          </w:p>
        </w:tc>
      </w:tr>
      <w:tr w:rsidR="005378AA" w:rsidRPr="00EF3D60" w14:paraId="4FF592A7" w14:textId="77777777" w:rsidTr="00EA2534">
        <w:tc>
          <w:tcPr>
            <w:tcW w:w="2899" w:type="dxa"/>
            <w:tcBorders>
              <w:bottom w:val="single" w:sz="4" w:space="0" w:color="BAD0CD" w:themeColor="accent5" w:themeShade="E6"/>
            </w:tcBorders>
            <w:shd w:val="clear" w:color="auto" w:fill="D4E2E0" w:themeFill="accent5"/>
            <w:vAlign w:val="center"/>
          </w:tcPr>
          <w:p w14:paraId="68C2C1EB" w14:textId="77777777" w:rsidR="005378AA" w:rsidRPr="005378AA" w:rsidRDefault="005378AA" w:rsidP="005378AA">
            <w:pPr>
              <w:rPr>
                <w:rStyle w:val="Strong"/>
              </w:rPr>
            </w:pPr>
            <w:r w:rsidRPr="005378AA">
              <w:rPr>
                <w:rStyle w:val="Strong"/>
              </w:rPr>
              <w:t>Description</w:t>
            </w:r>
          </w:p>
        </w:tc>
        <w:tc>
          <w:tcPr>
            <w:tcW w:w="3014" w:type="dxa"/>
            <w:tcBorders>
              <w:bottom w:val="single" w:sz="4" w:space="0" w:color="BAD0CD" w:themeColor="accent5" w:themeShade="E6"/>
            </w:tcBorders>
            <w:shd w:val="clear" w:color="auto" w:fill="D4E2E0" w:themeFill="accent5"/>
            <w:vAlign w:val="center"/>
          </w:tcPr>
          <w:p w14:paraId="1296399A" w14:textId="77777777" w:rsidR="005378AA" w:rsidRPr="005378AA" w:rsidRDefault="00896CC7" w:rsidP="005378AA">
            <w:pPr>
              <w:rPr>
                <w:rStyle w:val="Strong"/>
              </w:rPr>
            </w:pPr>
            <w:r>
              <w:rPr>
                <w:rStyle w:val="Strong"/>
              </w:rPr>
              <w:t>2014/15</w:t>
            </w:r>
            <w:r w:rsidR="005378AA" w:rsidRPr="005378AA">
              <w:rPr>
                <w:rStyle w:val="Strong"/>
              </w:rPr>
              <w:t xml:space="preserve"> Target/Result</w:t>
            </w:r>
          </w:p>
        </w:tc>
        <w:tc>
          <w:tcPr>
            <w:tcW w:w="2995" w:type="dxa"/>
            <w:tcBorders>
              <w:bottom w:val="single" w:sz="4" w:space="0" w:color="BAD0CD" w:themeColor="accent5" w:themeShade="E6"/>
            </w:tcBorders>
            <w:shd w:val="clear" w:color="auto" w:fill="D4E2E0" w:themeFill="accent5"/>
            <w:vAlign w:val="center"/>
          </w:tcPr>
          <w:p w14:paraId="282C8BA2" w14:textId="77777777" w:rsidR="005378AA" w:rsidRPr="005378AA" w:rsidRDefault="005378AA" w:rsidP="005378AA">
            <w:pPr>
              <w:rPr>
                <w:rStyle w:val="Strong"/>
              </w:rPr>
            </w:pPr>
            <w:r w:rsidRPr="005378AA">
              <w:rPr>
                <w:rStyle w:val="Strong"/>
              </w:rPr>
              <w:t>Reference</w:t>
            </w:r>
          </w:p>
        </w:tc>
      </w:tr>
      <w:tr w:rsidR="00C235A2" w:rsidRPr="00EF3D60" w14:paraId="20698300" w14:textId="77777777" w:rsidTr="00E51EE4">
        <w:tc>
          <w:tcPr>
            <w:tcW w:w="2899"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1B07F17A" w14:textId="1A980873" w:rsidR="00C235A2" w:rsidRPr="001106B3" w:rsidRDefault="00C235A2" w:rsidP="00C235A2">
            <w:r w:rsidRPr="001106B3">
              <w:t>1.2 Proportion of conciliations completed within 8 weeks</w:t>
            </w:r>
          </w:p>
        </w:tc>
        <w:tc>
          <w:tcPr>
            <w:tcW w:w="3014"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auto"/>
          </w:tcPr>
          <w:p w14:paraId="2116C769" w14:textId="77777777" w:rsidR="00CA4F43" w:rsidRPr="00E51EE4" w:rsidRDefault="00CA4F43" w:rsidP="00C235A2">
            <w:r w:rsidRPr="00E51EE4">
              <w:t>97.0% - Target</w:t>
            </w:r>
          </w:p>
          <w:p w14:paraId="1AC7A2E0" w14:textId="01ECCF14" w:rsidR="00CA4F43" w:rsidRPr="00E51EE4" w:rsidRDefault="00CA4F43" w:rsidP="00C235A2">
            <w:r w:rsidRPr="00E51EE4">
              <w:t>96.3% - Result</w:t>
            </w:r>
          </w:p>
        </w:tc>
        <w:tc>
          <w:tcPr>
            <w:tcW w:w="2995"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auto"/>
          </w:tcPr>
          <w:p w14:paraId="77C01EC6" w14:textId="189ADAA2" w:rsidR="00C235A2" w:rsidRPr="00E51EE4" w:rsidRDefault="00444008" w:rsidP="00BA4EDE">
            <w:pPr>
              <w:rPr>
                <w:color w:val="FF0000"/>
              </w:rPr>
            </w:pPr>
            <w:r w:rsidRPr="00E51EE4">
              <w:t>p.14</w:t>
            </w:r>
            <w:r w:rsidR="00E51EE4" w:rsidRPr="00E51EE4">
              <w:t>8</w:t>
            </w:r>
          </w:p>
        </w:tc>
      </w:tr>
      <w:tr w:rsidR="00C235A2" w:rsidRPr="00EF3D60" w14:paraId="5DF2AA1F" w14:textId="77777777" w:rsidTr="00E51EE4">
        <w:tc>
          <w:tcPr>
            <w:tcW w:w="2899"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0AD34E3A" w14:textId="28503BDE" w:rsidR="00C235A2" w:rsidRPr="001106B3" w:rsidRDefault="007A2408" w:rsidP="00C235A2">
            <w:r w:rsidRPr="007A2408">
              <w:t>1.3 Proportion of disputes resolved within 6 months.</w:t>
            </w:r>
          </w:p>
        </w:tc>
        <w:tc>
          <w:tcPr>
            <w:tcW w:w="3014"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654BB0FD" w14:textId="2E0CC2A5" w:rsidR="00CA4F43" w:rsidRPr="00EA2534" w:rsidRDefault="006866BE" w:rsidP="00CA4F43">
            <w:r w:rsidRPr="00EA2534">
              <w:t>90.0</w:t>
            </w:r>
            <w:r w:rsidR="00CA4F43" w:rsidRPr="00EA2534">
              <w:t xml:space="preserve">% - Target </w:t>
            </w:r>
          </w:p>
          <w:p w14:paraId="676CB586" w14:textId="703686EE" w:rsidR="00C235A2" w:rsidRPr="00EA2534" w:rsidRDefault="006866BE" w:rsidP="00CA4F43">
            <w:pPr>
              <w:rPr>
                <w:highlight w:val="yellow"/>
              </w:rPr>
            </w:pPr>
            <w:r w:rsidRPr="00EA2534">
              <w:t>88.8</w:t>
            </w:r>
            <w:r w:rsidR="00CA4F43" w:rsidRPr="00EA2534">
              <w:t xml:space="preserve">% - Result </w:t>
            </w:r>
          </w:p>
        </w:tc>
        <w:tc>
          <w:tcPr>
            <w:tcW w:w="2995"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auto"/>
          </w:tcPr>
          <w:p w14:paraId="507CC732" w14:textId="16C14716" w:rsidR="00C235A2" w:rsidRPr="00C235A2" w:rsidRDefault="00E51EE4" w:rsidP="00BA4EDE">
            <w:pPr>
              <w:rPr>
                <w:color w:val="FF0000"/>
                <w:highlight w:val="yellow"/>
              </w:rPr>
            </w:pPr>
            <w:r w:rsidRPr="00E51EE4">
              <w:t>p.150</w:t>
            </w:r>
          </w:p>
        </w:tc>
      </w:tr>
    </w:tbl>
    <w:p w14:paraId="417542C0" w14:textId="77777777" w:rsidR="003779B6" w:rsidRDefault="003B34D4" w:rsidP="00180C0F">
      <w:pPr>
        <w:pStyle w:val="Heading2nonumber"/>
      </w:pPr>
      <w:bookmarkStart w:id="283" w:name="_Toc426617498"/>
      <w:bookmarkStart w:id="284" w:name="_Toc430091223"/>
      <w:r>
        <w:t>Review of the Rules</w:t>
      </w:r>
      <w:bookmarkEnd w:id="283"/>
      <w:bookmarkEnd w:id="284"/>
    </w:p>
    <w:p w14:paraId="4A8E9146" w14:textId="0D74F7F9" w:rsidR="001705B9" w:rsidRDefault="001F6F23" w:rsidP="001705B9">
      <w:r>
        <w:t>The</w:t>
      </w:r>
      <w:r w:rsidR="00FD5CF9">
        <w:t xml:space="preserve"> Conciliation and Arbitration Services</w:t>
      </w:r>
      <w:r w:rsidR="00EF5585">
        <w:t xml:space="preserve"> </w:t>
      </w:r>
      <w:r w:rsidR="00FD5CF9">
        <w:t>came into ef</w:t>
      </w:r>
      <w:r w:rsidR="00BF3386">
        <w:t>fect on 1 December 2011, replacing</w:t>
      </w:r>
      <w:r w:rsidR="00FD5CF9">
        <w:t xml:space="preserve"> the Dispute Resolution Directorate. </w:t>
      </w:r>
      <w:r w:rsidR="00A04F71">
        <w:t>T</w:t>
      </w:r>
      <w:r w:rsidR="00FD5CF9">
        <w:t xml:space="preserve">he </w:t>
      </w:r>
      <w:r w:rsidR="00BF3386">
        <w:rPr>
          <w:i/>
        </w:rPr>
        <w:t xml:space="preserve">Workers’ Compensation Rules 2011 </w:t>
      </w:r>
      <w:r w:rsidR="00BF3386">
        <w:t xml:space="preserve">and the </w:t>
      </w:r>
      <w:r w:rsidR="00BF3386">
        <w:rPr>
          <w:i/>
        </w:rPr>
        <w:t>Workers’ Arbitration Rules 2011</w:t>
      </w:r>
      <w:r w:rsidR="00BF3386">
        <w:t xml:space="preserve"> </w:t>
      </w:r>
      <w:r w:rsidR="003313C7">
        <w:t xml:space="preserve">(the Rules) </w:t>
      </w:r>
      <w:r w:rsidR="00BF3386">
        <w:t>were implemented</w:t>
      </w:r>
      <w:r w:rsidR="00A04F71">
        <w:t xml:space="preserve"> concurrently to regulate the practices and procedures of the Services</w:t>
      </w:r>
      <w:r w:rsidR="00BF3386">
        <w:t xml:space="preserve">. </w:t>
      </w:r>
    </w:p>
    <w:p w14:paraId="5A67F5E2" w14:textId="38582ED3" w:rsidR="00A04F71" w:rsidRDefault="00A04F71" w:rsidP="001705B9">
      <w:r>
        <w:t xml:space="preserve">The review sourced feedback from </w:t>
      </w:r>
      <w:r w:rsidR="00274921">
        <w:t>staff</w:t>
      </w:r>
      <w:r>
        <w:t xml:space="preserve"> and external stakeholders regarding the operation of the Rules. The feedback formed the basis of amendments to the Rules which are expected to result in improvements to operational practices in the Conciliation and Arbitration Services. The amendments </w:t>
      </w:r>
      <w:r w:rsidR="003D21ED">
        <w:t>took effec</w:t>
      </w:r>
      <w:r w:rsidR="001F6F23">
        <w:t>t</w:t>
      </w:r>
      <w:r>
        <w:t xml:space="preserve"> from </w:t>
      </w:r>
      <w:r w:rsidRPr="00BB05BF">
        <w:t>1 July 2015.</w:t>
      </w:r>
    </w:p>
    <w:p w14:paraId="6150B591" w14:textId="3E4A3FCC" w:rsidR="00A04F71" w:rsidRDefault="001F6F23" w:rsidP="001705B9">
      <w:r>
        <w:t>The Agency</w:t>
      </w:r>
      <w:r w:rsidR="00A04F71">
        <w:t xml:space="preserve"> will monitor the impact of the changes during 2015/16.</w:t>
      </w:r>
    </w:p>
    <w:p w14:paraId="70526D0A" w14:textId="3CD85691" w:rsidR="00551840" w:rsidRDefault="005D6AA1" w:rsidP="00EA2534">
      <w:pPr>
        <w:pStyle w:val="Heading2nonumber"/>
        <w:jc w:val="left"/>
      </w:pPr>
      <w:bookmarkStart w:id="285" w:name="_Toc426617499"/>
      <w:bookmarkStart w:id="286" w:name="_Toc430091224"/>
      <w:r>
        <w:t>Analysis of</w:t>
      </w:r>
      <w:r w:rsidR="005D04BD">
        <w:t xml:space="preserve"> disputes consuming above average</w:t>
      </w:r>
      <w:r>
        <w:t xml:space="preserve"> CAS resources</w:t>
      </w:r>
      <w:bookmarkEnd w:id="285"/>
      <w:bookmarkEnd w:id="286"/>
    </w:p>
    <w:p w14:paraId="65100C72" w14:textId="77777777" w:rsidR="00F74652" w:rsidRDefault="00EF5585" w:rsidP="00EF5585">
      <w:pPr>
        <w:rPr>
          <w:rFonts w:eastAsia="Calibri"/>
          <w:lang w:eastAsia="en-AU"/>
        </w:rPr>
      </w:pPr>
      <w:r w:rsidRPr="00EF5585">
        <w:rPr>
          <w:rFonts w:eastAsia="Calibri"/>
          <w:lang w:eastAsia="en-AU"/>
        </w:rPr>
        <w:t>Discussions with CAS officers and analysis of significant amounts of data was commenced to identify characteristics of disputes consumin</w:t>
      </w:r>
      <w:r w:rsidR="00F74652">
        <w:rPr>
          <w:rFonts w:eastAsia="Calibri"/>
          <w:lang w:eastAsia="en-AU"/>
        </w:rPr>
        <w:t xml:space="preserve">g above average CAS resources. </w:t>
      </w:r>
      <w:r w:rsidRPr="00EF5585">
        <w:rPr>
          <w:rFonts w:eastAsia="Calibri"/>
          <w:lang w:eastAsia="en-AU"/>
        </w:rPr>
        <w:t xml:space="preserve">These </w:t>
      </w:r>
      <w:r w:rsidR="00F74652">
        <w:rPr>
          <w:rFonts w:eastAsia="Calibri"/>
          <w:lang w:eastAsia="en-AU"/>
        </w:rPr>
        <w:t>characteristics</w:t>
      </w:r>
      <w:r w:rsidRPr="00EF5585">
        <w:rPr>
          <w:rFonts w:eastAsia="Calibri"/>
          <w:lang w:eastAsia="en-AU"/>
        </w:rPr>
        <w:t xml:space="preserve"> include psychological in</w:t>
      </w:r>
      <w:r w:rsidR="00F74652">
        <w:rPr>
          <w:rFonts w:eastAsia="Calibri"/>
          <w:lang w:eastAsia="en-AU"/>
        </w:rPr>
        <w:t>jury and unrepresented parties.</w:t>
      </w:r>
    </w:p>
    <w:p w14:paraId="5B639A77" w14:textId="670882CD" w:rsidR="00347B0B" w:rsidRDefault="00EF5585" w:rsidP="00EF5585">
      <w:pPr>
        <w:rPr>
          <w:rFonts w:eastAsia="Calibri"/>
          <w:lang w:eastAsia="en-AU"/>
        </w:rPr>
      </w:pPr>
      <w:r w:rsidRPr="00EF5585">
        <w:rPr>
          <w:rFonts w:eastAsia="Calibri"/>
          <w:lang w:eastAsia="en-AU"/>
        </w:rPr>
        <w:t xml:space="preserve">The project has recommended </w:t>
      </w:r>
      <w:r w:rsidR="00F74652">
        <w:rPr>
          <w:rFonts w:eastAsia="Calibri"/>
          <w:lang w:eastAsia="en-AU"/>
        </w:rPr>
        <w:t>areas for further consideration</w:t>
      </w:r>
      <w:r w:rsidRPr="00EF5585">
        <w:rPr>
          <w:rFonts w:eastAsia="Calibri"/>
          <w:lang w:eastAsia="en-AU"/>
        </w:rPr>
        <w:t xml:space="preserve"> as part of the second phase of the project to be undertaken during 2015/16</w:t>
      </w:r>
      <w:r>
        <w:rPr>
          <w:rFonts w:eastAsia="Calibri"/>
          <w:lang w:eastAsia="en-AU"/>
        </w:rPr>
        <w:t>.</w:t>
      </w:r>
    </w:p>
    <w:p w14:paraId="63E696EA" w14:textId="77777777" w:rsidR="00347B0B" w:rsidRDefault="00347B0B">
      <w:pPr>
        <w:keepLines w:val="0"/>
        <w:spacing w:after="0" w:line="240" w:lineRule="auto"/>
        <w:rPr>
          <w:rFonts w:eastAsia="Calibri"/>
          <w:lang w:eastAsia="en-AU"/>
        </w:rPr>
      </w:pPr>
      <w:r>
        <w:rPr>
          <w:rFonts w:eastAsia="Calibri"/>
          <w:lang w:eastAsia="en-AU"/>
        </w:rPr>
        <w:br w:type="page"/>
      </w:r>
    </w:p>
    <w:p w14:paraId="04F21BFF" w14:textId="31682FB6" w:rsidR="001652D5" w:rsidRDefault="003B491B" w:rsidP="00180C0F">
      <w:pPr>
        <w:pStyle w:val="Heading2nonumber"/>
      </w:pPr>
      <w:bookmarkStart w:id="287" w:name="_Toc426617500"/>
      <w:bookmarkStart w:id="288" w:name="_Toc430091225"/>
      <w:r>
        <w:lastRenderedPageBreak/>
        <w:t>T</w:t>
      </w:r>
      <w:r w:rsidR="002F7770">
        <w:t>rial of Standard Order t</w:t>
      </w:r>
      <w:r>
        <w:t>emplate</w:t>
      </w:r>
      <w:bookmarkEnd w:id="287"/>
      <w:bookmarkEnd w:id="288"/>
    </w:p>
    <w:p w14:paraId="5728A987" w14:textId="742F965E" w:rsidR="00074FF4" w:rsidRDefault="002F7770" w:rsidP="00826B8F">
      <w:r>
        <w:t xml:space="preserve">Before </w:t>
      </w:r>
      <w:r w:rsidR="00074FF4">
        <w:t xml:space="preserve">an application for arbitration </w:t>
      </w:r>
      <w:r>
        <w:t>can</w:t>
      </w:r>
      <w:r w:rsidR="00074FF4">
        <w:t xml:space="preserve"> be listed as an arbitration hearing, arbitrators conduct directions hearings to:</w:t>
      </w:r>
    </w:p>
    <w:p w14:paraId="4DFC7A1B" w14:textId="77777777" w:rsidR="00074FF4" w:rsidRDefault="00074FF4" w:rsidP="00410969">
      <w:pPr>
        <w:pStyle w:val="BulletListLevel1"/>
      </w:pPr>
      <w:r>
        <w:t>clarify and narrow the issues in dispute between the parties</w:t>
      </w:r>
    </w:p>
    <w:p w14:paraId="58BD5655" w14:textId="77777777" w:rsidR="002F7770" w:rsidRDefault="00074FF4" w:rsidP="00074FF4">
      <w:pPr>
        <w:pStyle w:val="BulletListLevel1"/>
      </w:pPr>
      <w:r>
        <w:t>give directions for further requirements to be completed by the parties.</w:t>
      </w:r>
    </w:p>
    <w:p w14:paraId="1B7D56FE" w14:textId="5DE24929" w:rsidR="00826B8F" w:rsidRDefault="00C57EAF" w:rsidP="002F7770">
      <w:pPr>
        <w:pStyle w:val="BulletListLevel1"/>
        <w:numPr>
          <w:ilvl w:val="0"/>
          <w:numId w:val="0"/>
        </w:numPr>
      </w:pPr>
      <w:r>
        <w:t>During 2014/15</w:t>
      </w:r>
      <w:r w:rsidR="00FF03CF">
        <w:t xml:space="preserve"> </w:t>
      </w:r>
      <w:r>
        <w:t xml:space="preserve">a </w:t>
      </w:r>
      <w:r w:rsidR="00FF03CF">
        <w:t>Standard Order t</w:t>
      </w:r>
      <w:r w:rsidR="00074FF4">
        <w:t xml:space="preserve">emplate </w:t>
      </w:r>
      <w:r>
        <w:t>was</w:t>
      </w:r>
      <w:r w:rsidR="00E668C7">
        <w:t xml:space="preserve"> trialled</w:t>
      </w:r>
      <w:r w:rsidR="00074FF4">
        <w:t xml:space="preserve"> to encourage parties to confer with each other before attending the directions hearing</w:t>
      </w:r>
      <w:r w:rsidR="00FF03CF">
        <w:t xml:space="preserve">. By encouraging this early exchange, parties can acknowledge the matters they agree on, allowing the arbitrator to focus on </w:t>
      </w:r>
      <w:r w:rsidR="003C3B32">
        <w:t>resolv</w:t>
      </w:r>
      <w:r w:rsidR="00FF03CF">
        <w:t>ing disputes about procedural matters and progress the application to arbitration in a timely and fair manner.</w:t>
      </w:r>
    </w:p>
    <w:p w14:paraId="327F1DA0" w14:textId="7CF49CA8" w:rsidR="00FF03CF" w:rsidRDefault="00FF03CF" w:rsidP="00074FF4">
      <w:r>
        <w:t>Preliminary results indicate the</w:t>
      </w:r>
      <w:r w:rsidR="003D21ED">
        <w:t xml:space="preserve">re </w:t>
      </w:r>
      <w:r w:rsidR="00C57EAF">
        <w:t>was</w:t>
      </w:r>
      <w:r w:rsidR="00E668C7">
        <w:t xml:space="preserve"> minimal</w:t>
      </w:r>
      <w:r>
        <w:t xml:space="preserve"> </w:t>
      </w:r>
      <w:r w:rsidR="00E668C7">
        <w:t xml:space="preserve">uptake of the </w:t>
      </w:r>
      <w:r>
        <w:t>Standard</w:t>
      </w:r>
      <w:r w:rsidR="00E668C7">
        <w:t xml:space="preserve"> Order template suggesting further strategies may be needed to encourage greater conferral between parties in relation to procedural and substantive matters.</w:t>
      </w:r>
    </w:p>
    <w:p w14:paraId="51A04450" w14:textId="77777777" w:rsidR="00E668C7" w:rsidRPr="00826B8F" w:rsidRDefault="00E668C7" w:rsidP="00074FF4">
      <w:r>
        <w:t>In 2015/16 the development of Arbitration Service Practice Directions will form an extension of this initiative.</w:t>
      </w:r>
    </w:p>
    <w:p w14:paraId="0C698BF4" w14:textId="77777777" w:rsidR="003D4E1F" w:rsidRPr="00180C0F" w:rsidRDefault="008344ED" w:rsidP="00180C0F">
      <w:pPr>
        <w:pStyle w:val="Heading2nonumber"/>
      </w:pPr>
      <w:bookmarkStart w:id="289" w:name="_Toc426617501"/>
      <w:bookmarkStart w:id="290" w:name="_Toc430091226"/>
      <w:r w:rsidRPr="00180C0F">
        <w:t>Advocacy training program</w:t>
      </w:r>
      <w:bookmarkEnd w:id="289"/>
      <w:bookmarkEnd w:id="290"/>
    </w:p>
    <w:p w14:paraId="482ACFC7" w14:textId="607DB275" w:rsidR="004E1BDE" w:rsidRDefault="008344ED" w:rsidP="00826B8F">
      <w:r>
        <w:t xml:space="preserve">Arbitration is a formal proceeding at which evidence is heard and a legally qualified arbitrator makes a final determination. Parties to arbitration are entitled to be legally represented at the hearing. The Workers’ Compensation Arbitration Service has identified practitioners </w:t>
      </w:r>
      <w:r w:rsidR="004E1BDE">
        <w:t>appearing</w:t>
      </w:r>
      <w:r>
        <w:t xml:space="preserve"> at arbitration hearings </w:t>
      </w:r>
      <w:r w:rsidR="004E1BDE">
        <w:t>can</w:t>
      </w:r>
      <w:r>
        <w:t xml:space="preserve"> </w:t>
      </w:r>
      <w:r w:rsidR="001F6F23">
        <w:t xml:space="preserve">at times employ </w:t>
      </w:r>
      <w:r>
        <w:t>advocacy skills which lead to unnecess</w:t>
      </w:r>
      <w:r w:rsidR="004E1BDE">
        <w:t xml:space="preserve">ary delays </w:t>
      </w:r>
      <w:r w:rsidR="00DB0877">
        <w:t xml:space="preserve">and </w:t>
      </w:r>
      <w:r w:rsidR="004E1BDE">
        <w:t xml:space="preserve">or </w:t>
      </w:r>
      <w:r w:rsidR="00DB0877">
        <w:t>undesirable</w:t>
      </w:r>
      <w:r w:rsidR="004E1BDE">
        <w:t xml:space="preserve"> outcomes.</w:t>
      </w:r>
    </w:p>
    <w:p w14:paraId="2D71F1B7" w14:textId="1D2A3DED" w:rsidR="00C345F4" w:rsidRDefault="004E1BDE" w:rsidP="00826B8F">
      <w:r>
        <w:t xml:space="preserve">In 2014/15 </w:t>
      </w:r>
      <w:r w:rsidR="00C726B0">
        <w:t>WorkCover WA</w:t>
      </w:r>
      <w:r w:rsidR="008344ED">
        <w:t xml:space="preserve"> </w:t>
      </w:r>
      <w:r w:rsidR="00BC7C8C">
        <w:t>developed</w:t>
      </w:r>
      <w:r>
        <w:t xml:space="preserve"> a concept paper </w:t>
      </w:r>
      <w:r w:rsidR="00BC7C8C">
        <w:t>regarding</w:t>
      </w:r>
      <w:r>
        <w:t xml:space="preserve"> the delivery of </w:t>
      </w:r>
      <w:r w:rsidR="00187ADF">
        <w:t xml:space="preserve">targeted </w:t>
      </w:r>
      <w:r>
        <w:t xml:space="preserve">advocacy training </w:t>
      </w:r>
      <w:r w:rsidR="009B422A">
        <w:t>for practitioners</w:t>
      </w:r>
      <w:r w:rsidR="008344ED">
        <w:t>.</w:t>
      </w:r>
      <w:r>
        <w:t xml:space="preserve"> The paper </w:t>
      </w:r>
      <w:r w:rsidR="00BC7C8C">
        <w:t>discusses</w:t>
      </w:r>
      <w:r>
        <w:t xml:space="preserve"> the context in which the training is required, define</w:t>
      </w:r>
      <w:r w:rsidR="00BC7C8C">
        <w:t>s</w:t>
      </w:r>
      <w:r>
        <w:t xml:space="preserve"> program co</w:t>
      </w:r>
      <w:r w:rsidR="00BC7C8C">
        <w:t>ntent and delivery, and identifies</w:t>
      </w:r>
      <w:r>
        <w:t xml:space="preserve"> potential accreditation by the Legal Practice Board of WA.</w:t>
      </w:r>
      <w:r w:rsidR="00B06DFD">
        <w:t xml:space="preserve"> </w:t>
      </w:r>
    </w:p>
    <w:p w14:paraId="530ABCC4" w14:textId="0840B66C" w:rsidR="00C345F4" w:rsidRDefault="00C345F4">
      <w:pPr>
        <w:keepLines w:val="0"/>
        <w:spacing w:after="0" w:line="240" w:lineRule="auto"/>
      </w:pPr>
      <w:r>
        <w:br w:type="page"/>
      </w:r>
    </w:p>
    <w:p w14:paraId="0752CCF4" w14:textId="75F8E41B" w:rsidR="00FB4AE5" w:rsidRDefault="001E785F" w:rsidP="00180C0F">
      <w:pPr>
        <w:pStyle w:val="Heading1nonumber"/>
      </w:pPr>
      <w:bookmarkStart w:id="291" w:name="_Toc399316977"/>
      <w:bookmarkStart w:id="292" w:name="_Toc426617502"/>
      <w:bookmarkStart w:id="293" w:name="_Toc430091227"/>
      <w:r>
        <w:lastRenderedPageBreak/>
        <w:t>Education and information</w:t>
      </w:r>
      <w:bookmarkEnd w:id="291"/>
      <w:bookmarkEnd w:id="292"/>
      <w:bookmarkEnd w:id="293"/>
    </w:p>
    <w:tbl>
      <w:tblPr>
        <w:tblW w:w="9162" w:type="dxa"/>
        <w:tblInd w:w="-10" w:type="dxa"/>
        <w:tblBorders>
          <w:top w:val="single" w:sz="8" w:space="0" w:color="897719" w:themeColor="accent3"/>
          <w:left w:val="single" w:sz="8" w:space="0" w:color="897719" w:themeColor="accent3"/>
          <w:bottom w:val="single" w:sz="8" w:space="0" w:color="897719" w:themeColor="accent3"/>
          <w:right w:val="single" w:sz="8" w:space="0" w:color="897719" w:themeColor="accent3"/>
          <w:insideH w:val="single" w:sz="8" w:space="0" w:color="897719" w:themeColor="accent3"/>
          <w:insideV w:val="single" w:sz="8" w:space="0" w:color="897719" w:themeColor="accent3"/>
        </w:tblBorders>
        <w:tblLayout w:type="fixed"/>
        <w:tblCellMar>
          <w:left w:w="0" w:type="dxa"/>
          <w:right w:w="0" w:type="dxa"/>
        </w:tblCellMar>
        <w:tblLook w:val="0000" w:firstRow="0" w:lastRow="0" w:firstColumn="0" w:lastColumn="0" w:noHBand="0" w:noVBand="0"/>
      </w:tblPr>
      <w:tblGrid>
        <w:gridCol w:w="2552"/>
        <w:gridCol w:w="2693"/>
        <w:gridCol w:w="3917"/>
      </w:tblGrid>
      <w:tr w:rsidR="00794A0D" w:rsidRPr="00630BE0" w14:paraId="7DD15046" w14:textId="77777777" w:rsidTr="00C345F4">
        <w:trPr>
          <w:trHeight w:val="60"/>
        </w:trPr>
        <w:tc>
          <w:tcPr>
            <w:tcW w:w="2552" w:type="dxa"/>
            <w:vMerge w:val="restart"/>
            <w:tcBorders>
              <w:right w:val="single" w:sz="8" w:space="0" w:color="F5EDC1" w:themeColor="accent4"/>
            </w:tcBorders>
            <w:shd w:val="clear" w:color="auto" w:fill="86731E" w:themeFill="text1"/>
            <w:tcMar>
              <w:top w:w="113" w:type="dxa"/>
              <w:left w:w="80" w:type="dxa"/>
              <w:bottom w:w="113" w:type="dxa"/>
              <w:right w:w="80" w:type="dxa"/>
            </w:tcMar>
          </w:tcPr>
          <w:p w14:paraId="0E8D6D75" w14:textId="77777777" w:rsidR="00794A0D" w:rsidRPr="00630BE0" w:rsidRDefault="00794A0D" w:rsidP="00794A0D">
            <w:pPr>
              <w:rPr>
                <w:rStyle w:val="Strong"/>
              </w:rPr>
            </w:pPr>
            <w:r w:rsidRPr="00630BE0">
              <w:rPr>
                <w:rStyle w:val="Strong"/>
              </w:rPr>
              <w:t>This scheme service contributes to, and is aligned with:</w:t>
            </w:r>
          </w:p>
        </w:tc>
        <w:tc>
          <w:tcPr>
            <w:tcW w:w="2693" w:type="dxa"/>
            <w:tcBorders>
              <w:left w:val="single" w:sz="8" w:space="0" w:color="F5EDC1" w:themeColor="accent4"/>
            </w:tcBorders>
            <w:shd w:val="clear" w:color="auto" w:fill="86731E" w:themeFill="text1"/>
            <w:tcMar>
              <w:top w:w="113" w:type="dxa"/>
              <w:left w:w="80" w:type="dxa"/>
              <w:bottom w:w="113" w:type="dxa"/>
              <w:right w:w="80" w:type="dxa"/>
            </w:tcMar>
          </w:tcPr>
          <w:p w14:paraId="62ACD98C" w14:textId="77777777" w:rsidR="00794A0D" w:rsidRPr="00630BE0" w:rsidRDefault="00794A0D" w:rsidP="00794A0D">
            <w:pPr>
              <w:rPr>
                <w:rStyle w:val="Strong"/>
              </w:rPr>
            </w:pPr>
            <w:r w:rsidRPr="00630BE0">
              <w:rPr>
                <w:rStyle w:val="Strong"/>
              </w:rPr>
              <w:t>Government Goal(s)</w:t>
            </w:r>
          </w:p>
        </w:tc>
        <w:tc>
          <w:tcPr>
            <w:tcW w:w="3917" w:type="dxa"/>
            <w:shd w:val="clear" w:color="auto" w:fill="86731E" w:themeFill="text1"/>
            <w:tcMar>
              <w:top w:w="113" w:type="dxa"/>
              <w:left w:w="80" w:type="dxa"/>
              <w:bottom w:w="113" w:type="dxa"/>
              <w:right w:w="80" w:type="dxa"/>
            </w:tcMar>
          </w:tcPr>
          <w:p w14:paraId="1C22CAF8" w14:textId="27A48B33" w:rsidR="00794A0D" w:rsidRPr="00630BE0" w:rsidRDefault="00C726B0" w:rsidP="00794A0D">
            <w:pPr>
              <w:rPr>
                <w:rStyle w:val="Strong"/>
              </w:rPr>
            </w:pPr>
            <w:r>
              <w:rPr>
                <w:rStyle w:val="Strong"/>
              </w:rPr>
              <w:t>WorkCover WA</w:t>
            </w:r>
            <w:r w:rsidR="00CC657B" w:rsidRPr="00A73CE5">
              <w:rPr>
                <w:rStyle w:val="Strong"/>
              </w:rPr>
              <w:t xml:space="preserve"> Strategic Goal</w:t>
            </w:r>
          </w:p>
        </w:tc>
      </w:tr>
      <w:tr w:rsidR="00794A0D" w:rsidRPr="005D768A" w14:paraId="5E5F9F82" w14:textId="77777777" w:rsidTr="00C345F4">
        <w:trPr>
          <w:trHeight w:val="825"/>
        </w:trPr>
        <w:tc>
          <w:tcPr>
            <w:tcW w:w="2552" w:type="dxa"/>
            <w:vMerge/>
            <w:tcBorders>
              <w:right w:val="single" w:sz="8" w:space="0" w:color="F5EDC1" w:themeColor="accent4"/>
            </w:tcBorders>
          </w:tcPr>
          <w:p w14:paraId="620198DF" w14:textId="77777777" w:rsidR="00794A0D" w:rsidRPr="005D768A" w:rsidRDefault="00794A0D" w:rsidP="00794A0D">
            <w:pPr>
              <w:rPr>
                <w:lang w:eastAsia="en-AU"/>
              </w:rPr>
            </w:pPr>
          </w:p>
        </w:tc>
        <w:tc>
          <w:tcPr>
            <w:tcW w:w="2693" w:type="dxa"/>
            <w:tcBorders>
              <w:left w:val="single" w:sz="8" w:space="0" w:color="F5EDC1" w:themeColor="accent4"/>
            </w:tcBorders>
            <w:tcMar>
              <w:top w:w="113" w:type="dxa"/>
              <w:left w:w="80" w:type="dxa"/>
              <w:bottom w:w="113" w:type="dxa"/>
              <w:right w:w="80" w:type="dxa"/>
            </w:tcMar>
          </w:tcPr>
          <w:p w14:paraId="72527E32" w14:textId="6853DC90" w:rsidR="00F4051D" w:rsidRPr="00F4051D" w:rsidRDefault="00794A0D" w:rsidP="00BA7F7A">
            <w:pPr>
              <w:rPr>
                <w:rStyle w:val="Strong"/>
              </w:rPr>
            </w:pPr>
            <w:r w:rsidRPr="00F4051D">
              <w:rPr>
                <w:rStyle w:val="Strong"/>
              </w:rPr>
              <w:t xml:space="preserve">3 </w:t>
            </w:r>
            <w:r w:rsidR="00F4051D" w:rsidRPr="00F4051D">
              <w:rPr>
                <w:rStyle w:val="Strong"/>
              </w:rPr>
              <w:t>– Results-Based Service</w:t>
            </w:r>
            <w:r w:rsidR="00285694">
              <w:rPr>
                <w:rStyle w:val="Strong"/>
              </w:rPr>
              <w:t xml:space="preserve"> Delivery</w:t>
            </w:r>
          </w:p>
          <w:p w14:paraId="61C0468A" w14:textId="4FB63B1A" w:rsidR="00794A0D" w:rsidRPr="00F4051D" w:rsidRDefault="00F4051D" w:rsidP="00BA7F7A">
            <w:pPr>
              <w:rPr>
                <w:rStyle w:val="Strong"/>
              </w:rPr>
            </w:pPr>
            <w:r w:rsidRPr="00F4051D">
              <w:rPr>
                <w:rStyle w:val="Strong"/>
              </w:rPr>
              <w:t>(</w:t>
            </w:r>
            <w:r w:rsidR="006866BE">
              <w:rPr>
                <w:rStyle w:val="Strong"/>
              </w:rPr>
              <w:t xml:space="preserve">&amp; </w:t>
            </w:r>
            <w:r w:rsidR="00794A0D" w:rsidRPr="00F4051D">
              <w:rPr>
                <w:rStyle w:val="Strong"/>
              </w:rPr>
              <w:t>4</w:t>
            </w:r>
            <w:r w:rsidRPr="00F4051D">
              <w:rPr>
                <w:rStyle w:val="Strong"/>
              </w:rPr>
              <w:t xml:space="preserve"> – Stronger focus on the regions</w:t>
            </w:r>
            <w:r w:rsidR="00794A0D" w:rsidRPr="00F4051D">
              <w:rPr>
                <w:rStyle w:val="Strong"/>
              </w:rPr>
              <w:t>)</w:t>
            </w:r>
          </w:p>
        </w:tc>
        <w:tc>
          <w:tcPr>
            <w:tcW w:w="3917" w:type="dxa"/>
            <w:tcMar>
              <w:top w:w="113" w:type="dxa"/>
              <w:left w:w="80" w:type="dxa"/>
              <w:bottom w:w="113" w:type="dxa"/>
              <w:right w:w="80" w:type="dxa"/>
            </w:tcMar>
          </w:tcPr>
          <w:p w14:paraId="285EF812" w14:textId="77777777" w:rsidR="00794A0D" w:rsidRPr="00F4051D" w:rsidRDefault="00794A0D" w:rsidP="00BA7F7A">
            <w:pPr>
              <w:rPr>
                <w:rStyle w:val="Strong"/>
              </w:rPr>
            </w:pPr>
            <w:r w:rsidRPr="00F4051D">
              <w:rPr>
                <w:rStyle w:val="Strong"/>
              </w:rPr>
              <w:t>2</w:t>
            </w:r>
            <w:r w:rsidR="00F4051D" w:rsidRPr="00F4051D">
              <w:rPr>
                <w:rStyle w:val="Strong"/>
              </w:rPr>
              <w:t xml:space="preserve"> – Stakeholder confidence and engagement </w:t>
            </w:r>
          </w:p>
        </w:tc>
      </w:tr>
    </w:tbl>
    <w:p w14:paraId="15771752" w14:textId="77777777" w:rsidR="006051FA" w:rsidRDefault="006051FA" w:rsidP="008F6008"/>
    <w:p w14:paraId="14C65725" w14:textId="348555C1" w:rsidR="00CC657B" w:rsidRPr="00CC657B" w:rsidRDefault="00CC657B" w:rsidP="00CC657B">
      <w:r w:rsidRPr="00CC657B">
        <w:t xml:space="preserve">The Agency offers education, advice and assistance to </w:t>
      </w:r>
      <w:r w:rsidR="001B0366">
        <w:t xml:space="preserve">workers, employers and all </w:t>
      </w:r>
      <w:r w:rsidRPr="00CC657B">
        <w:t xml:space="preserve">scheme participants </w:t>
      </w:r>
      <w:r w:rsidR="001B0366">
        <w:t>via</w:t>
      </w:r>
      <w:r w:rsidR="004D0569">
        <w:t xml:space="preserve"> a</w:t>
      </w:r>
      <w:r w:rsidRPr="00CC657B">
        <w:t xml:space="preserve"> number of methods and resources. The provision of education and information is a vital </w:t>
      </w:r>
      <w:r w:rsidR="00C726B0">
        <w:t>WorkCover WA</w:t>
      </w:r>
      <w:r w:rsidRPr="00CC657B">
        <w:t xml:space="preserve"> service aimed at establishing and increasing stakeholders’ knowledge of rights and responsibilities in regards to workers’ compensation and injury management.</w:t>
      </w:r>
    </w:p>
    <w:p w14:paraId="1809DC51" w14:textId="77777777" w:rsidR="006051FA" w:rsidRDefault="006051FA" w:rsidP="00180C0F">
      <w:pPr>
        <w:pStyle w:val="Heading2nonumber"/>
      </w:pPr>
      <w:bookmarkStart w:id="294" w:name="_Toc399316978"/>
      <w:bookmarkStart w:id="295" w:name="_Toc426617503"/>
      <w:bookmarkStart w:id="296" w:name="_Toc430091228"/>
      <w:r>
        <w:t>Publications</w:t>
      </w:r>
      <w:bookmarkEnd w:id="294"/>
      <w:bookmarkEnd w:id="295"/>
      <w:bookmarkEnd w:id="296"/>
    </w:p>
    <w:p w14:paraId="719561E2" w14:textId="39C89803" w:rsidR="00F76EB1" w:rsidRPr="00963F21" w:rsidRDefault="00C726B0" w:rsidP="00676255">
      <w:r>
        <w:t>WorkCover WA</w:t>
      </w:r>
      <w:r w:rsidR="00676255" w:rsidRPr="005C35DF">
        <w:t xml:space="preserve"> has a variety of publications </w:t>
      </w:r>
      <w:r w:rsidR="00C47A28">
        <w:t>providing</w:t>
      </w:r>
      <w:r w:rsidR="00676255" w:rsidRPr="005C35DF">
        <w:t xml:space="preserve"> workers, employers, insurance brokers and other scheme participants with relevant and comprehensive </w:t>
      </w:r>
      <w:r w:rsidR="00676255" w:rsidRPr="00963F21">
        <w:t>sources of informa</w:t>
      </w:r>
      <w:r w:rsidR="00F76EB1" w:rsidRPr="00963F21">
        <w:t>tion.</w:t>
      </w:r>
    </w:p>
    <w:p w14:paraId="0AD91BAF" w14:textId="5147FFD8" w:rsidR="00F76EB1" w:rsidRDefault="005C35DF" w:rsidP="00676255">
      <w:r w:rsidRPr="00963F21">
        <w:t>In 2014/15</w:t>
      </w:r>
      <w:r w:rsidR="00676255" w:rsidRPr="00963F21">
        <w:t xml:space="preserve">, these publications continued to be promoted and utilised across the State by stakeholders and the general public. </w:t>
      </w:r>
      <w:r w:rsidR="00676255" w:rsidRPr="00963F21">
        <w:rPr>
          <w:i/>
          <w:iCs/>
        </w:rPr>
        <w:t>Workers’ Compensation and Injury Management: A Guide for Workers</w:t>
      </w:r>
      <w:r w:rsidR="00676255" w:rsidRPr="00963F21">
        <w:t xml:space="preserve"> was again the most requested publication by mail, </w:t>
      </w:r>
      <w:r w:rsidR="00A737E2">
        <w:t>comprising</w:t>
      </w:r>
      <w:r w:rsidR="00676255" w:rsidRPr="00963F21">
        <w:t xml:space="preserve"> 60 per cent of all publications ordered. In contrast,</w:t>
      </w:r>
      <w:r w:rsidR="00676255" w:rsidRPr="00963F21">
        <w:rPr>
          <w:i/>
          <w:iCs/>
        </w:rPr>
        <w:t xml:space="preserve"> Injury Management: A Guide for Employers </w:t>
      </w:r>
      <w:r w:rsidR="00676255" w:rsidRPr="00963F21">
        <w:t xml:space="preserve">was the most downloaded publication, recording </w:t>
      </w:r>
      <w:r w:rsidR="00963F21" w:rsidRPr="00963F21">
        <w:t>33</w:t>
      </w:r>
      <w:r w:rsidR="00676255" w:rsidRPr="00963F21">
        <w:t xml:space="preserve"> per cent of all downloads. This indicates the different</w:t>
      </w:r>
      <w:r w:rsidR="00676255" w:rsidRPr="00E0542B">
        <w:t xml:space="preserve"> distribution </w:t>
      </w:r>
      <w:r w:rsidR="00A737E2">
        <w:t>requirements</w:t>
      </w:r>
      <w:r w:rsidR="00676255" w:rsidRPr="00E0542B">
        <w:t xml:space="preserve"> for workers and employers.</w:t>
      </w:r>
    </w:p>
    <w:p w14:paraId="4607B05C" w14:textId="77777777" w:rsidR="004C07C2" w:rsidRDefault="00C956C5" w:rsidP="00664937">
      <w:pPr>
        <w:pStyle w:val="Heading4"/>
      </w:pPr>
      <w:r>
        <w:t>Making</w:t>
      </w:r>
      <w:r w:rsidR="004C07C2">
        <w:t xml:space="preserve"> scheme performance</w:t>
      </w:r>
      <w:r>
        <w:t xml:space="preserve"> accessible</w:t>
      </w:r>
    </w:p>
    <w:p w14:paraId="3005A492" w14:textId="4803944C" w:rsidR="004C07C2" w:rsidRDefault="00F76EB1" w:rsidP="00676255">
      <w:r>
        <w:t xml:space="preserve">New in 2014/15, the publication </w:t>
      </w:r>
      <w:r>
        <w:rPr>
          <w:i/>
        </w:rPr>
        <w:t xml:space="preserve">Workers’ Compensation Scheme Trends </w:t>
      </w:r>
      <w:r w:rsidR="0056752F">
        <w:rPr>
          <w:i/>
        </w:rPr>
        <w:t xml:space="preserve">(May 2015) </w:t>
      </w:r>
      <w:r>
        <w:t xml:space="preserve">provides a summary of recent trends within the Western Australian workers’ compensation and injury management scheme. </w:t>
      </w:r>
      <w:r w:rsidR="0056752F">
        <w:t>The</w:t>
      </w:r>
      <w:r w:rsidR="00D40C36">
        <w:t xml:space="preserve"> new publication</w:t>
      </w:r>
      <w:r>
        <w:t xml:space="preserve"> coincided with a </w:t>
      </w:r>
      <w:r w:rsidR="00D40C36">
        <w:t xml:space="preserve">broader </w:t>
      </w:r>
      <w:r>
        <w:t xml:space="preserve">review of </w:t>
      </w:r>
      <w:r w:rsidR="00C726B0">
        <w:t>WorkCover WA</w:t>
      </w:r>
      <w:r>
        <w:t>’s scheme performance publications.</w:t>
      </w:r>
    </w:p>
    <w:p w14:paraId="57743039" w14:textId="55BA76B1" w:rsidR="00E22526" w:rsidRPr="00C345F4" w:rsidRDefault="004C07C2" w:rsidP="00D40C36">
      <w:r>
        <w:t xml:space="preserve">A full list of scheme reports is available in </w:t>
      </w:r>
      <w:r w:rsidRPr="006866BE">
        <w:rPr>
          <w:i/>
        </w:rPr>
        <w:t>Section 2: Scheme Performance</w:t>
      </w:r>
      <w:r>
        <w:t xml:space="preserve"> on </w:t>
      </w:r>
      <w:r w:rsidR="00407975" w:rsidRPr="00297437">
        <w:t>page 5</w:t>
      </w:r>
      <w:r w:rsidR="00297437" w:rsidRPr="00297437">
        <w:t>9</w:t>
      </w:r>
      <w:r w:rsidR="00C345F4" w:rsidRPr="00297437">
        <w:t xml:space="preserve">. </w:t>
      </w:r>
      <w:r w:rsidR="00D40C36" w:rsidRPr="00297437">
        <w:t>A full statistical breakdown</w:t>
      </w:r>
      <w:r w:rsidRPr="00297437">
        <w:t xml:space="preserve"> for the distribution of </w:t>
      </w:r>
      <w:r w:rsidR="00D40C36" w:rsidRPr="00297437">
        <w:t>publications in 2014/15 is outlined on the following page.</w:t>
      </w:r>
    </w:p>
    <w:p w14:paraId="7F19FCE9" w14:textId="6003F152" w:rsidR="00E22526" w:rsidRPr="00883051" w:rsidRDefault="00E22526">
      <w:pPr>
        <w:keepLines w:val="0"/>
        <w:spacing w:after="0" w:line="240" w:lineRule="auto"/>
        <w:rPr>
          <w:shd w:val="clear" w:color="auto" w:fill="F2F2F2" w:themeFill="background1" w:themeFillShade="F2"/>
        </w:rPr>
      </w:pPr>
    </w:p>
    <w:tbl>
      <w:tblPr>
        <w:tblStyle w:val="TableGrid1"/>
        <w:tblW w:w="0" w:type="auto"/>
        <w:tblInd w:w="108"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27 Publication Distribution"/>
        <w:tblDescription w:val="Table 26 details the number of publications mailed and number downloaded during the financial year"/>
      </w:tblPr>
      <w:tblGrid>
        <w:gridCol w:w="2908"/>
        <w:gridCol w:w="2989"/>
        <w:gridCol w:w="3011"/>
      </w:tblGrid>
      <w:tr w:rsidR="0057682F" w:rsidRPr="00B05450" w14:paraId="597ADD6B" w14:textId="77777777" w:rsidTr="00410969">
        <w:trPr>
          <w:tblHeader/>
        </w:trPr>
        <w:tc>
          <w:tcPr>
            <w:tcW w:w="8908" w:type="dxa"/>
            <w:gridSpan w:val="3"/>
            <w:shd w:val="clear" w:color="auto" w:fill="2D4541" w:themeFill="accent2"/>
          </w:tcPr>
          <w:p w14:paraId="6023D3A2" w14:textId="39C291FD" w:rsidR="0057682F" w:rsidRPr="00544634" w:rsidRDefault="0057682F" w:rsidP="009E75E3">
            <w:pPr>
              <w:rPr>
                <w:rStyle w:val="Strong"/>
              </w:rPr>
            </w:pPr>
            <w:r w:rsidRPr="00544634">
              <w:rPr>
                <w:rStyle w:val="Strong"/>
                <w:color w:val="FFFFFF" w:themeColor="background1"/>
              </w:rPr>
              <w:t>Table 2</w:t>
            </w:r>
            <w:r w:rsidR="009E75E3">
              <w:rPr>
                <w:rStyle w:val="Strong"/>
                <w:color w:val="FFFFFF" w:themeColor="background1"/>
              </w:rPr>
              <w:t>7</w:t>
            </w:r>
            <w:r w:rsidRPr="00544634">
              <w:rPr>
                <w:rStyle w:val="Strong"/>
                <w:color w:val="FFFFFF" w:themeColor="background1"/>
              </w:rPr>
              <w:t xml:space="preserve">: </w:t>
            </w:r>
            <w:r w:rsidR="00E22526">
              <w:rPr>
                <w:rStyle w:val="Strong"/>
                <w:color w:val="FFFFFF" w:themeColor="background1"/>
              </w:rPr>
              <w:t>Publication Distribution</w:t>
            </w:r>
          </w:p>
        </w:tc>
      </w:tr>
      <w:tr w:rsidR="0057682F" w:rsidRPr="00B05450" w14:paraId="7CBD8635" w14:textId="77777777" w:rsidTr="00410969">
        <w:tc>
          <w:tcPr>
            <w:tcW w:w="2908" w:type="dxa"/>
            <w:shd w:val="clear" w:color="auto" w:fill="D4E2E0" w:themeFill="accent5"/>
            <w:vAlign w:val="center"/>
          </w:tcPr>
          <w:p w14:paraId="598D3D78" w14:textId="77777777" w:rsidR="0057682F" w:rsidRPr="00544634" w:rsidRDefault="0057682F" w:rsidP="00544634">
            <w:pPr>
              <w:rPr>
                <w:rStyle w:val="Strong"/>
              </w:rPr>
            </w:pPr>
            <w:r w:rsidRPr="00544634">
              <w:rPr>
                <w:rStyle w:val="Strong"/>
              </w:rPr>
              <w:t>Publication</w:t>
            </w:r>
          </w:p>
        </w:tc>
        <w:tc>
          <w:tcPr>
            <w:tcW w:w="2989" w:type="dxa"/>
            <w:shd w:val="clear" w:color="auto" w:fill="D4E2E0" w:themeFill="accent5"/>
            <w:vAlign w:val="center"/>
          </w:tcPr>
          <w:p w14:paraId="1A7BF824" w14:textId="77777777" w:rsidR="0057682F" w:rsidRPr="00544634" w:rsidRDefault="0057682F" w:rsidP="00544634">
            <w:pPr>
              <w:rPr>
                <w:rStyle w:val="Strong"/>
              </w:rPr>
            </w:pPr>
            <w:r w:rsidRPr="00544634">
              <w:rPr>
                <w:rStyle w:val="Strong"/>
              </w:rPr>
              <w:t>Number Mailed</w:t>
            </w:r>
          </w:p>
        </w:tc>
        <w:tc>
          <w:tcPr>
            <w:tcW w:w="3011" w:type="dxa"/>
            <w:shd w:val="clear" w:color="auto" w:fill="D4E2E0" w:themeFill="accent5"/>
            <w:vAlign w:val="center"/>
          </w:tcPr>
          <w:p w14:paraId="20EB44DD" w14:textId="77777777" w:rsidR="0057682F" w:rsidRPr="00544634" w:rsidRDefault="0057682F" w:rsidP="00544634">
            <w:pPr>
              <w:rPr>
                <w:rStyle w:val="Strong"/>
              </w:rPr>
            </w:pPr>
            <w:r w:rsidRPr="00544634">
              <w:rPr>
                <w:rStyle w:val="Strong"/>
              </w:rPr>
              <w:t>Number Downloaded</w:t>
            </w:r>
          </w:p>
        </w:tc>
      </w:tr>
      <w:tr w:rsidR="006D00B3" w:rsidRPr="00B05450" w14:paraId="4185041C" w14:textId="77777777" w:rsidTr="00410969">
        <w:tc>
          <w:tcPr>
            <w:tcW w:w="2908" w:type="dxa"/>
            <w:shd w:val="clear" w:color="auto" w:fill="D4E2E0" w:themeFill="accent5"/>
            <w:vAlign w:val="center"/>
          </w:tcPr>
          <w:p w14:paraId="0DD29ABD" w14:textId="77777777" w:rsidR="006D00B3" w:rsidRPr="001E0B07" w:rsidRDefault="006D00B3" w:rsidP="006D00B3">
            <w:pPr>
              <w:rPr>
                <w:rFonts w:cs="Arial"/>
                <w:lang w:val="en-GB" w:eastAsia="en-AU"/>
              </w:rPr>
            </w:pPr>
            <w:r w:rsidRPr="001E0B07">
              <w:rPr>
                <w:rFonts w:cs="Arial"/>
                <w:lang w:val="en-GB" w:eastAsia="en-AU"/>
              </w:rPr>
              <w:t>Workers' Compensation and Injury Management: A Guide for Workers</w:t>
            </w:r>
          </w:p>
        </w:tc>
        <w:tc>
          <w:tcPr>
            <w:tcW w:w="2989" w:type="dxa"/>
          </w:tcPr>
          <w:p w14:paraId="63870552" w14:textId="3F80797C" w:rsidR="006D00B3" w:rsidRPr="00E22526" w:rsidRDefault="006D00B3" w:rsidP="006D00B3">
            <w:pPr>
              <w:rPr>
                <w:rFonts w:cs="Arial"/>
              </w:rPr>
            </w:pPr>
            <w:r w:rsidRPr="00E22526">
              <w:rPr>
                <w:rFonts w:cs="Arial"/>
              </w:rPr>
              <w:t>7,998</w:t>
            </w:r>
          </w:p>
        </w:tc>
        <w:tc>
          <w:tcPr>
            <w:tcW w:w="3011" w:type="dxa"/>
          </w:tcPr>
          <w:p w14:paraId="4DE411A0" w14:textId="043108CE" w:rsidR="006D00B3" w:rsidRPr="001E0B07" w:rsidRDefault="009F55C4" w:rsidP="009F55C4">
            <w:pPr>
              <w:rPr>
                <w:rFonts w:cs="Arial"/>
              </w:rPr>
            </w:pPr>
            <w:r w:rsidRPr="001E0B07">
              <w:rPr>
                <w:rFonts w:cs="Arial"/>
              </w:rPr>
              <w:t>2</w:t>
            </w:r>
            <w:r w:rsidR="009E0910" w:rsidRPr="001E0B07">
              <w:rPr>
                <w:rFonts w:cs="Arial"/>
              </w:rPr>
              <w:t>,</w:t>
            </w:r>
            <w:r w:rsidRPr="001E0B07">
              <w:rPr>
                <w:rFonts w:cs="Arial"/>
              </w:rPr>
              <w:t>601</w:t>
            </w:r>
          </w:p>
        </w:tc>
      </w:tr>
      <w:tr w:rsidR="006D00B3" w:rsidRPr="00B05450" w14:paraId="7A10CED8" w14:textId="77777777" w:rsidTr="00410969">
        <w:tc>
          <w:tcPr>
            <w:tcW w:w="2908" w:type="dxa"/>
            <w:shd w:val="clear" w:color="auto" w:fill="D4E2E0" w:themeFill="accent5"/>
            <w:vAlign w:val="center"/>
          </w:tcPr>
          <w:p w14:paraId="26FB8FF9" w14:textId="3CF712B6" w:rsidR="006D00B3" w:rsidRPr="001E0B07" w:rsidRDefault="006D00B3" w:rsidP="007A6B69">
            <w:pPr>
              <w:rPr>
                <w:rFonts w:cs="Arial"/>
              </w:rPr>
            </w:pPr>
            <w:r w:rsidRPr="001E0B07">
              <w:rPr>
                <w:rFonts w:cs="Arial"/>
                <w:bCs/>
                <w:szCs w:val="22"/>
              </w:rPr>
              <w:t>Workers' Compensation: A Guide for Employers</w:t>
            </w:r>
          </w:p>
        </w:tc>
        <w:tc>
          <w:tcPr>
            <w:tcW w:w="2989" w:type="dxa"/>
          </w:tcPr>
          <w:p w14:paraId="1BCF0938" w14:textId="1E0C9F13" w:rsidR="006D00B3" w:rsidRPr="001E0B07" w:rsidRDefault="006D00B3" w:rsidP="006D00B3">
            <w:pPr>
              <w:rPr>
                <w:rFonts w:cs="Arial"/>
              </w:rPr>
            </w:pPr>
            <w:r w:rsidRPr="001E0B07">
              <w:rPr>
                <w:rFonts w:cs="Arial"/>
              </w:rPr>
              <w:t>1,869</w:t>
            </w:r>
          </w:p>
        </w:tc>
        <w:tc>
          <w:tcPr>
            <w:tcW w:w="3011" w:type="dxa"/>
          </w:tcPr>
          <w:p w14:paraId="70A160F0" w14:textId="682B7B36" w:rsidR="006D00B3" w:rsidRPr="001E0B07" w:rsidRDefault="009F55C4" w:rsidP="006D00B3">
            <w:pPr>
              <w:rPr>
                <w:rFonts w:cs="Arial"/>
              </w:rPr>
            </w:pPr>
            <w:r w:rsidRPr="001E0B07">
              <w:rPr>
                <w:rFonts w:cs="Arial"/>
              </w:rPr>
              <w:t>1</w:t>
            </w:r>
            <w:r w:rsidR="009E0910" w:rsidRPr="001E0B07">
              <w:rPr>
                <w:rFonts w:cs="Arial"/>
              </w:rPr>
              <w:t>,</w:t>
            </w:r>
            <w:r w:rsidRPr="001E0B07">
              <w:rPr>
                <w:rFonts w:cs="Arial"/>
              </w:rPr>
              <w:t>728</w:t>
            </w:r>
          </w:p>
        </w:tc>
      </w:tr>
      <w:tr w:rsidR="006D00B3" w:rsidRPr="00B05450" w14:paraId="0B33153E" w14:textId="77777777" w:rsidTr="00410969">
        <w:tc>
          <w:tcPr>
            <w:tcW w:w="2908" w:type="dxa"/>
            <w:shd w:val="clear" w:color="auto" w:fill="D4E2E0" w:themeFill="accent5"/>
            <w:vAlign w:val="center"/>
          </w:tcPr>
          <w:p w14:paraId="71DC37D1" w14:textId="77777777" w:rsidR="006D00B3" w:rsidRPr="001E0B07" w:rsidRDefault="006D00B3" w:rsidP="006D00B3">
            <w:pPr>
              <w:rPr>
                <w:rFonts w:cs="Arial"/>
              </w:rPr>
            </w:pPr>
            <w:r w:rsidRPr="001E0B07">
              <w:rPr>
                <w:rFonts w:cs="Arial"/>
                <w:bCs/>
                <w:szCs w:val="22"/>
              </w:rPr>
              <w:t>Injury Management: A Guide for Employers</w:t>
            </w:r>
          </w:p>
        </w:tc>
        <w:tc>
          <w:tcPr>
            <w:tcW w:w="2989" w:type="dxa"/>
          </w:tcPr>
          <w:p w14:paraId="285636CD" w14:textId="4CCEA021" w:rsidR="006D00B3" w:rsidRPr="001E0B07" w:rsidRDefault="006D00B3" w:rsidP="006D00B3">
            <w:pPr>
              <w:rPr>
                <w:rFonts w:cs="Arial"/>
              </w:rPr>
            </w:pPr>
            <w:r w:rsidRPr="001E0B07">
              <w:rPr>
                <w:rFonts w:cs="Arial"/>
              </w:rPr>
              <w:t>1,727</w:t>
            </w:r>
          </w:p>
        </w:tc>
        <w:tc>
          <w:tcPr>
            <w:tcW w:w="3011" w:type="dxa"/>
          </w:tcPr>
          <w:p w14:paraId="0E812347" w14:textId="6722B62D" w:rsidR="006D00B3" w:rsidRPr="001E0B07" w:rsidRDefault="009F55C4" w:rsidP="009F55C4">
            <w:pPr>
              <w:rPr>
                <w:rFonts w:cs="Arial"/>
              </w:rPr>
            </w:pPr>
            <w:r w:rsidRPr="001E0B07">
              <w:rPr>
                <w:rFonts w:cs="Arial"/>
              </w:rPr>
              <w:t>3</w:t>
            </w:r>
            <w:r w:rsidR="009E0910" w:rsidRPr="001E0B07">
              <w:rPr>
                <w:rFonts w:cs="Arial"/>
              </w:rPr>
              <w:t>,</w:t>
            </w:r>
            <w:r w:rsidRPr="001E0B07">
              <w:rPr>
                <w:rFonts w:cs="Arial"/>
              </w:rPr>
              <w:t>133</w:t>
            </w:r>
          </w:p>
        </w:tc>
      </w:tr>
      <w:tr w:rsidR="006D00B3" w:rsidRPr="00B05450" w14:paraId="1B4EF559" w14:textId="77777777" w:rsidTr="00410969">
        <w:tc>
          <w:tcPr>
            <w:tcW w:w="2908" w:type="dxa"/>
            <w:shd w:val="clear" w:color="auto" w:fill="D4E2E0" w:themeFill="accent5"/>
            <w:vAlign w:val="center"/>
          </w:tcPr>
          <w:p w14:paraId="41C292B6" w14:textId="77777777" w:rsidR="006D00B3" w:rsidRPr="001E0B07" w:rsidRDefault="006D00B3" w:rsidP="006D00B3">
            <w:pPr>
              <w:rPr>
                <w:rFonts w:cs="Arial"/>
                <w:lang w:val="en-GB" w:eastAsia="en-AU"/>
              </w:rPr>
            </w:pPr>
            <w:r w:rsidRPr="001E0B07">
              <w:rPr>
                <w:rFonts w:cs="Arial"/>
                <w:lang w:val="en-GB" w:eastAsia="en-AU"/>
              </w:rPr>
              <w:t>A technical note on contractors and workers' compensation</w:t>
            </w:r>
          </w:p>
        </w:tc>
        <w:tc>
          <w:tcPr>
            <w:tcW w:w="2989" w:type="dxa"/>
          </w:tcPr>
          <w:p w14:paraId="608329E1" w14:textId="4EE77846" w:rsidR="006D00B3" w:rsidRPr="001E0B07" w:rsidRDefault="006D00B3" w:rsidP="006D00B3">
            <w:pPr>
              <w:rPr>
                <w:rFonts w:cs="Arial"/>
              </w:rPr>
            </w:pPr>
            <w:r w:rsidRPr="001E0B07">
              <w:rPr>
                <w:rFonts w:cs="Arial"/>
              </w:rPr>
              <w:t xml:space="preserve">943 </w:t>
            </w:r>
          </w:p>
        </w:tc>
        <w:tc>
          <w:tcPr>
            <w:tcW w:w="3011" w:type="dxa"/>
          </w:tcPr>
          <w:p w14:paraId="22EA8DCF" w14:textId="39B3B8A9" w:rsidR="006D00B3" w:rsidRPr="001E0B07" w:rsidRDefault="009F55C4" w:rsidP="006D00B3">
            <w:pPr>
              <w:rPr>
                <w:rFonts w:cs="Arial"/>
              </w:rPr>
            </w:pPr>
            <w:r w:rsidRPr="001E0B07">
              <w:rPr>
                <w:rFonts w:cs="Arial"/>
              </w:rPr>
              <w:t>1</w:t>
            </w:r>
            <w:r w:rsidR="009E0910" w:rsidRPr="001E0B07">
              <w:rPr>
                <w:rFonts w:cs="Arial"/>
              </w:rPr>
              <w:t>,</w:t>
            </w:r>
            <w:r w:rsidRPr="001E0B07">
              <w:rPr>
                <w:rFonts w:cs="Arial"/>
              </w:rPr>
              <w:t>192</w:t>
            </w:r>
          </w:p>
        </w:tc>
      </w:tr>
      <w:tr w:rsidR="006D00B3" w:rsidRPr="00B05450" w14:paraId="37ED7105" w14:textId="77777777" w:rsidTr="00410969">
        <w:tc>
          <w:tcPr>
            <w:tcW w:w="2908" w:type="dxa"/>
            <w:shd w:val="clear" w:color="auto" w:fill="D4E2E0" w:themeFill="accent5"/>
            <w:vAlign w:val="center"/>
          </w:tcPr>
          <w:p w14:paraId="3F27252F" w14:textId="77777777" w:rsidR="006D00B3" w:rsidRPr="001E0B07" w:rsidRDefault="006D00B3" w:rsidP="006D00B3">
            <w:pPr>
              <w:rPr>
                <w:rFonts w:cs="Arial"/>
                <w:lang w:val="en-GB" w:eastAsia="en-AU"/>
              </w:rPr>
            </w:pPr>
            <w:r w:rsidRPr="001E0B07">
              <w:rPr>
                <w:rFonts w:cs="Arial"/>
                <w:lang w:val="en-GB" w:eastAsia="en-AU"/>
              </w:rPr>
              <w:t>A Guide to Noise Induced Hearing Loss</w:t>
            </w:r>
          </w:p>
        </w:tc>
        <w:tc>
          <w:tcPr>
            <w:tcW w:w="2989" w:type="dxa"/>
          </w:tcPr>
          <w:p w14:paraId="5BCA4B59" w14:textId="499A32AF" w:rsidR="006D00B3" w:rsidRPr="001E0B07" w:rsidRDefault="006D00B3" w:rsidP="006D00B3">
            <w:pPr>
              <w:rPr>
                <w:rFonts w:cs="Arial"/>
              </w:rPr>
            </w:pPr>
            <w:r w:rsidRPr="001E0B07">
              <w:rPr>
                <w:rFonts w:cs="Arial"/>
              </w:rPr>
              <w:t>292</w:t>
            </w:r>
          </w:p>
        </w:tc>
        <w:tc>
          <w:tcPr>
            <w:tcW w:w="3011" w:type="dxa"/>
          </w:tcPr>
          <w:p w14:paraId="7AB975E9" w14:textId="62ABC358" w:rsidR="006D00B3" w:rsidRPr="001E0B07" w:rsidRDefault="001E0B07" w:rsidP="006D00B3">
            <w:pPr>
              <w:rPr>
                <w:rFonts w:cs="Arial"/>
              </w:rPr>
            </w:pPr>
            <w:r w:rsidRPr="001E0B07">
              <w:rPr>
                <w:rFonts w:cs="Arial"/>
              </w:rPr>
              <w:t>299</w:t>
            </w:r>
          </w:p>
        </w:tc>
      </w:tr>
      <w:tr w:rsidR="006D00B3" w:rsidRPr="00B05450" w14:paraId="5887B664" w14:textId="77777777" w:rsidTr="00410969">
        <w:tc>
          <w:tcPr>
            <w:tcW w:w="2908" w:type="dxa"/>
            <w:shd w:val="clear" w:color="auto" w:fill="D4E2E0" w:themeFill="accent5"/>
            <w:vAlign w:val="center"/>
          </w:tcPr>
          <w:p w14:paraId="2B158C95" w14:textId="77777777" w:rsidR="006D00B3" w:rsidRPr="001E0B07" w:rsidRDefault="006D00B3" w:rsidP="006D00B3">
            <w:pPr>
              <w:rPr>
                <w:rFonts w:cs="Arial"/>
                <w:lang w:val="en-GB" w:eastAsia="en-AU"/>
              </w:rPr>
            </w:pPr>
            <w:r w:rsidRPr="001E0B07">
              <w:rPr>
                <w:rFonts w:cs="Arial"/>
                <w:lang w:val="en-GB" w:eastAsia="en-AU"/>
              </w:rPr>
              <w:t>What happens if there is a dispute?</w:t>
            </w:r>
          </w:p>
        </w:tc>
        <w:tc>
          <w:tcPr>
            <w:tcW w:w="2989" w:type="dxa"/>
          </w:tcPr>
          <w:p w14:paraId="74BEF9B5" w14:textId="36CDBE24" w:rsidR="006D00B3" w:rsidRPr="001E0B07" w:rsidRDefault="006D00B3" w:rsidP="006D00B3">
            <w:pPr>
              <w:rPr>
                <w:rFonts w:cs="Arial"/>
              </w:rPr>
            </w:pPr>
            <w:r w:rsidRPr="001E0B07">
              <w:rPr>
                <w:rFonts w:cs="Arial"/>
              </w:rPr>
              <w:t>213</w:t>
            </w:r>
          </w:p>
        </w:tc>
        <w:tc>
          <w:tcPr>
            <w:tcW w:w="3011" w:type="dxa"/>
          </w:tcPr>
          <w:p w14:paraId="5D7E7CD4" w14:textId="1ED1E952" w:rsidR="006D00B3" w:rsidRPr="001E0B07" w:rsidRDefault="001E0B07" w:rsidP="009F55C4">
            <w:pPr>
              <w:rPr>
                <w:rFonts w:cs="Arial"/>
              </w:rPr>
            </w:pPr>
            <w:r w:rsidRPr="001E0B07">
              <w:rPr>
                <w:rFonts w:cs="Arial"/>
              </w:rPr>
              <w:t>519</w:t>
            </w:r>
          </w:p>
        </w:tc>
      </w:tr>
      <w:tr w:rsidR="006D00B3" w:rsidRPr="00B05450" w14:paraId="4A767751" w14:textId="77777777" w:rsidTr="00410969">
        <w:trPr>
          <w:trHeight w:val="1018"/>
        </w:trPr>
        <w:tc>
          <w:tcPr>
            <w:tcW w:w="2908" w:type="dxa"/>
            <w:shd w:val="clear" w:color="auto" w:fill="D4E2E0" w:themeFill="accent5"/>
            <w:vAlign w:val="center"/>
          </w:tcPr>
          <w:p w14:paraId="696D1150" w14:textId="77777777" w:rsidR="006D00B3" w:rsidRPr="001E0B07" w:rsidRDefault="006D00B3" w:rsidP="006D00B3">
            <w:pPr>
              <w:rPr>
                <w:rFonts w:cs="Arial"/>
                <w:lang w:val="en-GB" w:eastAsia="en-AU"/>
              </w:rPr>
            </w:pPr>
            <w:r w:rsidRPr="001E0B07">
              <w:rPr>
                <w:rFonts w:cs="Arial"/>
                <w:lang w:val="en-GB" w:eastAsia="en-AU"/>
              </w:rPr>
              <w:t>Insurance Brokers' Code of Practice</w:t>
            </w:r>
          </w:p>
        </w:tc>
        <w:tc>
          <w:tcPr>
            <w:tcW w:w="2989" w:type="dxa"/>
          </w:tcPr>
          <w:p w14:paraId="183E14FD" w14:textId="56056F55" w:rsidR="006D00B3" w:rsidRPr="001E0B07" w:rsidRDefault="006D00B3" w:rsidP="006D00B3">
            <w:pPr>
              <w:rPr>
                <w:rFonts w:cs="Arial"/>
              </w:rPr>
            </w:pPr>
            <w:r w:rsidRPr="001E0B07">
              <w:rPr>
                <w:rFonts w:cs="Arial"/>
              </w:rPr>
              <w:t>268</w:t>
            </w:r>
          </w:p>
        </w:tc>
        <w:tc>
          <w:tcPr>
            <w:tcW w:w="3011" w:type="dxa"/>
          </w:tcPr>
          <w:p w14:paraId="20B7E91B" w14:textId="07D49DD5" w:rsidR="006D00B3" w:rsidRPr="001E0B07" w:rsidRDefault="001E0B07" w:rsidP="001E0B07">
            <w:pPr>
              <w:rPr>
                <w:rFonts w:cs="Arial"/>
              </w:rPr>
            </w:pPr>
            <w:r w:rsidRPr="001E0B07">
              <w:rPr>
                <w:rFonts w:cs="Arial"/>
              </w:rPr>
              <w:t>106</w:t>
            </w:r>
          </w:p>
        </w:tc>
      </w:tr>
      <w:tr w:rsidR="006D00B3" w:rsidRPr="00B05450" w14:paraId="268B3D06" w14:textId="77777777" w:rsidTr="00410969">
        <w:tc>
          <w:tcPr>
            <w:tcW w:w="2908" w:type="dxa"/>
            <w:shd w:val="clear" w:color="auto" w:fill="2D4541" w:themeFill="accent2"/>
            <w:vAlign w:val="center"/>
          </w:tcPr>
          <w:p w14:paraId="3DCC3558" w14:textId="77777777" w:rsidR="006D00B3" w:rsidRPr="00544634" w:rsidRDefault="006D00B3" w:rsidP="006D00B3">
            <w:pPr>
              <w:rPr>
                <w:rStyle w:val="Strong"/>
                <w:color w:val="FFFFFF" w:themeColor="background1"/>
              </w:rPr>
            </w:pPr>
            <w:r w:rsidRPr="00544634">
              <w:rPr>
                <w:rStyle w:val="Strong"/>
                <w:color w:val="FFFFFF" w:themeColor="background1"/>
              </w:rPr>
              <w:t>Total</w:t>
            </w:r>
          </w:p>
        </w:tc>
        <w:tc>
          <w:tcPr>
            <w:tcW w:w="2989" w:type="dxa"/>
            <w:shd w:val="clear" w:color="auto" w:fill="2D4541" w:themeFill="accent2"/>
          </w:tcPr>
          <w:p w14:paraId="5E273F6B" w14:textId="216461AF" w:rsidR="006D00B3" w:rsidRPr="001E0B07" w:rsidRDefault="006D00B3" w:rsidP="006D00B3">
            <w:pPr>
              <w:rPr>
                <w:rStyle w:val="Strong"/>
                <w:b w:val="0"/>
                <w:color w:val="FFFFFF" w:themeColor="background1"/>
              </w:rPr>
            </w:pPr>
            <w:r w:rsidRPr="001E0B07">
              <w:rPr>
                <w:b/>
                <w:color w:val="FFFFFF" w:themeColor="background1"/>
              </w:rPr>
              <w:t>13,310</w:t>
            </w:r>
          </w:p>
        </w:tc>
        <w:tc>
          <w:tcPr>
            <w:tcW w:w="3011" w:type="dxa"/>
            <w:shd w:val="clear" w:color="auto" w:fill="2D4541" w:themeFill="accent2"/>
          </w:tcPr>
          <w:p w14:paraId="22B8CC88" w14:textId="5B1B66D6" w:rsidR="006D00B3" w:rsidRPr="001E0B07" w:rsidRDefault="001E0B07" w:rsidP="006D00B3">
            <w:pPr>
              <w:rPr>
                <w:rStyle w:val="Strong"/>
                <w:b w:val="0"/>
                <w:color w:val="FFFFFF" w:themeColor="background1"/>
              </w:rPr>
            </w:pPr>
            <w:r w:rsidRPr="001E0B07">
              <w:rPr>
                <w:b/>
                <w:color w:val="FFFFFF" w:themeColor="background1"/>
              </w:rPr>
              <w:t>9,578</w:t>
            </w:r>
          </w:p>
        </w:tc>
      </w:tr>
    </w:tbl>
    <w:p w14:paraId="46B0CAD3" w14:textId="30046504" w:rsidR="00C345F4" w:rsidRDefault="00B05450" w:rsidP="00B05450">
      <w:pPr>
        <w:rPr>
          <w:color w:val="000000"/>
          <w:szCs w:val="22"/>
          <w:lang w:val="en-GB" w:eastAsia="en-AU"/>
        </w:rPr>
      </w:pPr>
      <w:r>
        <w:rPr>
          <w:color w:val="000000"/>
          <w:szCs w:val="22"/>
          <w:lang w:val="en-GB" w:eastAsia="en-AU"/>
        </w:rPr>
        <w:br/>
      </w:r>
      <w:r w:rsidR="00C726B0">
        <w:rPr>
          <w:color w:val="000000"/>
          <w:szCs w:val="22"/>
          <w:lang w:val="en-GB" w:eastAsia="en-AU"/>
        </w:rPr>
        <w:t>WorkCover WA</w:t>
      </w:r>
      <w:r w:rsidRPr="004C2621">
        <w:rPr>
          <w:color w:val="000000"/>
          <w:szCs w:val="22"/>
          <w:lang w:val="en-GB" w:eastAsia="en-AU"/>
        </w:rPr>
        <w:t xml:space="preserve"> publications can be downloaded from</w:t>
      </w:r>
      <w:r w:rsidR="00ED4A6C">
        <w:rPr>
          <w:color w:val="000000"/>
          <w:szCs w:val="22"/>
          <w:lang w:val="en-GB" w:eastAsia="en-AU"/>
        </w:rPr>
        <w:t xml:space="preserve"> the resources section on the </w:t>
      </w:r>
      <w:r w:rsidR="00C726B0">
        <w:rPr>
          <w:color w:val="000000"/>
          <w:szCs w:val="22"/>
          <w:lang w:val="en-GB" w:eastAsia="en-AU"/>
        </w:rPr>
        <w:t>WorkCover WA</w:t>
      </w:r>
      <w:r w:rsidR="00ED4A6C">
        <w:rPr>
          <w:color w:val="000000"/>
          <w:szCs w:val="22"/>
          <w:lang w:val="en-GB" w:eastAsia="en-AU"/>
        </w:rPr>
        <w:t xml:space="preserve"> website – </w:t>
      </w:r>
      <w:hyperlink r:id="rId26" w:tooltip="WorkCover WA Website" w:history="1">
        <w:r w:rsidR="00ED4A6C" w:rsidRPr="009D405D">
          <w:rPr>
            <w:rStyle w:val="Hyperlink"/>
            <w:szCs w:val="22"/>
            <w:lang w:val="en-GB" w:eastAsia="en-AU"/>
          </w:rPr>
          <w:t>www.workcover.wa.gov.au</w:t>
        </w:r>
      </w:hyperlink>
      <w:r w:rsidR="00ED4A6C">
        <w:rPr>
          <w:color w:val="000000"/>
          <w:szCs w:val="22"/>
          <w:lang w:val="en-GB" w:eastAsia="en-AU"/>
        </w:rPr>
        <w:t xml:space="preserve">. </w:t>
      </w:r>
    </w:p>
    <w:p w14:paraId="33A410BD" w14:textId="77777777" w:rsidR="00C345F4" w:rsidRDefault="00C345F4">
      <w:pPr>
        <w:keepLines w:val="0"/>
        <w:spacing w:after="0" w:line="240" w:lineRule="auto"/>
        <w:rPr>
          <w:color w:val="000000"/>
          <w:szCs w:val="22"/>
          <w:lang w:val="en-GB" w:eastAsia="en-AU"/>
        </w:rPr>
      </w:pPr>
      <w:r>
        <w:rPr>
          <w:color w:val="000000"/>
          <w:szCs w:val="22"/>
          <w:lang w:val="en-GB" w:eastAsia="en-AU"/>
        </w:rPr>
        <w:br w:type="page"/>
      </w:r>
    </w:p>
    <w:p w14:paraId="0761CA9C" w14:textId="77777777" w:rsidR="009C7041" w:rsidRDefault="006051FA" w:rsidP="00180C0F">
      <w:pPr>
        <w:pStyle w:val="Heading2nonumber"/>
      </w:pPr>
      <w:bookmarkStart w:id="297" w:name="_Toc399316979"/>
      <w:bookmarkStart w:id="298" w:name="_Toc426617504"/>
      <w:bookmarkStart w:id="299" w:name="_Toc430091229"/>
      <w:r w:rsidRPr="00544634">
        <w:lastRenderedPageBreak/>
        <w:t>Website</w:t>
      </w:r>
      <w:bookmarkEnd w:id="297"/>
      <w:bookmarkEnd w:id="298"/>
      <w:bookmarkEnd w:id="299"/>
    </w:p>
    <w:p w14:paraId="4DA680DD" w14:textId="77777777" w:rsidR="007A1470" w:rsidRPr="002C041D" w:rsidRDefault="007A1470" w:rsidP="00180C0F">
      <w:pPr>
        <w:pStyle w:val="Heading3nonumber"/>
      </w:pPr>
      <w:bookmarkStart w:id="300" w:name="_Toc426617505"/>
      <w:bookmarkStart w:id="301" w:name="_Toc430091230"/>
      <w:r w:rsidRPr="002C041D">
        <w:t xml:space="preserve">Replacement of </w:t>
      </w:r>
      <w:r>
        <w:t>e</w:t>
      </w:r>
      <w:r w:rsidRPr="002C041D">
        <w:t xml:space="preserve">xternal </w:t>
      </w:r>
      <w:r>
        <w:t>w</w:t>
      </w:r>
      <w:r w:rsidRPr="002C041D">
        <w:t>ebsite</w:t>
      </w:r>
      <w:bookmarkEnd w:id="300"/>
      <w:bookmarkEnd w:id="301"/>
    </w:p>
    <w:p w14:paraId="617E928B" w14:textId="77777777" w:rsidR="00F42BEB" w:rsidRDefault="00946A1F" w:rsidP="005C35DF">
      <w:r>
        <w:t xml:space="preserve">On 8 October 2014 </w:t>
      </w:r>
      <w:r w:rsidR="00C57EAF">
        <w:t>a</w:t>
      </w:r>
      <w:r>
        <w:t xml:space="preserve"> </w:t>
      </w:r>
      <w:r w:rsidR="000C28E2">
        <w:t xml:space="preserve">new </w:t>
      </w:r>
      <w:r w:rsidR="00C726B0">
        <w:t>WorkCover WA</w:t>
      </w:r>
      <w:r w:rsidR="00A823C2">
        <w:t xml:space="preserve"> website was launched</w:t>
      </w:r>
      <w:r w:rsidR="00F42BEB">
        <w:t>.</w:t>
      </w:r>
    </w:p>
    <w:p w14:paraId="4581A9D4" w14:textId="4FC8B9E8" w:rsidR="00946A1F" w:rsidRDefault="00DB0877" w:rsidP="005C35DF">
      <w:r>
        <w:t>The</w:t>
      </w:r>
      <w:r w:rsidR="00F42BEB">
        <w:t xml:space="preserve"> new</w:t>
      </w:r>
      <w:r>
        <w:t xml:space="preserve"> website:</w:t>
      </w:r>
    </w:p>
    <w:p w14:paraId="2D1F5B99" w14:textId="14989F95" w:rsidR="00946A1F" w:rsidRDefault="00DB0877" w:rsidP="00946A1F">
      <w:pPr>
        <w:pStyle w:val="BulletListLevel1"/>
      </w:pPr>
      <w:r>
        <w:t xml:space="preserve">is </w:t>
      </w:r>
      <w:r w:rsidR="00946A1F">
        <w:t xml:space="preserve">built using technology </w:t>
      </w:r>
      <w:r>
        <w:t xml:space="preserve">that will receive vendor support </w:t>
      </w:r>
      <w:r w:rsidR="000C28E2">
        <w:t xml:space="preserve">for at least </w:t>
      </w:r>
      <w:r w:rsidR="00946A1F">
        <w:t>the next technology cycle (3–5 years)</w:t>
      </w:r>
    </w:p>
    <w:p w14:paraId="08285CFF" w14:textId="3C7FE0A9" w:rsidR="00946A1F" w:rsidRDefault="00DB0877" w:rsidP="00946A1F">
      <w:pPr>
        <w:pStyle w:val="BulletListLevel1"/>
      </w:pPr>
      <w:r>
        <w:t xml:space="preserve">is </w:t>
      </w:r>
      <w:r w:rsidR="00946A1F">
        <w:t>compliant with public sector accessibility requirements</w:t>
      </w:r>
    </w:p>
    <w:p w14:paraId="308C57FC" w14:textId="10DA8A2A" w:rsidR="00946A1F" w:rsidRDefault="00DB0877" w:rsidP="00946A1F">
      <w:pPr>
        <w:pStyle w:val="BulletListLevel1"/>
      </w:pPr>
      <w:r>
        <w:t xml:space="preserve">is </w:t>
      </w:r>
      <w:r w:rsidR="00946A1F">
        <w:t>compatible with common browsers and devices, including mobiles</w:t>
      </w:r>
    </w:p>
    <w:p w14:paraId="32F58FD9" w14:textId="2B5410B1" w:rsidR="00946A1F" w:rsidRDefault="00946A1F" w:rsidP="00946A1F">
      <w:pPr>
        <w:pStyle w:val="BulletListLevel1"/>
      </w:pPr>
      <w:r>
        <w:t xml:space="preserve">incorporates modern functionality important for </w:t>
      </w:r>
      <w:r w:rsidR="00866EFB">
        <w:t xml:space="preserve">improved </w:t>
      </w:r>
      <w:r>
        <w:t>user experience, including a user</w:t>
      </w:r>
      <w:r w:rsidR="00866EFB">
        <w:t xml:space="preserve">-friendly stakeholder </w:t>
      </w:r>
      <w:r w:rsidR="00C57EAF">
        <w:t xml:space="preserve">based </w:t>
      </w:r>
      <w:r w:rsidR="00866EFB">
        <w:t>structure;</w:t>
      </w:r>
      <w:r>
        <w:t xml:space="preserve"> improved navigation an</w:t>
      </w:r>
      <w:r w:rsidR="000C28E2">
        <w:t xml:space="preserve">d </w:t>
      </w:r>
      <w:r w:rsidR="00866EFB">
        <w:t>search functionality</w:t>
      </w:r>
    </w:p>
    <w:p w14:paraId="66FF3BA1" w14:textId="0CE42DB3" w:rsidR="00866EFB" w:rsidRDefault="00866EFB" w:rsidP="00946A1F">
      <w:pPr>
        <w:pStyle w:val="BulletListLevel1"/>
      </w:pPr>
      <w:r>
        <w:t>incorporates other features to:</w:t>
      </w:r>
    </w:p>
    <w:p w14:paraId="12971580" w14:textId="28B9F143" w:rsidR="00866EFB" w:rsidRDefault="004A2E60" w:rsidP="00866EFB">
      <w:pPr>
        <w:pStyle w:val="BulletListLevel3"/>
      </w:pPr>
      <w:r>
        <w:t>improve notification</w:t>
      </w:r>
      <w:r w:rsidR="00866EFB">
        <w:t xml:space="preserve"> of changes to the workers’ compensation and injury management scheme</w:t>
      </w:r>
    </w:p>
    <w:p w14:paraId="776B911F" w14:textId="24A845C4" w:rsidR="00866EFB" w:rsidRDefault="00866EFB" w:rsidP="00866EFB">
      <w:pPr>
        <w:pStyle w:val="BulletListLevel3"/>
      </w:pPr>
      <w:r>
        <w:t>remind stakeholders of key obligations</w:t>
      </w:r>
    </w:p>
    <w:p w14:paraId="253BB1A9" w14:textId="74AB5CF3" w:rsidR="00866EFB" w:rsidRDefault="00866EFB" w:rsidP="00866EFB">
      <w:pPr>
        <w:pStyle w:val="BulletListLevel3"/>
      </w:pPr>
      <w:r>
        <w:t>promote important initiatives.</w:t>
      </w:r>
    </w:p>
    <w:p w14:paraId="67364E3E" w14:textId="52ECC3B8" w:rsidR="004A2E60" w:rsidRDefault="00866EFB" w:rsidP="00866EFB">
      <w:pPr>
        <w:pStyle w:val="BulletListLevel1"/>
        <w:numPr>
          <w:ilvl w:val="0"/>
          <w:numId w:val="0"/>
        </w:numPr>
      </w:pPr>
      <w:r>
        <w:t xml:space="preserve">Feedback from internal and external stakeholders has been positive, with users able to search and locate pertinent information </w:t>
      </w:r>
      <w:r w:rsidR="004A2E60">
        <w:t>quickly.</w:t>
      </w:r>
      <w:r w:rsidR="00913E02" w:rsidRPr="00913E02">
        <w:t xml:space="preserve"> Statistical</w:t>
      </w:r>
      <w:r w:rsidR="000C28E2">
        <w:t xml:space="preserve"> information shows a reduction in calls to the Advice and Assistance line and a large increase in downloaded documents in 2014/15; suggesting a greater reliance by stakeholders on website material. </w:t>
      </w:r>
      <w:r w:rsidR="00913E02" w:rsidRPr="00913E02">
        <w:t xml:space="preserve"> </w:t>
      </w:r>
    </w:p>
    <w:p w14:paraId="6DB9E2D3" w14:textId="2A0D61D4" w:rsidR="00866EFB" w:rsidRPr="00946A1F" w:rsidRDefault="00C726B0" w:rsidP="00866EFB">
      <w:pPr>
        <w:pStyle w:val="BulletListLevel1"/>
        <w:numPr>
          <w:ilvl w:val="0"/>
          <w:numId w:val="0"/>
        </w:numPr>
      </w:pPr>
      <w:r>
        <w:t>WorkCover WA</w:t>
      </w:r>
      <w:r w:rsidR="00866EFB">
        <w:t xml:space="preserve"> will continue to monitor feedback and </w:t>
      </w:r>
      <w:r w:rsidR="00DB0877">
        <w:t>implement</w:t>
      </w:r>
      <w:r w:rsidR="00866EFB">
        <w:t xml:space="preserve"> minor enhancements to the website in 2015/16.</w:t>
      </w:r>
    </w:p>
    <w:p w14:paraId="1C78AD16" w14:textId="77777777" w:rsidR="006051FA" w:rsidRDefault="003E6819" w:rsidP="00180C0F">
      <w:pPr>
        <w:pStyle w:val="Heading3nonumber"/>
      </w:pPr>
      <w:bookmarkStart w:id="302" w:name="_Toc426617506"/>
      <w:bookmarkStart w:id="303" w:name="_Toc430091231"/>
      <w:r w:rsidRPr="00544634">
        <w:t>Downloads</w:t>
      </w:r>
      <w:bookmarkEnd w:id="302"/>
      <w:bookmarkEnd w:id="303"/>
    </w:p>
    <w:p w14:paraId="34BA6C56" w14:textId="4EBEA2F9" w:rsidR="00407975" w:rsidRDefault="005E7091" w:rsidP="00B05450">
      <w:r w:rsidRPr="00CD6995">
        <w:t xml:space="preserve">There </w:t>
      </w:r>
      <w:r w:rsidR="00412AD6">
        <w:t>were</w:t>
      </w:r>
      <w:r w:rsidR="00A823C2">
        <w:t xml:space="preserve"> a</w:t>
      </w:r>
      <w:r w:rsidRPr="00CD6995">
        <w:t xml:space="preserve"> </w:t>
      </w:r>
      <w:r w:rsidRPr="000D4218">
        <w:t xml:space="preserve">total of </w:t>
      </w:r>
      <w:r w:rsidR="000D4218" w:rsidRPr="000D4218">
        <w:t>113,</w:t>
      </w:r>
      <w:r w:rsidR="00C96CE7" w:rsidRPr="000D4218">
        <w:t>921</w:t>
      </w:r>
      <w:r w:rsidRPr="000D4218">
        <w:t xml:space="preserve"> unique</w:t>
      </w:r>
      <w:r w:rsidRPr="00CD6995">
        <w:t xml:space="preserve"> downloads of publications, forms, reports </w:t>
      </w:r>
      <w:r w:rsidRPr="0095511E">
        <w:t>and other information in 201</w:t>
      </w:r>
      <w:r w:rsidR="00CD6995" w:rsidRPr="0095511E">
        <w:t>4</w:t>
      </w:r>
      <w:r w:rsidRPr="0095511E">
        <w:t>/1</w:t>
      </w:r>
      <w:r w:rsidR="00CD6995" w:rsidRPr="0095511E">
        <w:t>5</w:t>
      </w:r>
      <w:r w:rsidR="00F42BEB">
        <w:t xml:space="preserve">. This is a </w:t>
      </w:r>
      <w:r w:rsidR="003E5DAF">
        <w:t>72</w:t>
      </w:r>
      <w:r w:rsidR="00C96CE7">
        <w:t xml:space="preserve"> per cent increase from 2013/14</w:t>
      </w:r>
      <w:r w:rsidR="00F42BEB">
        <w:t xml:space="preserve"> and can be largely attributed to the </w:t>
      </w:r>
      <w:r w:rsidR="008368D3">
        <w:t>usability and search functionality of</w:t>
      </w:r>
      <w:r w:rsidR="00F42BEB">
        <w:t xml:space="preserve"> the new website</w:t>
      </w:r>
      <w:r w:rsidR="00C96CE7">
        <w:t>.</w:t>
      </w:r>
    </w:p>
    <w:p w14:paraId="278962C0" w14:textId="6272A236" w:rsidR="00B05450" w:rsidRPr="00CD6995" w:rsidRDefault="00B05450" w:rsidP="00B05450">
      <w:r w:rsidRPr="00CD6995">
        <w:t>Other than publications, key download highlights include:</w:t>
      </w:r>
    </w:p>
    <w:tbl>
      <w:tblPr>
        <w:tblW w:w="0" w:type="auto"/>
        <w:tblInd w:w="80" w:type="dxa"/>
        <w:tblBorders>
          <w:top w:val="single" w:sz="2" w:space="0" w:color="BAD0CD" w:themeColor="accent5" w:themeShade="E6"/>
          <w:left w:val="single" w:sz="2" w:space="0" w:color="BAD0CD" w:themeColor="accent5" w:themeShade="E6"/>
          <w:bottom w:val="single" w:sz="2" w:space="0" w:color="BAD0CD" w:themeColor="accent5" w:themeShade="E6"/>
          <w:right w:val="single" w:sz="2" w:space="0" w:color="BAD0CD" w:themeColor="accent5" w:themeShade="E6"/>
          <w:insideH w:val="single" w:sz="2" w:space="0" w:color="BAD0CD" w:themeColor="accent5" w:themeShade="E6"/>
          <w:insideV w:val="single" w:sz="2" w:space="0" w:color="BAD0CD" w:themeColor="accent5" w:themeShade="E6"/>
        </w:tblBorders>
        <w:tblLayout w:type="fixed"/>
        <w:tblCellMar>
          <w:left w:w="0" w:type="dxa"/>
          <w:right w:w="0" w:type="dxa"/>
        </w:tblCellMar>
        <w:tblLook w:val="0000" w:firstRow="0" w:lastRow="0" w:firstColumn="0" w:lastColumn="0" w:noHBand="0" w:noVBand="0"/>
      </w:tblPr>
      <w:tblGrid>
        <w:gridCol w:w="4312"/>
        <w:gridCol w:w="1417"/>
      </w:tblGrid>
      <w:tr w:rsidR="00B05450" w:rsidRPr="00B05450" w14:paraId="57482A85" w14:textId="77777777" w:rsidTr="00670224">
        <w:trPr>
          <w:trHeight w:val="60"/>
        </w:trPr>
        <w:tc>
          <w:tcPr>
            <w:tcW w:w="4312" w:type="dxa"/>
            <w:shd w:val="clear" w:color="auto" w:fill="D4E2E0" w:themeFill="accent5"/>
            <w:tcMar>
              <w:top w:w="80" w:type="dxa"/>
              <w:left w:w="80" w:type="dxa"/>
              <w:bottom w:w="80" w:type="dxa"/>
              <w:right w:w="80" w:type="dxa"/>
            </w:tcMar>
          </w:tcPr>
          <w:p w14:paraId="5C9E2F3F" w14:textId="77777777" w:rsidR="00B05450" w:rsidRPr="00B05450" w:rsidRDefault="00B05450" w:rsidP="00C97E65">
            <w:r w:rsidRPr="00B05450">
              <w:lastRenderedPageBreak/>
              <w:t>Workers’ Compensation Claim Forms</w:t>
            </w:r>
          </w:p>
        </w:tc>
        <w:tc>
          <w:tcPr>
            <w:tcW w:w="1417" w:type="dxa"/>
            <w:tcMar>
              <w:top w:w="80" w:type="dxa"/>
              <w:left w:w="80" w:type="dxa"/>
              <w:bottom w:w="80" w:type="dxa"/>
              <w:right w:w="80" w:type="dxa"/>
            </w:tcMar>
          </w:tcPr>
          <w:p w14:paraId="3B877960" w14:textId="08041057" w:rsidR="00B05450" w:rsidRPr="009A532C" w:rsidRDefault="009A532C" w:rsidP="009A532C">
            <w:r w:rsidRPr="009A532C">
              <w:t>5</w:t>
            </w:r>
            <w:r w:rsidR="00A32760">
              <w:t>,</w:t>
            </w:r>
            <w:r w:rsidRPr="009A532C">
              <w:t>289</w:t>
            </w:r>
          </w:p>
        </w:tc>
      </w:tr>
      <w:tr w:rsidR="00B623CF" w:rsidRPr="00B05450" w14:paraId="42A418B5" w14:textId="77777777" w:rsidTr="00670224">
        <w:trPr>
          <w:trHeight w:val="60"/>
        </w:trPr>
        <w:tc>
          <w:tcPr>
            <w:tcW w:w="4312" w:type="dxa"/>
            <w:shd w:val="clear" w:color="auto" w:fill="D4E2E0" w:themeFill="accent5"/>
            <w:tcMar>
              <w:top w:w="80" w:type="dxa"/>
              <w:left w:w="80" w:type="dxa"/>
              <w:bottom w:w="80" w:type="dxa"/>
              <w:right w:w="80" w:type="dxa"/>
            </w:tcMar>
          </w:tcPr>
          <w:p w14:paraId="06941792" w14:textId="77777777" w:rsidR="00B623CF" w:rsidRPr="00B05450" w:rsidRDefault="00B623CF" w:rsidP="00C97E65">
            <w:r w:rsidRPr="00B05450">
              <w:t>Form 100 – Application for Conciliation</w:t>
            </w:r>
          </w:p>
        </w:tc>
        <w:tc>
          <w:tcPr>
            <w:tcW w:w="1417" w:type="dxa"/>
            <w:tcMar>
              <w:top w:w="80" w:type="dxa"/>
              <w:left w:w="80" w:type="dxa"/>
              <w:bottom w:w="80" w:type="dxa"/>
              <w:right w:w="80" w:type="dxa"/>
            </w:tcMar>
          </w:tcPr>
          <w:p w14:paraId="7A58FB0D" w14:textId="1EF39480" w:rsidR="00B623CF" w:rsidRPr="009A532C" w:rsidRDefault="009A532C" w:rsidP="009A532C">
            <w:r w:rsidRPr="009A532C">
              <w:t>2</w:t>
            </w:r>
            <w:r w:rsidR="00A32760">
              <w:t>,</w:t>
            </w:r>
            <w:r w:rsidRPr="009A532C">
              <w:t>009</w:t>
            </w:r>
          </w:p>
        </w:tc>
      </w:tr>
      <w:tr w:rsidR="00B623CF" w:rsidRPr="00B05450" w14:paraId="5A8F844A" w14:textId="77777777" w:rsidTr="00670224">
        <w:trPr>
          <w:trHeight w:val="589"/>
        </w:trPr>
        <w:tc>
          <w:tcPr>
            <w:tcW w:w="4312" w:type="dxa"/>
            <w:shd w:val="clear" w:color="auto" w:fill="D4E2E0" w:themeFill="accent5"/>
            <w:tcMar>
              <w:top w:w="80" w:type="dxa"/>
              <w:left w:w="80" w:type="dxa"/>
              <w:bottom w:w="80" w:type="dxa"/>
              <w:right w:w="80" w:type="dxa"/>
            </w:tcMar>
          </w:tcPr>
          <w:p w14:paraId="2C54C2AE" w14:textId="022F4F40" w:rsidR="00B623CF" w:rsidRPr="00B05450" w:rsidRDefault="00B623CF" w:rsidP="00C97E65">
            <w:r w:rsidRPr="00B05450">
              <w:t>Variations to the Prescribed Amount 201</w:t>
            </w:r>
            <w:r w:rsidR="00CD6995">
              <w:t>4</w:t>
            </w:r>
            <w:r w:rsidRPr="00B05450">
              <w:t>–1</w:t>
            </w:r>
            <w:r w:rsidR="00CD6995">
              <w:t>5</w:t>
            </w:r>
          </w:p>
        </w:tc>
        <w:tc>
          <w:tcPr>
            <w:tcW w:w="1417" w:type="dxa"/>
            <w:tcMar>
              <w:top w:w="80" w:type="dxa"/>
              <w:left w:w="80" w:type="dxa"/>
              <w:bottom w:w="80" w:type="dxa"/>
              <w:right w:w="80" w:type="dxa"/>
            </w:tcMar>
          </w:tcPr>
          <w:p w14:paraId="4ABD4867" w14:textId="0194C380" w:rsidR="00B623CF" w:rsidRPr="009A532C" w:rsidRDefault="009A532C" w:rsidP="009A532C">
            <w:r w:rsidRPr="009A532C">
              <w:t>5</w:t>
            </w:r>
            <w:r w:rsidR="00A32760">
              <w:t>,</w:t>
            </w:r>
            <w:r w:rsidRPr="009A532C">
              <w:t>231</w:t>
            </w:r>
          </w:p>
        </w:tc>
      </w:tr>
      <w:tr w:rsidR="00B623CF" w:rsidRPr="00B05450" w14:paraId="62939564" w14:textId="77777777" w:rsidTr="00670224">
        <w:trPr>
          <w:trHeight w:val="589"/>
        </w:trPr>
        <w:tc>
          <w:tcPr>
            <w:tcW w:w="4312" w:type="dxa"/>
            <w:shd w:val="clear" w:color="auto" w:fill="D4E2E0" w:themeFill="accent5"/>
            <w:tcMar>
              <w:top w:w="80" w:type="dxa"/>
              <w:left w:w="80" w:type="dxa"/>
              <w:bottom w:w="80" w:type="dxa"/>
              <w:right w:w="80" w:type="dxa"/>
            </w:tcMar>
          </w:tcPr>
          <w:p w14:paraId="4ED2E1CD" w14:textId="79B32375" w:rsidR="00B623CF" w:rsidRPr="00B05450" w:rsidRDefault="00B623CF" w:rsidP="00C97E65">
            <w:r w:rsidRPr="00B05450">
              <w:t xml:space="preserve">Recommended Premium Rates </w:t>
            </w:r>
            <w:r>
              <w:br/>
            </w:r>
            <w:r w:rsidRPr="00B05450">
              <w:t>201</w:t>
            </w:r>
            <w:r w:rsidR="00CD6995">
              <w:t>4</w:t>
            </w:r>
            <w:r w:rsidRPr="00B05450">
              <w:t>–1</w:t>
            </w:r>
            <w:r w:rsidR="00CD6995">
              <w:t>5</w:t>
            </w:r>
          </w:p>
        </w:tc>
        <w:tc>
          <w:tcPr>
            <w:tcW w:w="1417" w:type="dxa"/>
            <w:tcMar>
              <w:top w:w="80" w:type="dxa"/>
              <w:left w:w="80" w:type="dxa"/>
              <w:bottom w:w="80" w:type="dxa"/>
              <w:right w:w="80" w:type="dxa"/>
            </w:tcMar>
          </w:tcPr>
          <w:p w14:paraId="0B2D43ED" w14:textId="431CC68A" w:rsidR="00B623CF" w:rsidRPr="009A532C" w:rsidRDefault="009A532C" w:rsidP="009A532C">
            <w:r w:rsidRPr="009A532C">
              <w:t>3</w:t>
            </w:r>
            <w:r w:rsidR="00A32760">
              <w:t>,</w:t>
            </w:r>
            <w:r w:rsidRPr="009A532C">
              <w:t>576</w:t>
            </w:r>
          </w:p>
        </w:tc>
      </w:tr>
    </w:tbl>
    <w:p w14:paraId="3835684A" w14:textId="77777777" w:rsidR="00B05450" w:rsidRDefault="00B05450" w:rsidP="00B05450"/>
    <w:p w14:paraId="73EEAF94" w14:textId="56544353" w:rsidR="00B05450" w:rsidRPr="00B05450" w:rsidRDefault="00B05450" w:rsidP="00180C0F">
      <w:pPr>
        <w:pStyle w:val="Heading3nonumber"/>
      </w:pPr>
      <w:bookmarkStart w:id="304" w:name="_Toc426617507"/>
      <w:bookmarkStart w:id="305" w:name="_Toc430091232"/>
      <w:r w:rsidRPr="00B05450">
        <w:t>Site visits</w:t>
      </w:r>
      <w:r w:rsidR="0095511E">
        <w:t xml:space="preserve"> –</w:t>
      </w:r>
      <w:r w:rsidR="00805408">
        <w:t xml:space="preserve"> p</w:t>
      </w:r>
      <w:r w:rsidR="0095511E">
        <w:t>revious Website 1 July 2014 to 7 October 2014</w:t>
      </w:r>
      <w:bookmarkEnd w:id="304"/>
      <w:bookmarkEnd w:id="305"/>
    </w:p>
    <w:tbl>
      <w:tblPr>
        <w:tblStyle w:val="TableGrid2"/>
        <w:tblW w:w="0" w:type="auto"/>
        <w:tblInd w:w="108" w:type="dxa"/>
        <w:tblBorders>
          <w:top w:val="single" w:sz="2" w:space="0" w:color="BAD0CD" w:themeColor="accent5" w:themeShade="E6"/>
          <w:left w:val="single" w:sz="2" w:space="0" w:color="BAD0CD" w:themeColor="accent5" w:themeShade="E6"/>
          <w:bottom w:val="single" w:sz="2" w:space="0" w:color="BAD0CD" w:themeColor="accent5" w:themeShade="E6"/>
          <w:right w:val="single" w:sz="2" w:space="0" w:color="BAD0CD" w:themeColor="accent5" w:themeShade="E6"/>
          <w:insideH w:val="single" w:sz="2" w:space="0" w:color="BAD0CD" w:themeColor="accent5" w:themeShade="E6"/>
          <w:insideV w:val="single" w:sz="2" w:space="0" w:color="BAD0CD" w:themeColor="accent5" w:themeShade="E6"/>
        </w:tblBorders>
        <w:tblLayout w:type="fixed"/>
        <w:tblLook w:val="04A0" w:firstRow="1" w:lastRow="0" w:firstColumn="1" w:lastColumn="0" w:noHBand="0" w:noVBand="1"/>
        <w:tblCaption w:val="Website visits for previous website"/>
      </w:tblPr>
      <w:tblGrid>
        <w:gridCol w:w="4284"/>
        <w:gridCol w:w="1417"/>
      </w:tblGrid>
      <w:tr w:rsidR="00B623CF" w:rsidRPr="00B05450" w14:paraId="74442679" w14:textId="77777777" w:rsidTr="00C97E65">
        <w:tc>
          <w:tcPr>
            <w:tcW w:w="4284" w:type="dxa"/>
            <w:shd w:val="clear" w:color="auto" w:fill="D4E2E0" w:themeFill="accent5"/>
          </w:tcPr>
          <w:p w14:paraId="26D2B2A9" w14:textId="77777777" w:rsidR="00B623CF" w:rsidRPr="00B05450" w:rsidRDefault="00B623CF" w:rsidP="00B623CF">
            <w:r w:rsidRPr="00B05450">
              <w:t>New Visitor</w:t>
            </w:r>
          </w:p>
        </w:tc>
        <w:tc>
          <w:tcPr>
            <w:tcW w:w="1417" w:type="dxa"/>
          </w:tcPr>
          <w:p w14:paraId="7C1CB477" w14:textId="4AB31CD0" w:rsidR="00B623CF" w:rsidRPr="00805408" w:rsidRDefault="00805408" w:rsidP="00B623CF">
            <w:r>
              <w:t>45.6</w:t>
            </w:r>
            <w:r w:rsidRPr="00805408">
              <w:t>%</w:t>
            </w:r>
          </w:p>
        </w:tc>
      </w:tr>
      <w:tr w:rsidR="00B623CF" w:rsidRPr="00B05450" w14:paraId="0D028333" w14:textId="77777777" w:rsidTr="00C97E65">
        <w:tc>
          <w:tcPr>
            <w:tcW w:w="4284" w:type="dxa"/>
            <w:shd w:val="clear" w:color="auto" w:fill="D4E2E0" w:themeFill="accent5"/>
          </w:tcPr>
          <w:p w14:paraId="7584E9DD" w14:textId="77777777" w:rsidR="00B623CF" w:rsidRPr="00B05450" w:rsidRDefault="00B623CF" w:rsidP="00B623CF">
            <w:r>
              <w:t>Returning Visitor</w:t>
            </w:r>
          </w:p>
        </w:tc>
        <w:tc>
          <w:tcPr>
            <w:tcW w:w="1417" w:type="dxa"/>
          </w:tcPr>
          <w:p w14:paraId="070CB182" w14:textId="6F7E534E" w:rsidR="00B623CF" w:rsidRPr="00805408" w:rsidRDefault="00805408" w:rsidP="00B623CF">
            <w:r w:rsidRPr="00805408">
              <w:t>54.4%</w:t>
            </w:r>
          </w:p>
        </w:tc>
      </w:tr>
      <w:tr w:rsidR="00B623CF" w:rsidRPr="00B05450" w14:paraId="37099A65" w14:textId="77777777" w:rsidTr="00C97E65">
        <w:tblPrEx>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PrEx>
        <w:tc>
          <w:tcPr>
            <w:tcW w:w="4284" w:type="dxa"/>
            <w:shd w:val="clear" w:color="auto" w:fill="F5EDC1" w:themeFill="accent4"/>
          </w:tcPr>
          <w:p w14:paraId="346FED22" w14:textId="77777777" w:rsidR="00B623CF" w:rsidRPr="00B05450" w:rsidRDefault="00B623CF" w:rsidP="00B623CF">
            <w:r>
              <w:t>Visits</w:t>
            </w:r>
          </w:p>
        </w:tc>
        <w:tc>
          <w:tcPr>
            <w:tcW w:w="1417" w:type="dxa"/>
          </w:tcPr>
          <w:p w14:paraId="44E8EE45" w14:textId="5C2704D0" w:rsidR="00B623CF" w:rsidRPr="00805408" w:rsidRDefault="00805408" w:rsidP="00B623CF">
            <w:r w:rsidRPr="00805408">
              <w:t>73,932</w:t>
            </w:r>
          </w:p>
        </w:tc>
      </w:tr>
      <w:tr w:rsidR="00B623CF" w:rsidRPr="00B05450" w14:paraId="3E326C45" w14:textId="77777777" w:rsidTr="00C97E65">
        <w:tblPrEx>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PrEx>
        <w:tc>
          <w:tcPr>
            <w:tcW w:w="4284" w:type="dxa"/>
            <w:shd w:val="clear" w:color="auto" w:fill="F5EDC1" w:themeFill="accent4"/>
          </w:tcPr>
          <w:p w14:paraId="0674D98E" w14:textId="77777777" w:rsidR="00B623CF" w:rsidRPr="00B05450" w:rsidRDefault="00B623CF" w:rsidP="00B623CF">
            <w:r w:rsidRPr="00B05450">
              <w:t>Unique Visits</w:t>
            </w:r>
          </w:p>
        </w:tc>
        <w:tc>
          <w:tcPr>
            <w:tcW w:w="1417" w:type="dxa"/>
          </w:tcPr>
          <w:p w14:paraId="4BCACD4A" w14:textId="01127309" w:rsidR="00B623CF" w:rsidRPr="00805408" w:rsidRDefault="00805408" w:rsidP="00B623CF">
            <w:r w:rsidRPr="00805408">
              <w:t>33,717</w:t>
            </w:r>
          </w:p>
        </w:tc>
      </w:tr>
    </w:tbl>
    <w:p w14:paraId="2F706B7C" w14:textId="77777777" w:rsidR="00B05450" w:rsidRPr="00B05450" w:rsidRDefault="00B05450" w:rsidP="00B05450">
      <w:pPr>
        <w:rPr>
          <w:b/>
          <w:sz w:val="22"/>
        </w:rPr>
      </w:pPr>
    </w:p>
    <w:p w14:paraId="06D8346A" w14:textId="79A7B2AC" w:rsidR="00B05450" w:rsidRPr="00B05450" w:rsidRDefault="00B05450" w:rsidP="00180C0F">
      <w:pPr>
        <w:pStyle w:val="Heading3nonumber"/>
      </w:pPr>
      <w:bookmarkStart w:id="306" w:name="_Toc426617508"/>
      <w:bookmarkStart w:id="307" w:name="_Toc430091233"/>
      <w:r w:rsidRPr="00B05450">
        <w:t>Traffic sources</w:t>
      </w:r>
      <w:r w:rsidR="00805408" w:rsidRPr="00805408">
        <w:t xml:space="preserve"> </w:t>
      </w:r>
      <w:r w:rsidR="00805408">
        <w:t>- p</w:t>
      </w:r>
      <w:r w:rsidR="00805408" w:rsidRPr="00805408">
        <w:t>revious Website 1 July 2014 to 7 October</w:t>
      </w:r>
      <w:r w:rsidR="00805408">
        <w:t xml:space="preserve"> 2014</w:t>
      </w:r>
      <w:bookmarkEnd w:id="306"/>
      <w:bookmarkEnd w:id="307"/>
    </w:p>
    <w:tbl>
      <w:tblPr>
        <w:tblStyle w:val="TableGrid2"/>
        <w:tblW w:w="0" w:type="auto"/>
        <w:tblInd w:w="108"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website traffic sources for previous website"/>
      </w:tblPr>
      <w:tblGrid>
        <w:gridCol w:w="4282"/>
        <w:gridCol w:w="1417"/>
      </w:tblGrid>
      <w:tr w:rsidR="00B623CF" w:rsidRPr="00B05450" w14:paraId="69FE9417" w14:textId="77777777" w:rsidTr="00C97E65">
        <w:tc>
          <w:tcPr>
            <w:tcW w:w="4282" w:type="dxa"/>
            <w:shd w:val="clear" w:color="auto" w:fill="D4E2E0" w:themeFill="accent5"/>
          </w:tcPr>
          <w:p w14:paraId="2F5F7B1C" w14:textId="78919962" w:rsidR="00B623CF" w:rsidRPr="00B05450" w:rsidRDefault="00B623CF" w:rsidP="00933D2F">
            <w:pPr>
              <w:tabs>
                <w:tab w:val="center" w:pos="2033"/>
              </w:tabs>
            </w:pPr>
            <w:r w:rsidRPr="00B05450">
              <w:t>Direct traffic</w:t>
            </w:r>
            <w:r w:rsidR="00933D2F">
              <w:tab/>
            </w:r>
          </w:p>
        </w:tc>
        <w:tc>
          <w:tcPr>
            <w:tcW w:w="1417" w:type="dxa"/>
          </w:tcPr>
          <w:p w14:paraId="7D02A847" w14:textId="56380452" w:rsidR="00B623CF" w:rsidRPr="00805408" w:rsidRDefault="00805408" w:rsidP="00805408">
            <w:r w:rsidRPr="00805408">
              <w:t>25.7%</w:t>
            </w:r>
            <w:r w:rsidR="00B623CF" w:rsidRPr="00805408">
              <w:t xml:space="preserve"> </w:t>
            </w:r>
          </w:p>
        </w:tc>
      </w:tr>
      <w:tr w:rsidR="00B623CF" w:rsidRPr="00B05450" w14:paraId="799ADEE5" w14:textId="77777777" w:rsidTr="00C97E65">
        <w:tc>
          <w:tcPr>
            <w:tcW w:w="4282" w:type="dxa"/>
            <w:shd w:val="clear" w:color="auto" w:fill="D4E2E0" w:themeFill="accent5"/>
          </w:tcPr>
          <w:p w14:paraId="66843090" w14:textId="77777777" w:rsidR="00B623CF" w:rsidRPr="00B05450" w:rsidRDefault="00B623CF" w:rsidP="00B623CF">
            <w:r w:rsidRPr="00B05450">
              <w:t>Referral traffic</w:t>
            </w:r>
          </w:p>
        </w:tc>
        <w:tc>
          <w:tcPr>
            <w:tcW w:w="1417" w:type="dxa"/>
          </w:tcPr>
          <w:p w14:paraId="7847E7F7" w14:textId="5E0B3019" w:rsidR="00B623CF" w:rsidRPr="00805408" w:rsidRDefault="00805408" w:rsidP="00B623CF">
            <w:r w:rsidRPr="00805408">
              <w:t>10.6%</w:t>
            </w:r>
          </w:p>
        </w:tc>
      </w:tr>
      <w:tr w:rsidR="00B623CF" w:rsidRPr="00B05450" w14:paraId="1059DCA4" w14:textId="77777777" w:rsidTr="00C97E65">
        <w:tc>
          <w:tcPr>
            <w:tcW w:w="4282" w:type="dxa"/>
            <w:shd w:val="clear" w:color="auto" w:fill="D4E2E0" w:themeFill="accent5"/>
          </w:tcPr>
          <w:p w14:paraId="4565F43F" w14:textId="77777777" w:rsidR="00B623CF" w:rsidRPr="00B05450" w:rsidRDefault="00B623CF" w:rsidP="00B623CF">
            <w:r>
              <w:t>Search traffic</w:t>
            </w:r>
          </w:p>
        </w:tc>
        <w:tc>
          <w:tcPr>
            <w:tcW w:w="1417" w:type="dxa"/>
          </w:tcPr>
          <w:p w14:paraId="7357F4DE" w14:textId="749B56EF" w:rsidR="00B623CF" w:rsidRPr="00805408" w:rsidRDefault="00805408" w:rsidP="00B623CF">
            <w:r w:rsidRPr="00805408">
              <w:t>63.6%</w:t>
            </w:r>
          </w:p>
        </w:tc>
      </w:tr>
      <w:tr w:rsidR="00B623CF" w:rsidRPr="00B05450" w14:paraId="6FF006CE" w14:textId="77777777" w:rsidTr="00C97E65">
        <w:tc>
          <w:tcPr>
            <w:tcW w:w="4282" w:type="dxa"/>
            <w:shd w:val="clear" w:color="auto" w:fill="D4E2E0" w:themeFill="accent5"/>
          </w:tcPr>
          <w:p w14:paraId="627239F2" w14:textId="77777777" w:rsidR="00B623CF" w:rsidRPr="00B05450" w:rsidRDefault="00B623CF" w:rsidP="00B623CF">
            <w:r w:rsidRPr="00B05450">
              <w:t>Social</w:t>
            </w:r>
          </w:p>
        </w:tc>
        <w:tc>
          <w:tcPr>
            <w:tcW w:w="1417" w:type="dxa"/>
          </w:tcPr>
          <w:p w14:paraId="5325E5DC" w14:textId="3DFAB67F" w:rsidR="00B623CF" w:rsidRPr="00805408" w:rsidRDefault="00805408" w:rsidP="00B623CF">
            <w:r w:rsidRPr="00805408">
              <w:t>0%</w:t>
            </w:r>
          </w:p>
        </w:tc>
      </w:tr>
    </w:tbl>
    <w:p w14:paraId="47CD6330" w14:textId="25BFC425" w:rsidR="00C345F4" w:rsidRDefault="00C345F4" w:rsidP="00664937">
      <w:pPr>
        <w:pStyle w:val="Heading4"/>
      </w:pPr>
    </w:p>
    <w:p w14:paraId="48D4899F" w14:textId="77777777" w:rsidR="00C345F4" w:rsidRDefault="00C345F4">
      <w:pPr>
        <w:keepLines w:val="0"/>
        <w:spacing w:after="0" w:line="240" w:lineRule="auto"/>
        <w:rPr>
          <w:rFonts w:eastAsiaTheme="majorEastAsia" w:cs="Arial"/>
          <w:b/>
          <w:bCs/>
          <w:szCs w:val="28"/>
          <w:lang w:val="en-US" w:eastAsia="en-AU"/>
        </w:rPr>
      </w:pPr>
      <w:r>
        <w:br w:type="page"/>
      </w:r>
    </w:p>
    <w:p w14:paraId="2DAB754D" w14:textId="77777777" w:rsidR="0095511E" w:rsidRDefault="0095511E" w:rsidP="00664937">
      <w:pPr>
        <w:pStyle w:val="Heading4"/>
      </w:pPr>
    </w:p>
    <w:p w14:paraId="6DA3265B" w14:textId="37BB91BE" w:rsidR="0095511E" w:rsidRPr="00B05450" w:rsidRDefault="0095511E" w:rsidP="00180C0F">
      <w:pPr>
        <w:pStyle w:val="Heading3nonumber"/>
      </w:pPr>
      <w:bookmarkStart w:id="308" w:name="_Toc426617509"/>
      <w:bookmarkStart w:id="309" w:name="_Toc430091234"/>
      <w:r w:rsidRPr="00B05450">
        <w:t>Site visits</w:t>
      </w:r>
      <w:r>
        <w:t xml:space="preserve"> – New Website 8 October 2014 to 30 June 2015</w:t>
      </w:r>
      <w:bookmarkEnd w:id="308"/>
      <w:bookmarkEnd w:id="309"/>
    </w:p>
    <w:tbl>
      <w:tblPr>
        <w:tblStyle w:val="TableGrid2"/>
        <w:tblW w:w="0" w:type="auto"/>
        <w:tblInd w:w="108" w:type="dxa"/>
        <w:tblBorders>
          <w:top w:val="single" w:sz="2" w:space="0" w:color="BAD0CD" w:themeColor="accent5" w:themeShade="E6"/>
          <w:left w:val="single" w:sz="2" w:space="0" w:color="BAD0CD" w:themeColor="accent5" w:themeShade="E6"/>
          <w:bottom w:val="single" w:sz="2" w:space="0" w:color="BAD0CD" w:themeColor="accent5" w:themeShade="E6"/>
          <w:right w:val="single" w:sz="2" w:space="0" w:color="BAD0CD" w:themeColor="accent5" w:themeShade="E6"/>
          <w:insideH w:val="single" w:sz="2" w:space="0" w:color="BAD0CD" w:themeColor="accent5" w:themeShade="E6"/>
          <w:insideV w:val="single" w:sz="2" w:space="0" w:color="BAD0CD" w:themeColor="accent5" w:themeShade="E6"/>
        </w:tblBorders>
        <w:tblLayout w:type="fixed"/>
        <w:tblLook w:val="04A0" w:firstRow="1" w:lastRow="0" w:firstColumn="1" w:lastColumn="0" w:noHBand="0" w:noVBand="1"/>
        <w:tblCaption w:val="website visits for new website"/>
      </w:tblPr>
      <w:tblGrid>
        <w:gridCol w:w="4284"/>
        <w:gridCol w:w="1417"/>
      </w:tblGrid>
      <w:tr w:rsidR="0095511E" w:rsidRPr="00B05450" w14:paraId="6218A080" w14:textId="77777777" w:rsidTr="00C97E65">
        <w:tc>
          <w:tcPr>
            <w:tcW w:w="4284" w:type="dxa"/>
            <w:shd w:val="clear" w:color="auto" w:fill="D4E2E0" w:themeFill="accent5"/>
          </w:tcPr>
          <w:p w14:paraId="2703699F" w14:textId="77777777" w:rsidR="0095511E" w:rsidRPr="00B05450" w:rsidRDefault="0095511E" w:rsidP="00F018BB">
            <w:r w:rsidRPr="00B05450">
              <w:t>New Visitor</w:t>
            </w:r>
          </w:p>
        </w:tc>
        <w:tc>
          <w:tcPr>
            <w:tcW w:w="1417" w:type="dxa"/>
          </w:tcPr>
          <w:p w14:paraId="48F7B647" w14:textId="5EB75206" w:rsidR="0095511E" w:rsidRPr="00B623CF" w:rsidRDefault="00487568" w:rsidP="00805408">
            <w:r>
              <w:t>48.2%</w:t>
            </w:r>
          </w:p>
        </w:tc>
      </w:tr>
      <w:tr w:rsidR="0095511E" w:rsidRPr="00B05450" w14:paraId="2F2532F2" w14:textId="77777777" w:rsidTr="00C97E65">
        <w:tc>
          <w:tcPr>
            <w:tcW w:w="4284" w:type="dxa"/>
            <w:shd w:val="clear" w:color="auto" w:fill="D4E2E0" w:themeFill="accent5"/>
          </w:tcPr>
          <w:p w14:paraId="65D23F1E" w14:textId="77777777" w:rsidR="0095511E" w:rsidRPr="00B05450" w:rsidRDefault="0095511E" w:rsidP="00F018BB">
            <w:r>
              <w:t>Returning Visitor</w:t>
            </w:r>
          </w:p>
        </w:tc>
        <w:tc>
          <w:tcPr>
            <w:tcW w:w="1417" w:type="dxa"/>
          </w:tcPr>
          <w:p w14:paraId="4DCC3BF6" w14:textId="39D29FC0" w:rsidR="0095511E" w:rsidRPr="00B623CF" w:rsidRDefault="00487568" w:rsidP="00805408">
            <w:r>
              <w:t>51.8%</w:t>
            </w:r>
          </w:p>
        </w:tc>
      </w:tr>
      <w:tr w:rsidR="0095511E" w:rsidRPr="00B05450" w14:paraId="721CA51A" w14:textId="77777777" w:rsidTr="00C97E65">
        <w:tblPrEx>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PrEx>
        <w:tc>
          <w:tcPr>
            <w:tcW w:w="4284" w:type="dxa"/>
            <w:shd w:val="clear" w:color="auto" w:fill="F5EDC1" w:themeFill="accent4"/>
          </w:tcPr>
          <w:p w14:paraId="41203AF1" w14:textId="77777777" w:rsidR="0095511E" w:rsidRPr="00B05450" w:rsidRDefault="0095511E" w:rsidP="00F018BB">
            <w:r>
              <w:t>Visits</w:t>
            </w:r>
          </w:p>
        </w:tc>
        <w:tc>
          <w:tcPr>
            <w:tcW w:w="1417" w:type="dxa"/>
          </w:tcPr>
          <w:p w14:paraId="0C81FEE7" w14:textId="60474DFB" w:rsidR="0095511E" w:rsidRPr="00B623CF" w:rsidRDefault="00487568" w:rsidP="00805408">
            <w:r>
              <w:t>188,113</w:t>
            </w:r>
          </w:p>
        </w:tc>
      </w:tr>
      <w:tr w:rsidR="0095511E" w:rsidRPr="00B05450" w14:paraId="46D24D8D" w14:textId="77777777" w:rsidTr="00C97E65">
        <w:tblPrEx>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PrEx>
        <w:tc>
          <w:tcPr>
            <w:tcW w:w="4284" w:type="dxa"/>
            <w:shd w:val="clear" w:color="auto" w:fill="F5EDC1" w:themeFill="accent4"/>
          </w:tcPr>
          <w:p w14:paraId="4FF6D7B2" w14:textId="77777777" w:rsidR="0095511E" w:rsidRPr="00B05450" w:rsidRDefault="0095511E" w:rsidP="00F018BB">
            <w:r w:rsidRPr="00B05450">
              <w:t>Unique Visits</w:t>
            </w:r>
          </w:p>
        </w:tc>
        <w:tc>
          <w:tcPr>
            <w:tcW w:w="1417" w:type="dxa"/>
          </w:tcPr>
          <w:p w14:paraId="4BBDAE3E" w14:textId="2A879018" w:rsidR="0095511E" w:rsidRPr="00B623CF" w:rsidRDefault="00487568" w:rsidP="00F018BB">
            <w:r>
              <w:t>90,748</w:t>
            </w:r>
          </w:p>
        </w:tc>
      </w:tr>
    </w:tbl>
    <w:p w14:paraId="510E6D97" w14:textId="21FA41F0" w:rsidR="0095511E" w:rsidRPr="00B05450" w:rsidRDefault="0095511E" w:rsidP="00180C0F">
      <w:pPr>
        <w:pStyle w:val="Heading3nonumber"/>
      </w:pPr>
      <w:bookmarkStart w:id="310" w:name="_Toc426617510"/>
      <w:bookmarkStart w:id="311" w:name="_Toc430091235"/>
      <w:r w:rsidRPr="00B05450">
        <w:t>Traffic sources</w:t>
      </w:r>
      <w:r w:rsidR="00805408" w:rsidRPr="00805408">
        <w:t xml:space="preserve"> </w:t>
      </w:r>
      <w:r w:rsidR="00805408">
        <w:t>- N</w:t>
      </w:r>
      <w:r w:rsidR="00805408" w:rsidRPr="00805408">
        <w:t>ew Website 8 October 2014 to 30 June 2015</w:t>
      </w:r>
      <w:bookmarkEnd w:id="310"/>
      <w:bookmarkEnd w:id="311"/>
    </w:p>
    <w:tbl>
      <w:tblPr>
        <w:tblStyle w:val="TableGrid2"/>
        <w:tblW w:w="0" w:type="auto"/>
        <w:tblInd w:w="108"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raffic sources for new website"/>
      </w:tblPr>
      <w:tblGrid>
        <w:gridCol w:w="4282"/>
        <w:gridCol w:w="1417"/>
      </w:tblGrid>
      <w:tr w:rsidR="0095511E" w:rsidRPr="00B05450" w14:paraId="145D381B" w14:textId="77777777" w:rsidTr="00C97E65">
        <w:tc>
          <w:tcPr>
            <w:tcW w:w="4282" w:type="dxa"/>
            <w:shd w:val="clear" w:color="auto" w:fill="D4E2E0" w:themeFill="accent5"/>
          </w:tcPr>
          <w:p w14:paraId="318F14BF" w14:textId="77777777" w:rsidR="0095511E" w:rsidRPr="00B05450" w:rsidRDefault="0095511E" w:rsidP="00F018BB">
            <w:r w:rsidRPr="00B05450">
              <w:t>Direct traffic</w:t>
            </w:r>
          </w:p>
        </w:tc>
        <w:tc>
          <w:tcPr>
            <w:tcW w:w="1417" w:type="dxa"/>
          </w:tcPr>
          <w:p w14:paraId="591BA386" w14:textId="1E4AE95B" w:rsidR="0095511E" w:rsidRPr="00805408" w:rsidRDefault="00805408" w:rsidP="00F018BB">
            <w:r w:rsidRPr="00805408">
              <w:t>26.7%</w:t>
            </w:r>
          </w:p>
        </w:tc>
      </w:tr>
      <w:tr w:rsidR="0095511E" w:rsidRPr="00B05450" w14:paraId="5BDB917C" w14:textId="77777777" w:rsidTr="00C97E65">
        <w:tc>
          <w:tcPr>
            <w:tcW w:w="4282" w:type="dxa"/>
            <w:shd w:val="clear" w:color="auto" w:fill="D4E2E0" w:themeFill="accent5"/>
          </w:tcPr>
          <w:p w14:paraId="573E10EA" w14:textId="77777777" w:rsidR="0095511E" w:rsidRPr="00B05450" w:rsidRDefault="0095511E" w:rsidP="00F018BB">
            <w:r w:rsidRPr="00B05450">
              <w:t>Referral traffic</w:t>
            </w:r>
          </w:p>
        </w:tc>
        <w:tc>
          <w:tcPr>
            <w:tcW w:w="1417" w:type="dxa"/>
          </w:tcPr>
          <w:p w14:paraId="031BC830" w14:textId="02E7E152" w:rsidR="0095511E" w:rsidRPr="00805408" w:rsidRDefault="00805408" w:rsidP="00F018BB">
            <w:r w:rsidRPr="00805408">
              <w:t>12.6%</w:t>
            </w:r>
          </w:p>
        </w:tc>
      </w:tr>
      <w:tr w:rsidR="0095511E" w:rsidRPr="00B05450" w14:paraId="110D60D7" w14:textId="77777777" w:rsidTr="00C97E65">
        <w:tc>
          <w:tcPr>
            <w:tcW w:w="4282" w:type="dxa"/>
            <w:shd w:val="clear" w:color="auto" w:fill="D4E2E0" w:themeFill="accent5"/>
          </w:tcPr>
          <w:p w14:paraId="116916CC" w14:textId="77777777" w:rsidR="0095511E" w:rsidRPr="00B05450" w:rsidRDefault="0095511E" w:rsidP="00F018BB">
            <w:r>
              <w:t>Search traffic</w:t>
            </w:r>
          </w:p>
        </w:tc>
        <w:tc>
          <w:tcPr>
            <w:tcW w:w="1417" w:type="dxa"/>
          </w:tcPr>
          <w:p w14:paraId="079C44F0" w14:textId="02D76E98" w:rsidR="0095511E" w:rsidRPr="00805408" w:rsidRDefault="00805408" w:rsidP="00805408">
            <w:r w:rsidRPr="00805408">
              <w:t>60.5%</w:t>
            </w:r>
          </w:p>
        </w:tc>
      </w:tr>
      <w:tr w:rsidR="0095511E" w:rsidRPr="00B05450" w14:paraId="7B27FACC" w14:textId="77777777" w:rsidTr="00C97E65">
        <w:tc>
          <w:tcPr>
            <w:tcW w:w="4282" w:type="dxa"/>
            <w:shd w:val="clear" w:color="auto" w:fill="D4E2E0" w:themeFill="accent5"/>
          </w:tcPr>
          <w:p w14:paraId="4948CDAE" w14:textId="77777777" w:rsidR="0095511E" w:rsidRPr="00805408" w:rsidRDefault="0095511E" w:rsidP="00F018BB">
            <w:r w:rsidRPr="00B05450">
              <w:t>Social</w:t>
            </w:r>
          </w:p>
        </w:tc>
        <w:tc>
          <w:tcPr>
            <w:tcW w:w="1417" w:type="dxa"/>
          </w:tcPr>
          <w:p w14:paraId="0907612F" w14:textId="070F0E59" w:rsidR="0095511E" w:rsidRPr="00805408" w:rsidRDefault="00805408" w:rsidP="00F018BB">
            <w:r w:rsidRPr="00805408">
              <w:t>0%</w:t>
            </w:r>
          </w:p>
        </w:tc>
      </w:tr>
    </w:tbl>
    <w:p w14:paraId="7617EED8" w14:textId="77777777" w:rsidR="0095511E" w:rsidRPr="00B05450" w:rsidRDefault="0095511E" w:rsidP="00B05450">
      <w:pPr>
        <w:rPr>
          <w:b/>
          <w:sz w:val="22"/>
        </w:rPr>
      </w:pPr>
    </w:p>
    <w:p w14:paraId="24D78C5C" w14:textId="42504F95" w:rsidR="00B05450" w:rsidRPr="003438FF" w:rsidRDefault="00B05450" w:rsidP="00180C0F">
      <w:pPr>
        <w:pStyle w:val="Heading3nonumber"/>
      </w:pPr>
      <w:bookmarkStart w:id="312" w:name="_Toc426617511"/>
      <w:bookmarkStart w:id="313" w:name="_Toc430091236"/>
      <w:r w:rsidRPr="00B05450">
        <w:t xml:space="preserve">Views by </w:t>
      </w:r>
      <w:r w:rsidR="00C726B0">
        <w:t>WorkCover WA</w:t>
      </w:r>
      <w:r w:rsidRPr="00B05450">
        <w:t xml:space="preserve"> website channels</w:t>
      </w:r>
      <w:bookmarkEnd w:id="312"/>
      <w:bookmarkEnd w:id="313"/>
    </w:p>
    <w:tbl>
      <w:tblPr>
        <w:tblStyle w:val="TableGrid2"/>
        <w:tblpPr w:leftFromText="180" w:rightFromText="180" w:vertAnchor="text" w:tblpX="98" w:tblpY="1"/>
        <w:tblOverlap w:val="never"/>
        <w:tblW w:w="0" w:type="auto"/>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Look w:val="04A0" w:firstRow="1" w:lastRow="0" w:firstColumn="1" w:lastColumn="0" w:noHBand="0" w:noVBand="1"/>
        <w:tblCaption w:val="Views by WorkCover WA website channels"/>
      </w:tblPr>
      <w:tblGrid>
        <w:gridCol w:w="4282"/>
        <w:gridCol w:w="1355"/>
      </w:tblGrid>
      <w:tr w:rsidR="00B623CF" w:rsidRPr="00B05450" w14:paraId="663145A1" w14:textId="77777777" w:rsidTr="00A07B0E">
        <w:tc>
          <w:tcPr>
            <w:tcW w:w="4282" w:type="dxa"/>
            <w:shd w:val="clear" w:color="auto" w:fill="D4E2E0" w:themeFill="accent5"/>
          </w:tcPr>
          <w:p w14:paraId="7C3072D2" w14:textId="77777777" w:rsidR="00B623CF" w:rsidRPr="00B05450" w:rsidRDefault="00B623CF" w:rsidP="00C97E65">
            <w:r w:rsidRPr="00B05450">
              <w:t>Latest News</w:t>
            </w:r>
          </w:p>
        </w:tc>
        <w:tc>
          <w:tcPr>
            <w:tcW w:w="1355" w:type="dxa"/>
          </w:tcPr>
          <w:p w14:paraId="69B1D47A" w14:textId="068B3765" w:rsidR="00B623CF" w:rsidRPr="003D0E83" w:rsidRDefault="003C494E" w:rsidP="00C97E65">
            <w:r w:rsidRPr="003D0E83">
              <w:t>26</w:t>
            </w:r>
            <w:r w:rsidR="003438FF">
              <w:t>,</w:t>
            </w:r>
            <w:r w:rsidRPr="003D0E83">
              <w:t>991</w:t>
            </w:r>
          </w:p>
        </w:tc>
      </w:tr>
      <w:tr w:rsidR="00B623CF" w:rsidRPr="00B05450" w14:paraId="03F19791" w14:textId="77777777" w:rsidTr="00A07B0E">
        <w:tc>
          <w:tcPr>
            <w:tcW w:w="4282" w:type="dxa"/>
            <w:shd w:val="clear" w:color="auto" w:fill="D4E2E0" w:themeFill="accent5"/>
          </w:tcPr>
          <w:p w14:paraId="0B490E41" w14:textId="32C5BA2C" w:rsidR="00B623CF" w:rsidRPr="00B05450" w:rsidRDefault="00B623CF" w:rsidP="00C97E65">
            <w:r w:rsidRPr="00B05450">
              <w:t xml:space="preserve">About </w:t>
            </w:r>
            <w:r w:rsidR="00C726B0">
              <w:t>WorkCover WA</w:t>
            </w:r>
          </w:p>
        </w:tc>
        <w:tc>
          <w:tcPr>
            <w:tcW w:w="1355" w:type="dxa"/>
          </w:tcPr>
          <w:p w14:paraId="0CB48226" w14:textId="6F6FF4F4" w:rsidR="00B623CF" w:rsidRPr="003D0E83" w:rsidRDefault="003438FF" w:rsidP="00C97E65">
            <w:r>
              <w:t>14,154</w:t>
            </w:r>
          </w:p>
        </w:tc>
      </w:tr>
      <w:tr w:rsidR="00B623CF" w:rsidRPr="00B05450" w14:paraId="02F95320" w14:textId="77777777" w:rsidTr="00A07B0E">
        <w:tc>
          <w:tcPr>
            <w:tcW w:w="4282" w:type="dxa"/>
            <w:shd w:val="clear" w:color="auto" w:fill="D4E2E0" w:themeFill="accent5"/>
          </w:tcPr>
          <w:p w14:paraId="66504C26" w14:textId="77777777" w:rsidR="00B623CF" w:rsidRPr="00B05450" w:rsidRDefault="00B623CF" w:rsidP="00C97E65">
            <w:r w:rsidRPr="00B05450">
              <w:t xml:space="preserve">Views by publications and forms  </w:t>
            </w:r>
          </w:p>
        </w:tc>
        <w:tc>
          <w:tcPr>
            <w:tcW w:w="1355" w:type="dxa"/>
          </w:tcPr>
          <w:p w14:paraId="318629AB" w14:textId="3E4ED6E1" w:rsidR="00B623CF" w:rsidRPr="003D0E83" w:rsidRDefault="003438FF" w:rsidP="00C97E65">
            <w:r>
              <w:t>122,891</w:t>
            </w:r>
          </w:p>
        </w:tc>
      </w:tr>
      <w:tr w:rsidR="00B623CF" w:rsidRPr="00B05450" w14:paraId="6ED8C41D" w14:textId="77777777" w:rsidTr="00A07B0E">
        <w:tc>
          <w:tcPr>
            <w:tcW w:w="4282" w:type="dxa"/>
            <w:shd w:val="clear" w:color="auto" w:fill="D4E2E0" w:themeFill="accent5"/>
          </w:tcPr>
          <w:p w14:paraId="390D5B88" w14:textId="7E693057" w:rsidR="00B623CF" w:rsidRPr="00B05450" w:rsidRDefault="003438FF" w:rsidP="00C97E65">
            <w:r>
              <w:t>Resolving a dispute</w:t>
            </w:r>
          </w:p>
        </w:tc>
        <w:tc>
          <w:tcPr>
            <w:tcW w:w="1355" w:type="dxa"/>
          </w:tcPr>
          <w:p w14:paraId="507D37F6" w14:textId="0FAA9A63" w:rsidR="00B623CF" w:rsidRPr="003D0E83" w:rsidRDefault="003438FF" w:rsidP="00C97E65">
            <w:r>
              <w:t>23,260</w:t>
            </w:r>
          </w:p>
        </w:tc>
      </w:tr>
      <w:tr w:rsidR="00B623CF" w:rsidRPr="00B05450" w14:paraId="3D92DEF8" w14:textId="77777777" w:rsidTr="00A07B0E">
        <w:tc>
          <w:tcPr>
            <w:tcW w:w="4282" w:type="dxa"/>
            <w:shd w:val="clear" w:color="auto" w:fill="D4E2E0" w:themeFill="accent5"/>
          </w:tcPr>
          <w:p w14:paraId="0CE86E05" w14:textId="77777777" w:rsidR="00B623CF" w:rsidRPr="00B05450" w:rsidRDefault="00B623CF" w:rsidP="00C97E65">
            <w:r w:rsidRPr="00B05450">
              <w:t>Health Providers</w:t>
            </w:r>
          </w:p>
        </w:tc>
        <w:tc>
          <w:tcPr>
            <w:tcW w:w="1355" w:type="dxa"/>
          </w:tcPr>
          <w:p w14:paraId="4BD1756E" w14:textId="47D1B4C0" w:rsidR="00B623CF" w:rsidRPr="003D0E83" w:rsidRDefault="003438FF" w:rsidP="00C97E65">
            <w:r>
              <w:t>41,344</w:t>
            </w:r>
          </w:p>
        </w:tc>
      </w:tr>
      <w:tr w:rsidR="00B623CF" w:rsidRPr="00B05450" w14:paraId="5050BBB4" w14:textId="77777777" w:rsidTr="00A07B0E">
        <w:tc>
          <w:tcPr>
            <w:tcW w:w="4282" w:type="dxa"/>
            <w:shd w:val="clear" w:color="auto" w:fill="D4E2E0" w:themeFill="accent5"/>
          </w:tcPr>
          <w:p w14:paraId="46809A0C" w14:textId="77777777" w:rsidR="00B623CF" w:rsidRPr="00B05450" w:rsidRDefault="00B623CF" w:rsidP="00C97E65">
            <w:r w:rsidRPr="00B05450">
              <w:t>Service Providers</w:t>
            </w:r>
          </w:p>
        </w:tc>
        <w:tc>
          <w:tcPr>
            <w:tcW w:w="1355" w:type="dxa"/>
          </w:tcPr>
          <w:p w14:paraId="4EA2A2EA" w14:textId="271E1766" w:rsidR="00B623CF" w:rsidRPr="003D0E83" w:rsidRDefault="003438FF" w:rsidP="00C97E65">
            <w:r>
              <w:t>24,567</w:t>
            </w:r>
          </w:p>
        </w:tc>
      </w:tr>
      <w:tr w:rsidR="00B623CF" w:rsidRPr="00B05450" w14:paraId="5A07631A" w14:textId="77777777" w:rsidTr="00A07B0E">
        <w:tc>
          <w:tcPr>
            <w:tcW w:w="4282" w:type="dxa"/>
            <w:shd w:val="clear" w:color="auto" w:fill="D4E2E0" w:themeFill="accent5"/>
          </w:tcPr>
          <w:p w14:paraId="443DDA48" w14:textId="77777777" w:rsidR="00B623CF" w:rsidRPr="00B05450" w:rsidRDefault="00B623CF" w:rsidP="00C97E65">
            <w:r w:rsidRPr="00B05450">
              <w:t>Workers</w:t>
            </w:r>
          </w:p>
        </w:tc>
        <w:tc>
          <w:tcPr>
            <w:tcW w:w="1355" w:type="dxa"/>
          </w:tcPr>
          <w:p w14:paraId="13EBD998" w14:textId="08562F1E" w:rsidR="00B623CF" w:rsidRPr="003D0E83" w:rsidRDefault="003438FF" w:rsidP="00C97E65">
            <w:r>
              <w:t>159,878</w:t>
            </w:r>
          </w:p>
        </w:tc>
      </w:tr>
      <w:tr w:rsidR="00B623CF" w:rsidRPr="00B05450" w14:paraId="2C7FFE98" w14:textId="77777777" w:rsidTr="00A07B0E">
        <w:tc>
          <w:tcPr>
            <w:tcW w:w="4282" w:type="dxa"/>
            <w:shd w:val="clear" w:color="auto" w:fill="D4E2E0" w:themeFill="accent5"/>
          </w:tcPr>
          <w:p w14:paraId="6871AFD7" w14:textId="77777777" w:rsidR="00B623CF" w:rsidRPr="00B05450" w:rsidRDefault="00B623CF" w:rsidP="00C97E65">
            <w:r w:rsidRPr="00B05450">
              <w:t>Employers</w:t>
            </w:r>
          </w:p>
        </w:tc>
        <w:tc>
          <w:tcPr>
            <w:tcW w:w="1355" w:type="dxa"/>
          </w:tcPr>
          <w:p w14:paraId="6C73AB50" w14:textId="18A1902A" w:rsidR="00B623CF" w:rsidRPr="003D0E83" w:rsidRDefault="003438FF" w:rsidP="00C97E65">
            <w:r>
              <w:t>117,468</w:t>
            </w:r>
          </w:p>
        </w:tc>
      </w:tr>
    </w:tbl>
    <w:p w14:paraId="0EDFDD75" w14:textId="77777777" w:rsidR="00E22526" w:rsidRDefault="00E22526">
      <w:pPr>
        <w:keepLines w:val="0"/>
        <w:spacing w:after="0" w:line="240" w:lineRule="auto"/>
      </w:pPr>
      <w:bookmarkStart w:id="314" w:name="_Toc426617512"/>
    </w:p>
    <w:p w14:paraId="0B97A000" w14:textId="77777777" w:rsidR="00C345F4" w:rsidRDefault="00C345F4">
      <w:pPr>
        <w:keepLines w:val="0"/>
        <w:spacing w:after="0" w:line="240" w:lineRule="auto"/>
        <w:rPr>
          <w:rFonts w:eastAsiaTheme="majorEastAsia" w:cs="Arial"/>
          <w:b/>
          <w:bCs/>
          <w:iCs/>
          <w:color w:val="205352"/>
          <w:sz w:val="30"/>
          <w:szCs w:val="30"/>
        </w:rPr>
      </w:pPr>
      <w:r>
        <w:br w:type="page"/>
      </w:r>
    </w:p>
    <w:p w14:paraId="4556E1AA" w14:textId="46321D37" w:rsidR="00242CA4" w:rsidRDefault="00242CA4" w:rsidP="00180C0F">
      <w:pPr>
        <w:pStyle w:val="Heading2nonumber"/>
      </w:pPr>
      <w:bookmarkStart w:id="315" w:name="_Toc430091237"/>
      <w:r>
        <w:lastRenderedPageBreak/>
        <w:t>Injury Management Conference website</w:t>
      </w:r>
      <w:bookmarkEnd w:id="314"/>
      <w:bookmarkEnd w:id="315"/>
    </w:p>
    <w:p w14:paraId="311C056F" w14:textId="71E9C371" w:rsidR="00242CA4" w:rsidRDefault="00242CA4" w:rsidP="00242CA4">
      <w:r>
        <w:t xml:space="preserve">To promote the 2015 Injury Management Conference and maximise exposure of the Conference program, </w:t>
      </w:r>
      <w:r w:rsidR="00C726B0">
        <w:t>WorkCover WA</w:t>
      </w:r>
      <w:r>
        <w:t xml:space="preserve"> launched a subsidiary website </w:t>
      </w:r>
      <w:r w:rsidRPr="009C6D66">
        <w:rPr>
          <w:b/>
        </w:rPr>
        <w:t>injurymanagement.workcover.wa.gov.au</w:t>
      </w:r>
      <w:r>
        <w:t xml:space="preserve"> in 2014/15.</w:t>
      </w:r>
    </w:p>
    <w:p w14:paraId="4D49E84B" w14:textId="0E98BB04" w:rsidR="00242CA4" w:rsidRPr="00242CA4" w:rsidRDefault="00913E02" w:rsidP="00242CA4">
      <w:r w:rsidRPr="00913E02">
        <w:t xml:space="preserve">The website was launched </w:t>
      </w:r>
      <w:r w:rsidR="00A823C2">
        <w:t>in</w:t>
      </w:r>
      <w:r w:rsidRPr="00913E02">
        <w:t xml:space="preserve"> November 2014 and had a total of 6,969 visitors. It was a successful self-contained site </w:t>
      </w:r>
      <w:r w:rsidR="001B0366">
        <w:t>which contained the C</w:t>
      </w:r>
      <w:r w:rsidR="00361BC5">
        <w:t xml:space="preserve">onference program, registration details, speaker </w:t>
      </w:r>
      <w:r w:rsidR="001B0366">
        <w:t>details, venue details and all C</w:t>
      </w:r>
      <w:r w:rsidR="00361BC5">
        <w:t>onference updates.</w:t>
      </w:r>
      <w:r w:rsidR="009C6D66">
        <w:br/>
      </w:r>
      <w:r w:rsidR="003A3858">
        <w:br w:type="textWrapping" w:clear="all"/>
      </w:r>
      <w:r w:rsidR="00242CA4" w:rsidRPr="00180C0F">
        <w:rPr>
          <w:rStyle w:val="Heading2nonumberChar"/>
        </w:rPr>
        <w:t>gp</w:t>
      </w:r>
      <w:r w:rsidR="00242CA4" w:rsidRPr="00C20D78">
        <w:rPr>
          <w:rStyle w:val="Heading2nonumberChar"/>
          <w:i/>
        </w:rPr>
        <w:t>suppor</w:t>
      </w:r>
      <w:r w:rsidR="00242CA4" w:rsidRPr="00180C0F">
        <w:rPr>
          <w:rStyle w:val="Heading2nonumberChar"/>
        </w:rPr>
        <w:t>t website</w:t>
      </w:r>
    </w:p>
    <w:p w14:paraId="19F06552" w14:textId="67251C17" w:rsidR="009C6D66" w:rsidRDefault="009C6D66" w:rsidP="00242CA4">
      <w:r>
        <w:t xml:space="preserve">The </w:t>
      </w:r>
      <w:r w:rsidRPr="00514CFE">
        <w:t>gp</w:t>
      </w:r>
      <w:r w:rsidRPr="00514CFE">
        <w:rPr>
          <w:b/>
          <w:i/>
        </w:rPr>
        <w:t>support</w:t>
      </w:r>
      <w:r>
        <w:rPr>
          <w:b/>
          <w:i/>
        </w:rPr>
        <w:t xml:space="preserve"> </w:t>
      </w:r>
      <w:r w:rsidRPr="0082031B">
        <w:t xml:space="preserve">website was launched in May 2014 to provide a centralised educational resource for </w:t>
      </w:r>
      <w:r w:rsidR="0082031B" w:rsidRPr="0082031B">
        <w:t>General P</w:t>
      </w:r>
      <w:r w:rsidRPr="0082031B">
        <w:t>ractitioners</w:t>
      </w:r>
      <w:r w:rsidR="0082031B" w:rsidRPr="0082031B">
        <w:t xml:space="preserve"> (GPs)</w:t>
      </w:r>
      <w:r>
        <w:t xml:space="preserve"> involved with treating injured workers.</w:t>
      </w:r>
    </w:p>
    <w:p w14:paraId="4A7CDAB9" w14:textId="49F0B403" w:rsidR="009C6D66" w:rsidRDefault="009C6D66" w:rsidP="00242CA4">
      <w:r>
        <w:t xml:space="preserve">On </w:t>
      </w:r>
      <w:r w:rsidRPr="00514CFE">
        <w:t>gp</w:t>
      </w:r>
      <w:r w:rsidRPr="00514CFE">
        <w:rPr>
          <w:b/>
          <w:i/>
        </w:rPr>
        <w:t>support</w:t>
      </w:r>
      <w:r w:rsidRPr="00B623CF">
        <w:rPr>
          <w:i/>
        </w:rPr>
        <w:t xml:space="preserve"> </w:t>
      </w:r>
      <w:r>
        <w:t>GPs and practice staff can find information on:</w:t>
      </w:r>
    </w:p>
    <w:p w14:paraId="0B54A954" w14:textId="731AE0C1" w:rsidR="009C6D66" w:rsidRDefault="009C6D66" w:rsidP="009C6D66">
      <w:pPr>
        <w:pStyle w:val="BulletListLevel1"/>
      </w:pPr>
      <w:r>
        <w:t>their role in the workers’ compensation scheme</w:t>
      </w:r>
    </w:p>
    <w:p w14:paraId="3F13BBDD" w14:textId="67988CE1" w:rsidR="009C6D66" w:rsidRDefault="00C726B0" w:rsidP="009C6D66">
      <w:pPr>
        <w:pStyle w:val="BulletListLevel1"/>
      </w:pPr>
      <w:r>
        <w:t>WorkCover WA</w:t>
      </w:r>
      <w:r w:rsidR="009C6D66">
        <w:t>’s fee schedule</w:t>
      </w:r>
    </w:p>
    <w:p w14:paraId="1B27C75A" w14:textId="266317A9" w:rsidR="009C6D66" w:rsidRDefault="009C6D66" w:rsidP="009C6D66">
      <w:pPr>
        <w:pStyle w:val="BulletListLevel1"/>
      </w:pPr>
      <w:r>
        <w:t>Certificates of Capacity and evaluation notes</w:t>
      </w:r>
    </w:p>
    <w:p w14:paraId="019AB01E" w14:textId="407814B2" w:rsidR="009C6D66" w:rsidRDefault="00126D02" w:rsidP="009C6D66">
      <w:pPr>
        <w:pStyle w:val="BulletListLevel1"/>
      </w:pPr>
      <w:r>
        <w:t>h</w:t>
      </w:r>
      <w:r w:rsidR="009C6D66">
        <w:t>ealth benefits of work</w:t>
      </w:r>
    </w:p>
    <w:p w14:paraId="428F810B" w14:textId="06E18EBF" w:rsidR="009C6D66" w:rsidRDefault="00126D02" w:rsidP="009C6D66">
      <w:pPr>
        <w:pStyle w:val="BulletListLevel1"/>
      </w:pPr>
      <w:r>
        <w:t>how to support work participation</w:t>
      </w:r>
    </w:p>
    <w:p w14:paraId="2C54A46D" w14:textId="4BBE4C7A" w:rsidR="00126D02" w:rsidRDefault="00126D02" w:rsidP="009C6D66">
      <w:pPr>
        <w:pStyle w:val="BulletListLevel1"/>
      </w:pPr>
      <w:r>
        <w:t>evidence-based principles</w:t>
      </w:r>
    </w:p>
    <w:p w14:paraId="0F7E3095" w14:textId="77777777" w:rsidR="00A7526B" w:rsidRDefault="00126D02" w:rsidP="00242CA4">
      <w:pPr>
        <w:pStyle w:val="BulletListLevel1"/>
      </w:pPr>
      <w:r>
        <w:t>useful assessment tools for</w:t>
      </w:r>
      <w:r w:rsidR="00A7526B">
        <w:t>:</w:t>
      </w:r>
    </w:p>
    <w:p w14:paraId="51A31835" w14:textId="3B2CA6F1" w:rsidR="00A7526B" w:rsidRDefault="00126D02" w:rsidP="00A7526B">
      <w:pPr>
        <w:pStyle w:val="BulletListLevel1"/>
        <w:numPr>
          <w:ilvl w:val="1"/>
          <w:numId w:val="3"/>
        </w:numPr>
      </w:pPr>
      <w:r>
        <w:t>identifying injured workers who may be at risk of delayed outcomes</w:t>
      </w:r>
      <w:r w:rsidR="00A7526B">
        <w:t xml:space="preserve"> </w:t>
      </w:r>
    </w:p>
    <w:p w14:paraId="67A0FBDB" w14:textId="78E49C1E" w:rsidR="00126D02" w:rsidRDefault="00126D02" w:rsidP="00A7526B">
      <w:pPr>
        <w:pStyle w:val="BulletListLevel1"/>
        <w:numPr>
          <w:ilvl w:val="1"/>
          <w:numId w:val="3"/>
        </w:numPr>
      </w:pPr>
      <w:r>
        <w:t>measuring the effectiveness of injury management interventions.</w:t>
      </w:r>
    </w:p>
    <w:p w14:paraId="3900717D" w14:textId="4695FD79" w:rsidR="00C345F4" w:rsidRDefault="009C6D66" w:rsidP="00126D02">
      <w:pPr>
        <w:pStyle w:val="BulletListLevel1"/>
        <w:numPr>
          <w:ilvl w:val="0"/>
          <w:numId w:val="0"/>
        </w:numPr>
      </w:pPr>
      <w:r>
        <w:t xml:space="preserve">This subsidiary website was heavily utilised by </w:t>
      </w:r>
      <w:r w:rsidR="0082031B">
        <w:t>GPs</w:t>
      </w:r>
      <w:r w:rsidR="001D494F">
        <w:t xml:space="preserve"> and medical practices from 1 </w:t>
      </w:r>
      <w:r>
        <w:t>July 2014 when the new Certificates of Capacity came into effect.</w:t>
      </w:r>
    </w:p>
    <w:p w14:paraId="0329D717" w14:textId="77777777" w:rsidR="00C345F4" w:rsidRDefault="00C345F4">
      <w:pPr>
        <w:keepLines w:val="0"/>
        <w:spacing w:after="0" w:line="240" w:lineRule="auto"/>
        <w:rPr>
          <w:rFonts w:eastAsiaTheme="minorHAnsi" w:cs="Arial"/>
          <w:bCs/>
        </w:rPr>
      </w:pPr>
      <w:r>
        <w:br w:type="page"/>
      </w:r>
    </w:p>
    <w:p w14:paraId="2028638C" w14:textId="77777777" w:rsidR="00697009" w:rsidRPr="00B05450" w:rsidRDefault="00697009" w:rsidP="00180C0F">
      <w:pPr>
        <w:pStyle w:val="Heading3nonumber"/>
      </w:pPr>
      <w:bookmarkStart w:id="316" w:name="_Toc426617513"/>
      <w:bookmarkStart w:id="317" w:name="_Toc430091238"/>
      <w:r w:rsidRPr="00B05450">
        <w:lastRenderedPageBreak/>
        <w:t>Site visits</w:t>
      </w:r>
      <w:bookmarkEnd w:id="316"/>
      <w:bookmarkEnd w:id="317"/>
    </w:p>
    <w:tbl>
      <w:tblPr>
        <w:tblStyle w:val="TableGrid2"/>
        <w:tblW w:w="0" w:type="auto"/>
        <w:tblInd w:w="108" w:type="dxa"/>
        <w:tblBorders>
          <w:top w:val="single" w:sz="2" w:space="0" w:color="BAD0CD" w:themeColor="accent5" w:themeShade="E6"/>
          <w:left w:val="single" w:sz="2" w:space="0" w:color="BAD0CD" w:themeColor="accent5" w:themeShade="E6"/>
          <w:bottom w:val="single" w:sz="2" w:space="0" w:color="BAD0CD" w:themeColor="accent5" w:themeShade="E6"/>
          <w:right w:val="single" w:sz="2" w:space="0" w:color="BAD0CD" w:themeColor="accent5" w:themeShade="E6"/>
          <w:insideH w:val="single" w:sz="2" w:space="0" w:color="BAD0CD" w:themeColor="accent5" w:themeShade="E6"/>
          <w:insideV w:val="single" w:sz="2" w:space="0" w:color="BAD0CD" w:themeColor="accent5" w:themeShade="E6"/>
        </w:tblBorders>
        <w:tblLayout w:type="fixed"/>
        <w:tblLook w:val="04A0" w:firstRow="1" w:lastRow="0" w:firstColumn="1" w:lastColumn="0" w:noHBand="0" w:noVBand="1"/>
        <w:tblCaption w:val="Website visits gpsupport"/>
      </w:tblPr>
      <w:tblGrid>
        <w:gridCol w:w="2552"/>
        <w:gridCol w:w="1843"/>
      </w:tblGrid>
      <w:tr w:rsidR="00697009" w:rsidRPr="00B05450" w14:paraId="17FB7057" w14:textId="77777777" w:rsidTr="00163284">
        <w:trPr>
          <w:trHeight w:val="977"/>
        </w:trPr>
        <w:tc>
          <w:tcPr>
            <w:tcW w:w="2552" w:type="dxa"/>
            <w:shd w:val="clear" w:color="auto" w:fill="D4E2E0" w:themeFill="accent5"/>
          </w:tcPr>
          <w:p w14:paraId="487FA76F" w14:textId="77777777" w:rsidR="00697009" w:rsidRPr="00B05450" w:rsidRDefault="00697009" w:rsidP="00697009">
            <w:r w:rsidRPr="00B05450">
              <w:t>New Visitor</w:t>
            </w:r>
          </w:p>
        </w:tc>
        <w:tc>
          <w:tcPr>
            <w:tcW w:w="1843" w:type="dxa"/>
          </w:tcPr>
          <w:p w14:paraId="6447224A" w14:textId="04DA8C07" w:rsidR="00697009" w:rsidRPr="00697009" w:rsidRDefault="004C592E" w:rsidP="00697009">
            <w:r>
              <w:t>10,360</w:t>
            </w:r>
            <w:r w:rsidR="00E14BE3">
              <w:t xml:space="preserve"> </w:t>
            </w:r>
            <w:r w:rsidR="000D4218">
              <w:br/>
            </w:r>
            <w:r w:rsidR="00E14BE3">
              <w:t>(58%)</w:t>
            </w:r>
          </w:p>
        </w:tc>
      </w:tr>
      <w:tr w:rsidR="00697009" w:rsidRPr="00B05450" w14:paraId="5A967F00" w14:textId="77777777" w:rsidTr="00163284">
        <w:tc>
          <w:tcPr>
            <w:tcW w:w="2552" w:type="dxa"/>
            <w:shd w:val="clear" w:color="auto" w:fill="D4E2E0" w:themeFill="accent5"/>
          </w:tcPr>
          <w:p w14:paraId="24116BF6" w14:textId="77777777" w:rsidR="00697009" w:rsidRPr="00B05450" w:rsidRDefault="00697009" w:rsidP="00697009">
            <w:r>
              <w:t>Returning Visitor</w:t>
            </w:r>
          </w:p>
        </w:tc>
        <w:tc>
          <w:tcPr>
            <w:tcW w:w="1843" w:type="dxa"/>
          </w:tcPr>
          <w:p w14:paraId="4B67723E" w14:textId="78673F06" w:rsidR="00E14BE3" w:rsidRPr="00697009" w:rsidRDefault="004C592E" w:rsidP="00697009">
            <w:r>
              <w:t>7,510</w:t>
            </w:r>
            <w:r w:rsidR="00E14BE3">
              <w:br/>
              <w:t>(42%)</w:t>
            </w:r>
          </w:p>
        </w:tc>
      </w:tr>
    </w:tbl>
    <w:p w14:paraId="2DC9C05C" w14:textId="77777777" w:rsidR="00697009" w:rsidRPr="00B05450" w:rsidRDefault="00697009" w:rsidP="00180C0F">
      <w:pPr>
        <w:pStyle w:val="Heading3nonumber"/>
      </w:pPr>
      <w:bookmarkStart w:id="318" w:name="_Toc426617514"/>
      <w:bookmarkStart w:id="319" w:name="_Toc430091239"/>
      <w:r w:rsidRPr="00B05450">
        <w:t>Traffic sources</w:t>
      </w:r>
      <w:bookmarkEnd w:id="318"/>
      <w:bookmarkEnd w:id="319"/>
    </w:p>
    <w:tbl>
      <w:tblPr>
        <w:tblStyle w:val="TableGrid2"/>
        <w:tblW w:w="0" w:type="auto"/>
        <w:tblInd w:w="108"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raffic sources for gpsupport website"/>
      </w:tblPr>
      <w:tblGrid>
        <w:gridCol w:w="2552"/>
        <w:gridCol w:w="1843"/>
      </w:tblGrid>
      <w:tr w:rsidR="00697009" w:rsidRPr="00B05450" w14:paraId="08251FC1" w14:textId="77777777" w:rsidTr="00E22526">
        <w:tc>
          <w:tcPr>
            <w:tcW w:w="2552" w:type="dxa"/>
            <w:shd w:val="clear" w:color="auto" w:fill="D4E2E0" w:themeFill="accent5"/>
          </w:tcPr>
          <w:p w14:paraId="2FE552A1" w14:textId="77777777" w:rsidR="00697009" w:rsidRPr="00B05450" w:rsidRDefault="00697009" w:rsidP="00697009">
            <w:r w:rsidRPr="00B05450">
              <w:t>Direct traffic</w:t>
            </w:r>
          </w:p>
        </w:tc>
        <w:tc>
          <w:tcPr>
            <w:tcW w:w="1843" w:type="dxa"/>
          </w:tcPr>
          <w:p w14:paraId="0B9FAFBA" w14:textId="3DCEBE09" w:rsidR="00697009" w:rsidRPr="00697009" w:rsidRDefault="004C592E" w:rsidP="004C592E">
            <w:r>
              <w:t xml:space="preserve">6,572 </w:t>
            </w:r>
          </w:p>
        </w:tc>
      </w:tr>
      <w:tr w:rsidR="00697009" w:rsidRPr="00B05450" w14:paraId="5B7A08CD" w14:textId="77777777" w:rsidTr="00E22526">
        <w:tc>
          <w:tcPr>
            <w:tcW w:w="2552" w:type="dxa"/>
            <w:shd w:val="clear" w:color="auto" w:fill="D4E2E0" w:themeFill="accent5"/>
          </w:tcPr>
          <w:p w14:paraId="133FF6E6" w14:textId="77777777" w:rsidR="00697009" w:rsidRPr="00B05450" w:rsidRDefault="00697009" w:rsidP="00697009">
            <w:r w:rsidRPr="00B05450">
              <w:t>Referral traffic</w:t>
            </w:r>
          </w:p>
        </w:tc>
        <w:tc>
          <w:tcPr>
            <w:tcW w:w="1843" w:type="dxa"/>
          </w:tcPr>
          <w:p w14:paraId="17EF897C" w14:textId="1F9FE8E3" w:rsidR="00697009" w:rsidRPr="00697009" w:rsidRDefault="004C592E" w:rsidP="00697009">
            <w:r>
              <w:t>7,477</w:t>
            </w:r>
          </w:p>
        </w:tc>
      </w:tr>
      <w:tr w:rsidR="00697009" w:rsidRPr="00B05450" w14:paraId="17CA7298" w14:textId="77777777" w:rsidTr="00E22526">
        <w:tc>
          <w:tcPr>
            <w:tcW w:w="2552" w:type="dxa"/>
            <w:shd w:val="clear" w:color="auto" w:fill="D4E2E0" w:themeFill="accent5"/>
          </w:tcPr>
          <w:p w14:paraId="73B0877F" w14:textId="77777777" w:rsidR="00697009" w:rsidRPr="00B05450" w:rsidRDefault="00697009" w:rsidP="00697009">
            <w:r>
              <w:t>Search traffic</w:t>
            </w:r>
          </w:p>
        </w:tc>
        <w:tc>
          <w:tcPr>
            <w:tcW w:w="1843" w:type="dxa"/>
          </w:tcPr>
          <w:p w14:paraId="564B09F9" w14:textId="3AC7067E" w:rsidR="00697009" w:rsidRPr="00697009" w:rsidRDefault="004C592E" w:rsidP="00697009">
            <w:r>
              <w:t>3,770</w:t>
            </w:r>
          </w:p>
        </w:tc>
      </w:tr>
    </w:tbl>
    <w:p w14:paraId="580FF532" w14:textId="77777777" w:rsidR="00697009" w:rsidRDefault="00697009" w:rsidP="00242CA4"/>
    <w:p w14:paraId="31418B5F" w14:textId="68C2E38E" w:rsidR="00126D02" w:rsidRDefault="00126D02" w:rsidP="00242CA4">
      <w:r w:rsidRPr="00126D02">
        <w:t xml:space="preserve">In </w:t>
      </w:r>
      <w:r>
        <w:t xml:space="preserve">March 2015 a project was commenced to redevelop the </w:t>
      </w:r>
      <w:r>
        <w:rPr>
          <w:i/>
        </w:rPr>
        <w:t>gp</w:t>
      </w:r>
      <w:r>
        <w:rPr>
          <w:b/>
          <w:i/>
        </w:rPr>
        <w:t xml:space="preserve">support </w:t>
      </w:r>
      <w:r>
        <w:t>website to connect it to the technology pl</w:t>
      </w:r>
      <w:r w:rsidR="00A823C2">
        <w:t>atform of</w:t>
      </w:r>
      <w:r>
        <w:t xml:space="preserve"> the</w:t>
      </w:r>
      <w:r w:rsidR="00A823C2">
        <w:t xml:space="preserve"> main</w:t>
      </w:r>
      <w:r>
        <w:t xml:space="preserve"> </w:t>
      </w:r>
      <w:r w:rsidR="00C726B0">
        <w:t>WorkCover WA</w:t>
      </w:r>
      <w:r>
        <w:t xml:space="preserve"> website. </w:t>
      </w:r>
    </w:p>
    <w:p w14:paraId="018BB52E" w14:textId="16D20279" w:rsidR="009C6D66" w:rsidRPr="00126D02" w:rsidRDefault="00126D02" w:rsidP="00242CA4">
      <w:r>
        <w:t xml:space="preserve">The redeveloped </w:t>
      </w:r>
      <w:r>
        <w:rPr>
          <w:i/>
        </w:rPr>
        <w:t>gp</w:t>
      </w:r>
      <w:r>
        <w:rPr>
          <w:b/>
          <w:i/>
        </w:rPr>
        <w:t xml:space="preserve">support </w:t>
      </w:r>
      <w:r>
        <w:t>website is expected to be made availab</w:t>
      </w:r>
      <w:r w:rsidR="005B0656">
        <w:t>le to the public in 2015.</w:t>
      </w:r>
    </w:p>
    <w:p w14:paraId="5EEE10A0" w14:textId="77777777" w:rsidR="009C7041" w:rsidRPr="005C35DF" w:rsidRDefault="005C35DF" w:rsidP="005C35DF">
      <w:pPr>
        <w:pStyle w:val="Heading3nonumber"/>
      </w:pPr>
      <w:bookmarkStart w:id="320" w:name="_Toc426617515"/>
      <w:bookmarkStart w:id="321" w:name="_Toc430091240"/>
      <w:r w:rsidRPr="005C35DF">
        <w:t>Twitter</w:t>
      </w:r>
      <w:bookmarkEnd w:id="320"/>
      <w:bookmarkEnd w:id="321"/>
    </w:p>
    <w:p w14:paraId="2D76202D" w14:textId="37610E8C" w:rsidR="00D24D5B" w:rsidRPr="00B623CF" w:rsidRDefault="00C726B0" w:rsidP="009639E1">
      <w:pPr>
        <w:rPr>
          <w:lang w:eastAsia="en-AU"/>
        </w:rPr>
      </w:pPr>
      <w:r>
        <w:t>WorkCover WA</w:t>
      </w:r>
      <w:r w:rsidR="005C35DF" w:rsidRPr="00B623CF">
        <w:t xml:space="preserve"> utilises</w:t>
      </w:r>
      <w:r w:rsidR="00D24D5B" w:rsidRPr="00B623CF">
        <w:t xml:space="preserve"> Twitter to engage and communicate with external stakeholders. Important and relevant information </w:t>
      </w:r>
      <w:r w:rsidR="005C35DF" w:rsidRPr="00B623CF">
        <w:t xml:space="preserve">is </w:t>
      </w:r>
      <w:r w:rsidR="00D24D5B" w:rsidRPr="00B623CF">
        <w:t xml:space="preserve">tweeted </w:t>
      </w:r>
      <w:r w:rsidR="005C35DF" w:rsidRPr="00B623CF">
        <w:t>with links directing</w:t>
      </w:r>
      <w:r w:rsidR="00D24D5B" w:rsidRPr="00B623CF">
        <w:t xml:space="preserve"> </w:t>
      </w:r>
      <w:r w:rsidR="0030787D">
        <w:t xml:space="preserve">followers </w:t>
      </w:r>
      <w:r w:rsidR="00D24D5B" w:rsidRPr="00B623CF">
        <w:t xml:space="preserve">to a corresponding page on the </w:t>
      </w:r>
      <w:r>
        <w:t>WorkCover WA</w:t>
      </w:r>
      <w:r w:rsidR="00D24D5B" w:rsidRPr="00B623CF">
        <w:t xml:space="preserve"> website </w:t>
      </w:r>
      <w:r w:rsidR="0030787D">
        <w:t>for</w:t>
      </w:r>
      <w:r w:rsidR="00D24D5B" w:rsidRPr="00B623CF">
        <w:t xml:space="preserve"> </w:t>
      </w:r>
      <w:r w:rsidR="000B69C2" w:rsidRPr="00B623CF">
        <w:t>more comprehensive information.</w:t>
      </w:r>
    </w:p>
    <w:p w14:paraId="27BD1B6B" w14:textId="1B2F7D37" w:rsidR="00D24D5B" w:rsidRPr="006D00B3" w:rsidRDefault="00D24D5B" w:rsidP="009639E1">
      <w:pPr>
        <w:rPr>
          <w:lang w:eastAsia="en-AU"/>
        </w:rPr>
      </w:pPr>
      <w:r w:rsidRPr="006D00B3">
        <w:rPr>
          <w:lang w:eastAsia="en-AU"/>
        </w:rPr>
        <w:t xml:space="preserve">During </w:t>
      </w:r>
      <w:r w:rsidR="00B623CF" w:rsidRPr="006D00B3">
        <w:rPr>
          <w:lang w:eastAsia="en-AU"/>
        </w:rPr>
        <w:t>2014/15</w:t>
      </w:r>
      <w:r w:rsidRPr="006D00B3">
        <w:rPr>
          <w:lang w:eastAsia="en-AU"/>
        </w:rPr>
        <w:t xml:space="preserve"> </w:t>
      </w:r>
      <w:r w:rsidR="00C726B0" w:rsidRPr="006D00B3">
        <w:rPr>
          <w:lang w:eastAsia="en-AU"/>
        </w:rPr>
        <w:t>WorkCover WA</w:t>
      </w:r>
      <w:r w:rsidRPr="006D00B3">
        <w:rPr>
          <w:lang w:eastAsia="en-AU"/>
        </w:rPr>
        <w:t xml:space="preserve"> ‘tweeted’ </w:t>
      </w:r>
      <w:r w:rsidR="006D00B3" w:rsidRPr="006D00B3">
        <w:rPr>
          <w:lang w:eastAsia="en-AU"/>
        </w:rPr>
        <w:t>80</w:t>
      </w:r>
      <w:r w:rsidRPr="006D00B3">
        <w:rPr>
          <w:lang w:eastAsia="en-AU"/>
        </w:rPr>
        <w:t xml:space="preserve"> times and accumulated </w:t>
      </w:r>
      <w:r w:rsidR="006D00B3" w:rsidRPr="006D00B3">
        <w:rPr>
          <w:lang w:eastAsia="en-AU"/>
        </w:rPr>
        <w:t>212</w:t>
      </w:r>
      <w:r w:rsidRPr="006D00B3">
        <w:rPr>
          <w:lang w:eastAsia="en-AU"/>
        </w:rPr>
        <w:t xml:space="preserve"> followers including workers, healthcare providers, business managers, human resource officers an</w:t>
      </w:r>
      <w:r w:rsidR="00905257">
        <w:rPr>
          <w:lang w:eastAsia="en-AU"/>
        </w:rPr>
        <w:t>d advocacy groups.</w:t>
      </w:r>
    </w:p>
    <w:p w14:paraId="1CD18CC6" w14:textId="77777777" w:rsidR="006051FA" w:rsidRDefault="006051FA" w:rsidP="00180C0F">
      <w:pPr>
        <w:pStyle w:val="Heading2nonumber"/>
      </w:pPr>
      <w:bookmarkStart w:id="322" w:name="_Toc399316980"/>
      <w:bookmarkStart w:id="323" w:name="_Toc426617516"/>
      <w:bookmarkStart w:id="324" w:name="_Toc430091241"/>
      <w:r w:rsidRPr="00544634">
        <w:t>Advice and Assistance Unit</w:t>
      </w:r>
      <w:bookmarkEnd w:id="322"/>
      <w:bookmarkEnd w:id="323"/>
      <w:bookmarkEnd w:id="324"/>
    </w:p>
    <w:p w14:paraId="5F405EE3" w14:textId="62F43FA2" w:rsidR="00DA256A" w:rsidRPr="00EF19CA" w:rsidRDefault="00C726B0" w:rsidP="00B36DD6">
      <w:r>
        <w:t>WorkCover WA</w:t>
      </w:r>
      <w:r w:rsidR="00B36DD6" w:rsidRPr="00EF19CA">
        <w:t xml:space="preserve">’s Advice and Assistance Unit is the Agency’s frontline service for workers, employers and other scheme participants who require immediate answers to questions related to workers’ compensation and injury management matters. </w:t>
      </w:r>
    </w:p>
    <w:p w14:paraId="0DDC86AE" w14:textId="3967EBB7" w:rsidR="00B36DD6" w:rsidRDefault="00F8539B" w:rsidP="00B36DD6">
      <w:r w:rsidRPr="00F8539B">
        <w:lastRenderedPageBreak/>
        <w:t>In 2014/15</w:t>
      </w:r>
      <w:r w:rsidR="00B36DD6" w:rsidRPr="00F8539B">
        <w:t xml:space="preserve">, the Unit </w:t>
      </w:r>
      <w:r w:rsidR="00A823C2">
        <w:t xml:space="preserve">responded to 22,836 requests for </w:t>
      </w:r>
      <w:r w:rsidR="00B36DD6" w:rsidRPr="00F8539B">
        <w:t>advice and assist</w:t>
      </w:r>
      <w:r w:rsidR="00A823C2">
        <w:t>ance from</w:t>
      </w:r>
      <w:r w:rsidR="00A97BA1" w:rsidRPr="00F8539B">
        <w:t xml:space="preserve"> workers and employers</w:t>
      </w:r>
      <w:r w:rsidR="00B36DD6" w:rsidRPr="00F8539B">
        <w:t>. Topics covered included the claims process, injury managem</w:t>
      </w:r>
      <w:r w:rsidR="00412AD6">
        <w:t>ent, return to work, weekly compensation</w:t>
      </w:r>
      <w:r w:rsidR="00B36DD6" w:rsidRPr="00F8539B">
        <w:t xml:space="preserve"> rates and entitlements, workplace rehabilitation entitlements and dispute resolution.</w:t>
      </w:r>
    </w:p>
    <w:p w14:paraId="28648BB0" w14:textId="7670299E" w:rsidR="00703D25" w:rsidRDefault="00825D77" w:rsidP="007D395C">
      <w:bookmarkStart w:id="325" w:name="_Toc399316983"/>
      <w:r w:rsidRPr="00825D77">
        <w:t>The Agency implemented call-back and call recording functionality in 2014/15 for quality as</w:t>
      </w:r>
      <w:r w:rsidR="001D494F">
        <w:t xml:space="preserve">surance and training purposes. </w:t>
      </w:r>
      <w:r w:rsidRPr="00825D77">
        <w:t>The call-back technology provides callers with an option to leave a message and request a call back if they do n</w:t>
      </w:r>
      <w:r w:rsidR="001D494F">
        <w:t xml:space="preserve">ot wish to remain on the line. </w:t>
      </w:r>
      <w:r w:rsidRPr="00825D77">
        <w:t>The next available operator will return the call without the caller losi</w:t>
      </w:r>
      <w:r w:rsidR="00913E02">
        <w:t xml:space="preserve">ng their position in the queue. </w:t>
      </w:r>
      <w:r w:rsidRPr="00825D77">
        <w:t>The call recording functionality enables WorkCover WA to analyse the quality of service provided and identify training needs, as well as providing a platform for the induction of new staff.</w:t>
      </w:r>
    </w:p>
    <w:p w14:paraId="6407DD5E" w14:textId="344FA944" w:rsidR="00C860A3" w:rsidRDefault="006051FA" w:rsidP="00180C0F">
      <w:pPr>
        <w:pStyle w:val="Heading1nonumber"/>
      </w:pPr>
      <w:bookmarkStart w:id="326" w:name="_Toc426617517"/>
      <w:bookmarkStart w:id="327" w:name="_Toc430091242"/>
      <w:r>
        <w:t xml:space="preserve">Training and </w:t>
      </w:r>
      <w:r w:rsidR="00854400">
        <w:t>s</w:t>
      </w:r>
      <w:r>
        <w:t>eminars</w:t>
      </w:r>
      <w:bookmarkEnd w:id="325"/>
      <w:bookmarkEnd w:id="326"/>
      <w:bookmarkEnd w:id="327"/>
    </w:p>
    <w:p w14:paraId="1CC449A0" w14:textId="77777777" w:rsidR="001573A3" w:rsidRPr="001573A3" w:rsidRDefault="00DC5B02" w:rsidP="001573A3">
      <w:r>
        <w:t>During</w:t>
      </w:r>
      <w:r w:rsidR="003014A3">
        <w:t xml:space="preserve"> 2014/15</w:t>
      </w:r>
      <w:r w:rsidR="001573A3" w:rsidRPr="001573A3">
        <w:t xml:space="preserve"> the Agency delivered a range of educational and information events in the form of seminars, information sessions and presentations. The activities engaged and educated scheme participants and the general public on rel</w:t>
      </w:r>
      <w:r w:rsidR="00E054E2">
        <w:t>evant issues surrounding worker</w:t>
      </w:r>
      <w:r w:rsidR="001573A3" w:rsidRPr="001573A3">
        <w:t>s</w:t>
      </w:r>
      <w:r w:rsidR="00E054E2">
        <w:t>’</w:t>
      </w:r>
      <w:r w:rsidR="001573A3" w:rsidRPr="001573A3">
        <w:t xml:space="preserve"> compensation and injury management. The activities also promoted collaboration and mutual respect between stakeholder groups by providing insight into the v</w:t>
      </w:r>
      <w:r w:rsidR="003014A3">
        <w:t>arious elements of the scheme.</w:t>
      </w:r>
    </w:p>
    <w:p w14:paraId="314936DF" w14:textId="19E504C4" w:rsidR="003767E8" w:rsidRDefault="003767E8" w:rsidP="00180C0F">
      <w:pPr>
        <w:pStyle w:val="Heading2nonumber"/>
      </w:pPr>
      <w:bookmarkStart w:id="328" w:name="_Toc399316984"/>
      <w:bookmarkStart w:id="329" w:name="_Toc426617518"/>
      <w:bookmarkStart w:id="330" w:name="_Toc430091243"/>
      <w:r>
        <w:t xml:space="preserve">Welcome to </w:t>
      </w:r>
      <w:r w:rsidR="00C726B0">
        <w:t>WorkCover WA</w:t>
      </w:r>
      <w:r w:rsidR="008E45CC">
        <w:t xml:space="preserve"> seminars</w:t>
      </w:r>
      <w:bookmarkEnd w:id="328"/>
      <w:bookmarkEnd w:id="329"/>
      <w:bookmarkEnd w:id="330"/>
    </w:p>
    <w:p w14:paraId="60CAE83E" w14:textId="155578ED" w:rsidR="003A0184" w:rsidRPr="003014A3" w:rsidRDefault="003A0184" w:rsidP="003A0184">
      <w:r w:rsidRPr="003014A3">
        <w:t xml:space="preserve">Welcome to </w:t>
      </w:r>
      <w:r w:rsidR="00C726B0">
        <w:t>WorkCover WA</w:t>
      </w:r>
      <w:r w:rsidR="00DC5B02" w:rsidRPr="003014A3">
        <w:t xml:space="preserve"> seminars are </w:t>
      </w:r>
      <w:r w:rsidRPr="003014A3">
        <w:t>regular event</w:t>
      </w:r>
      <w:r w:rsidR="00DC5B02" w:rsidRPr="003014A3">
        <w:t>s</w:t>
      </w:r>
      <w:r w:rsidRPr="003014A3">
        <w:t xml:space="preserve"> in the Agency’s calendar. Providing an introductory overview of </w:t>
      </w:r>
      <w:r w:rsidR="00C726B0">
        <w:t>WorkCover WA</w:t>
      </w:r>
      <w:r w:rsidRPr="003014A3">
        <w:t xml:space="preserve"> and its role within the workers’ compensation and injury management scheme, the seminar offers scheme participants an opportunity to discuss individual queries and concerns with experienced divisional heads.</w:t>
      </w:r>
    </w:p>
    <w:p w14:paraId="633C8D8E" w14:textId="72B8CE45" w:rsidR="003A0184" w:rsidRPr="003A0184" w:rsidRDefault="00C726B0" w:rsidP="003A0184">
      <w:r>
        <w:t>WorkCover WA</w:t>
      </w:r>
      <w:r w:rsidR="003A0184" w:rsidRPr="003014A3">
        <w:t xml:space="preserve"> condu</w:t>
      </w:r>
      <w:r w:rsidR="003014A3" w:rsidRPr="003014A3">
        <w:t>cted four seminars in 2014/15</w:t>
      </w:r>
      <w:r w:rsidR="003A0184" w:rsidRPr="003014A3">
        <w:t xml:space="preserve"> informing and educating a total </w:t>
      </w:r>
      <w:r w:rsidR="003A0184" w:rsidRPr="00A32860">
        <w:t>of</w:t>
      </w:r>
      <w:r w:rsidR="00A32860" w:rsidRPr="00A32860">
        <w:t xml:space="preserve"> </w:t>
      </w:r>
      <w:r w:rsidR="00A07B0E" w:rsidRPr="00A07B0E">
        <w:t>194</w:t>
      </w:r>
      <w:r w:rsidR="00A32860" w:rsidRPr="00A07B0E">
        <w:t xml:space="preserve"> </w:t>
      </w:r>
      <w:r w:rsidR="003A0184" w:rsidRPr="00A07B0E">
        <w:t>stakeholders</w:t>
      </w:r>
      <w:r w:rsidR="003A0184" w:rsidRPr="003014A3">
        <w:t xml:space="preserve"> about the scheme.</w:t>
      </w:r>
    </w:p>
    <w:p w14:paraId="250F642B" w14:textId="1D173998" w:rsidR="00B0728C" w:rsidRDefault="00B87212" w:rsidP="00B77A6A">
      <w:pPr>
        <w:pStyle w:val="Heading2nonumber"/>
      </w:pPr>
      <w:bookmarkStart w:id="331" w:name="_Toc426617519"/>
      <w:bookmarkStart w:id="332" w:name="_Toc430091244"/>
      <w:bookmarkStart w:id="333" w:name="_Toc399316986"/>
      <w:r>
        <w:t>Approved Medical Specialist</w:t>
      </w:r>
      <w:r w:rsidR="00B0728C">
        <w:t xml:space="preserve"> training</w:t>
      </w:r>
      <w:bookmarkEnd w:id="331"/>
      <w:bookmarkEnd w:id="332"/>
    </w:p>
    <w:p w14:paraId="38BFD0FA" w14:textId="77777777" w:rsidR="00B26741" w:rsidRDefault="00C726B0" w:rsidP="00B0728C">
      <w:r>
        <w:t>WorkCover WA</w:t>
      </w:r>
      <w:r w:rsidR="002A690C">
        <w:t xml:space="preserve"> organises training </w:t>
      </w:r>
      <w:r w:rsidR="00B0728C">
        <w:t xml:space="preserve">in the </w:t>
      </w:r>
      <w:r>
        <w:t>WorkCover WA</w:t>
      </w:r>
      <w:r w:rsidR="00B0728C">
        <w:t xml:space="preserve"> </w:t>
      </w:r>
      <w:r w:rsidR="003D4E68">
        <w:rPr>
          <w:i/>
        </w:rPr>
        <w:t xml:space="preserve">Guides for the Evaluation of Permanent Impairment </w:t>
      </w:r>
      <w:r w:rsidR="00B0728C">
        <w:t xml:space="preserve">for </w:t>
      </w:r>
      <w:r w:rsidR="00C57EAF">
        <w:t xml:space="preserve">medical practitioners </w:t>
      </w:r>
      <w:r w:rsidR="00B0728C">
        <w:t xml:space="preserve">seeking to become </w:t>
      </w:r>
      <w:r w:rsidR="00B26741">
        <w:t xml:space="preserve">an AMS. </w:t>
      </w:r>
    </w:p>
    <w:p w14:paraId="5A828875" w14:textId="31C0C922" w:rsidR="00B0728C" w:rsidRDefault="00B0728C" w:rsidP="00B0728C">
      <w:r>
        <w:t>AMS play an integral role in the scheme by assessing the level of permanent impairment of an injured worker.</w:t>
      </w:r>
    </w:p>
    <w:p w14:paraId="5CB9CB3E" w14:textId="1C545199" w:rsidR="00B0728C" w:rsidRPr="003A0184" w:rsidRDefault="00B0728C" w:rsidP="00B0728C">
      <w:r>
        <w:t xml:space="preserve">The Agency organised </w:t>
      </w:r>
      <w:r w:rsidR="004E59EB" w:rsidRPr="004E59EB">
        <w:t>two</w:t>
      </w:r>
      <w:r w:rsidR="002A690C">
        <w:t xml:space="preserve"> training ses</w:t>
      </w:r>
      <w:r w:rsidR="004E59EB">
        <w:t>s</w:t>
      </w:r>
      <w:r w:rsidR="002A690C">
        <w:t>ions</w:t>
      </w:r>
      <w:r>
        <w:t xml:space="preserve"> during </w:t>
      </w:r>
      <w:r w:rsidR="003D4E68">
        <w:t>2014/15</w:t>
      </w:r>
      <w:r w:rsidR="009F615A">
        <w:t xml:space="preserve"> attended by</w:t>
      </w:r>
      <w:r>
        <w:t xml:space="preserve"> doctors and medical practice per</w:t>
      </w:r>
      <w:r w:rsidR="009F615A">
        <w:t>sonnel</w:t>
      </w:r>
      <w:r>
        <w:t>.</w:t>
      </w:r>
    </w:p>
    <w:p w14:paraId="5EB6E216" w14:textId="424BC53C" w:rsidR="008F6008" w:rsidRDefault="00B87212" w:rsidP="00B77A6A">
      <w:pPr>
        <w:pStyle w:val="Heading2nonumber"/>
      </w:pPr>
      <w:bookmarkStart w:id="334" w:name="_Toc426617520"/>
      <w:bookmarkStart w:id="335" w:name="_Toc430091245"/>
      <w:r>
        <w:lastRenderedPageBreak/>
        <w:t>Approved Medical Specialist</w:t>
      </w:r>
      <w:r w:rsidR="005C4313">
        <w:t xml:space="preserve"> Peer Review</w:t>
      </w:r>
      <w:bookmarkEnd w:id="333"/>
      <w:bookmarkEnd w:id="334"/>
      <w:bookmarkEnd w:id="335"/>
    </w:p>
    <w:p w14:paraId="290C5AA8" w14:textId="7F3213DD" w:rsidR="003A0184" w:rsidRPr="003A0184" w:rsidRDefault="00EC508C" w:rsidP="003A0184">
      <w:r>
        <w:t xml:space="preserve">Each year </w:t>
      </w:r>
      <w:r w:rsidR="00C726B0">
        <w:t>WorkCover WA</w:t>
      </w:r>
      <w:r w:rsidR="003A0184" w:rsidRPr="003A0184">
        <w:t xml:space="preserve"> hosts </w:t>
      </w:r>
      <w:r w:rsidR="00B26741">
        <w:t>AMS</w:t>
      </w:r>
      <w:r w:rsidR="003A0184" w:rsidRPr="003A0184">
        <w:t xml:space="preserve"> Peer Review evenings in conjunction with the Australasian Faculty of Occupational and Environmental Medicine (AFOEM). The events aim to educate AMS and AFOEM members on permanent impairment issues, as identified through </w:t>
      </w:r>
      <w:r w:rsidR="00C726B0">
        <w:t>WorkCover WA</w:t>
      </w:r>
      <w:r w:rsidR="009F615A">
        <w:t>’s peer review; provide</w:t>
      </w:r>
      <w:r w:rsidR="003A0184" w:rsidRPr="003A0184">
        <w:t xml:space="preserve"> for informal discussions on rele</w:t>
      </w:r>
      <w:r w:rsidR="009F615A">
        <w:t xml:space="preserve">vant case studies; and offer </w:t>
      </w:r>
      <w:r w:rsidR="003A0184" w:rsidRPr="003A0184">
        <w:t>medical stakeholders an opportunity to network and liaise with relevant professionals.</w:t>
      </w:r>
    </w:p>
    <w:p w14:paraId="59FEB1C0" w14:textId="72C12906" w:rsidR="003A0184" w:rsidRDefault="00651BF8" w:rsidP="003A0184">
      <w:r>
        <w:t>In 2014/15</w:t>
      </w:r>
      <w:r w:rsidR="003A0184" w:rsidRPr="003A0184">
        <w:t xml:space="preserve"> the Agency held two AMS Peer Review evenings</w:t>
      </w:r>
      <w:r w:rsidR="001B0366">
        <w:t xml:space="preserve">, with a total of </w:t>
      </w:r>
      <w:r>
        <w:t>32</w:t>
      </w:r>
      <w:r w:rsidR="00D4406D">
        <w:t> </w:t>
      </w:r>
      <w:r w:rsidR="00DC5B02">
        <w:t>attendees.</w:t>
      </w:r>
    </w:p>
    <w:p w14:paraId="0854E37B" w14:textId="77777777" w:rsidR="00EC508C" w:rsidRPr="00EC508C" w:rsidRDefault="00EC508C" w:rsidP="00B77A6A">
      <w:pPr>
        <w:pStyle w:val="Heading2nonumber"/>
      </w:pPr>
      <w:bookmarkStart w:id="336" w:name="_Toc426617521"/>
      <w:bookmarkStart w:id="337" w:name="_Toc430091246"/>
      <w:r w:rsidRPr="00EC508C">
        <w:t>Franchise Council of Australia WA Breakfast</w:t>
      </w:r>
      <w:bookmarkEnd w:id="336"/>
      <w:bookmarkEnd w:id="337"/>
    </w:p>
    <w:p w14:paraId="1A9D8222" w14:textId="3DFDA898" w:rsidR="00EC508C" w:rsidRDefault="00EC508C" w:rsidP="00EC508C">
      <w:r w:rsidRPr="00EC508C">
        <w:t xml:space="preserve">Identifying a recent </w:t>
      </w:r>
      <w:r w:rsidR="00B70EC3">
        <w:t xml:space="preserve">number of prosecutions involving </w:t>
      </w:r>
      <w:r w:rsidRPr="00EC508C">
        <w:t xml:space="preserve">WA franchises, WorkCover WA delivered a presentation to franchise owners and industry affiliates at the Franchise Council of Australia WA Breakfast event in June. The presentation was aimed at raising awareness of employer obligations, namely with respect to workers’ compensation, and the risks of non-compliance for franchise </w:t>
      </w:r>
      <w:r w:rsidR="003E187E">
        <w:t>operators, franchisors and franchisee</w:t>
      </w:r>
      <w:r w:rsidRPr="00EC508C">
        <w:t>s</w:t>
      </w:r>
      <w:r w:rsidR="006E145A">
        <w:t>.</w:t>
      </w:r>
    </w:p>
    <w:p w14:paraId="1AF600F9" w14:textId="77777777" w:rsidR="005C4313" w:rsidRDefault="005C4313" w:rsidP="00B77A6A">
      <w:pPr>
        <w:pStyle w:val="Heading2nonumber"/>
      </w:pPr>
      <w:bookmarkStart w:id="338" w:name="_Toc399316987"/>
      <w:bookmarkStart w:id="339" w:name="_Toc426617522"/>
      <w:bookmarkStart w:id="340" w:name="_Toc430091247"/>
      <w:r>
        <w:t>Presentations on request</w:t>
      </w:r>
      <w:bookmarkEnd w:id="338"/>
      <w:bookmarkEnd w:id="339"/>
      <w:bookmarkEnd w:id="340"/>
    </w:p>
    <w:p w14:paraId="6A900B59" w14:textId="0A225CC7" w:rsidR="003014A3" w:rsidRPr="001C7190" w:rsidRDefault="00C726B0" w:rsidP="003A0184">
      <w:r w:rsidRPr="001C7190">
        <w:t>WorkCover WA</w:t>
      </w:r>
      <w:r w:rsidR="003A0184" w:rsidRPr="001C7190">
        <w:t xml:space="preserve"> delivers a range of tailored external presentations to </w:t>
      </w:r>
      <w:r w:rsidR="003014A3" w:rsidRPr="001C7190">
        <w:t>employers and health providers upon request.</w:t>
      </w:r>
    </w:p>
    <w:p w14:paraId="1B821B0F" w14:textId="4801F517" w:rsidR="003A4DBE" w:rsidRDefault="003014A3" w:rsidP="003A0184">
      <w:r w:rsidRPr="001C7190">
        <w:t>During 2014/15</w:t>
      </w:r>
      <w:r w:rsidR="003A0184" w:rsidRPr="001C7190">
        <w:t xml:space="preserve"> the Agency delivered </w:t>
      </w:r>
      <w:r w:rsidR="001C7190" w:rsidRPr="001C7190">
        <w:t xml:space="preserve">seven external </w:t>
      </w:r>
      <w:r w:rsidRPr="001C7190">
        <w:t xml:space="preserve">presentations </w:t>
      </w:r>
      <w:r w:rsidR="001C7190" w:rsidRPr="001C7190">
        <w:t>to stakeholders including small business owners, universities, mining companies</w:t>
      </w:r>
      <w:r w:rsidR="00AD674D">
        <w:t xml:space="preserve"> and union representatives.</w:t>
      </w:r>
    </w:p>
    <w:p w14:paraId="0E244601" w14:textId="77777777" w:rsidR="003A4DBE" w:rsidRDefault="003A4DBE">
      <w:pPr>
        <w:keepLines w:val="0"/>
        <w:spacing w:after="0" w:line="240" w:lineRule="auto"/>
      </w:pPr>
      <w:r>
        <w:br w:type="page"/>
      </w:r>
    </w:p>
    <w:p w14:paraId="135B09B4" w14:textId="77777777" w:rsidR="0018416D" w:rsidRDefault="0018416D" w:rsidP="00302712">
      <w:pPr>
        <w:pStyle w:val="Heading2nonumber"/>
      </w:pPr>
      <w:bookmarkStart w:id="341" w:name="_Toc399316988"/>
      <w:bookmarkStart w:id="342" w:name="_Toc426617523"/>
      <w:bookmarkStart w:id="343" w:name="_Toc430091248"/>
      <w:r>
        <w:lastRenderedPageBreak/>
        <w:t>Consultation and engagement with stakeholders</w:t>
      </w:r>
      <w:bookmarkEnd w:id="341"/>
      <w:bookmarkEnd w:id="342"/>
      <w:bookmarkEnd w:id="343"/>
      <w:r>
        <w:t xml:space="preserve"> </w:t>
      </w:r>
    </w:p>
    <w:p w14:paraId="26900B58" w14:textId="77777777" w:rsidR="007A1470" w:rsidRDefault="007A1470" w:rsidP="00B77A6A">
      <w:pPr>
        <w:pStyle w:val="Heading3nonumber"/>
      </w:pPr>
      <w:bookmarkStart w:id="344" w:name="_Toc426617524"/>
      <w:bookmarkStart w:id="345" w:name="_Toc430091249"/>
      <w:bookmarkStart w:id="346" w:name="_Toc399316989"/>
      <w:r>
        <w:t>CASE STUDY</w:t>
      </w:r>
      <w:r w:rsidR="00763533">
        <w:t xml:space="preserve"> 2</w:t>
      </w:r>
      <w:r>
        <w:t>: Development of a Biennial Conference</w:t>
      </w:r>
      <w:bookmarkEnd w:id="344"/>
      <w:bookmarkEnd w:id="345"/>
    </w:p>
    <w:p w14:paraId="215F202E" w14:textId="645E8BFB" w:rsidR="007A56A4" w:rsidRPr="00A70266" w:rsidRDefault="00C726B0" w:rsidP="007A56A4">
      <w:pPr>
        <w:rPr>
          <w:rFonts w:cs="Arial"/>
        </w:rPr>
      </w:pPr>
      <w:r>
        <w:rPr>
          <w:rFonts w:cs="Arial"/>
        </w:rPr>
        <w:t>WorkCover WA</w:t>
      </w:r>
      <w:r w:rsidR="007A56A4">
        <w:rPr>
          <w:rFonts w:cs="Arial"/>
        </w:rPr>
        <w:t xml:space="preserve"> successfully delivered its </w:t>
      </w:r>
      <w:r w:rsidR="007A56A4" w:rsidRPr="00A70266">
        <w:rPr>
          <w:rFonts w:cs="Arial"/>
        </w:rPr>
        <w:t xml:space="preserve">inaugural biennial Injury Management Conference </w:t>
      </w:r>
      <w:r w:rsidR="00A315DF">
        <w:rPr>
          <w:rFonts w:cs="Arial"/>
        </w:rPr>
        <w:t>on 5 and 6</w:t>
      </w:r>
      <w:r w:rsidR="007A56A4" w:rsidRPr="00A70266">
        <w:rPr>
          <w:rFonts w:cs="Arial"/>
        </w:rPr>
        <w:t xml:space="preserve"> May 2015</w:t>
      </w:r>
      <w:r w:rsidR="00A315DF">
        <w:rPr>
          <w:rFonts w:cs="Arial"/>
        </w:rPr>
        <w:t xml:space="preserve"> at Crown Perth</w:t>
      </w:r>
      <w:r w:rsidR="007A56A4" w:rsidRPr="00A70266">
        <w:rPr>
          <w:rFonts w:cs="Arial"/>
        </w:rPr>
        <w:t>.</w:t>
      </w:r>
    </w:p>
    <w:p w14:paraId="2BCCB02D" w14:textId="66871376" w:rsidR="007A56A4" w:rsidRPr="00A70266" w:rsidRDefault="00A315DF" w:rsidP="007A56A4">
      <w:pPr>
        <w:rPr>
          <w:rFonts w:cs="Arial"/>
        </w:rPr>
      </w:pPr>
      <w:r>
        <w:rPr>
          <w:rFonts w:cs="Arial"/>
        </w:rPr>
        <w:t>T</w:t>
      </w:r>
      <w:r w:rsidR="009D0EBD">
        <w:rPr>
          <w:rFonts w:cs="Arial"/>
        </w:rPr>
        <w:t>he Western Australian</w:t>
      </w:r>
      <w:r w:rsidR="007A56A4" w:rsidRPr="00A70266">
        <w:rPr>
          <w:rFonts w:cs="Arial"/>
        </w:rPr>
        <w:t xml:space="preserve"> workers’ compensation and injury management community including employers, injury management consultants, insurers and he</w:t>
      </w:r>
      <w:r>
        <w:rPr>
          <w:rFonts w:cs="Arial"/>
        </w:rPr>
        <w:t>alth providers came together to</w:t>
      </w:r>
      <w:r w:rsidR="007A56A4" w:rsidRPr="00A70266">
        <w:rPr>
          <w:rFonts w:cs="Arial"/>
        </w:rPr>
        <w:t xml:space="preserve"> discuss the challenges and opportunities facing injury management today.</w:t>
      </w:r>
    </w:p>
    <w:p w14:paraId="6692A0CC" w14:textId="4535EE87" w:rsidR="00A315DF" w:rsidRDefault="00A315DF" w:rsidP="007A56A4">
      <w:pPr>
        <w:rPr>
          <w:rFonts w:cs="Arial"/>
        </w:rPr>
      </w:pPr>
      <w:r>
        <w:rPr>
          <w:rFonts w:cs="Arial"/>
        </w:rPr>
        <w:t xml:space="preserve">Over the two days </w:t>
      </w:r>
      <w:r w:rsidRPr="00A70266">
        <w:rPr>
          <w:rFonts w:cs="Arial"/>
        </w:rPr>
        <w:t>35</w:t>
      </w:r>
      <w:r w:rsidR="00B06DFD">
        <w:rPr>
          <w:rFonts w:cs="Arial"/>
        </w:rPr>
        <w:t>1</w:t>
      </w:r>
      <w:r w:rsidRPr="00A70266">
        <w:rPr>
          <w:rFonts w:cs="Arial"/>
        </w:rPr>
        <w:t xml:space="preserve"> delegates attended the Conference</w:t>
      </w:r>
      <w:r>
        <w:rPr>
          <w:rFonts w:cs="Arial"/>
        </w:rPr>
        <w:t xml:space="preserve"> to view </w:t>
      </w:r>
      <w:r w:rsidRPr="00A70266">
        <w:rPr>
          <w:rFonts w:cs="Arial"/>
        </w:rPr>
        <w:t>13 exhibitions on display and listen to 34 presentations by Australia’s leading minds and experts.</w:t>
      </w:r>
    </w:p>
    <w:p w14:paraId="668F6E42" w14:textId="634DF151" w:rsidR="007A56A4" w:rsidRPr="00A70266" w:rsidRDefault="007A56A4" w:rsidP="007A56A4">
      <w:pPr>
        <w:rPr>
          <w:rFonts w:cs="Arial"/>
        </w:rPr>
      </w:pPr>
      <w:r w:rsidRPr="00A70266">
        <w:rPr>
          <w:rFonts w:cs="Arial"/>
        </w:rPr>
        <w:t xml:space="preserve">A Welcome Reception, supported by the Insurance Council of Australia (WA), was held on the evening of Tuesday 5 May and provided delegates </w:t>
      </w:r>
      <w:r w:rsidR="00587562">
        <w:rPr>
          <w:rFonts w:cs="Arial"/>
        </w:rPr>
        <w:t xml:space="preserve">with </w:t>
      </w:r>
      <w:r w:rsidRPr="00A70266">
        <w:rPr>
          <w:rFonts w:cs="Arial"/>
        </w:rPr>
        <w:t>an opportunity to circulate amongst the exhibits and discuss the day’s sessions and learnings.</w:t>
      </w:r>
    </w:p>
    <w:p w14:paraId="2785D7DC" w14:textId="7F985D96" w:rsidR="007A56A4" w:rsidRPr="00A70266" w:rsidRDefault="007A56A4" w:rsidP="007A56A4">
      <w:pPr>
        <w:rPr>
          <w:rFonts w:cs="Arial"/>
        </w:rPr>
      </w:pPr>
      <w:r w:rsidRPr="00A70266">
        <w:rPr>
          <w:rFonts w:cs="Arial"/>
        </w:rPr>
        <w:t>Highlights from the Injury Management Conference 2015 include</w:t>
      </w:r>
      <w:r w:rsidR="00C57EAF">
        <w:rPr>
          <w:rFonts w:cs="Arial"/>
        </w:rPr>
        <w:t>d</w:t>
      </w:r>
      <w:r w:rsidRPr="00A70266">
        <w:rPr>
          <w:rFonts w:cs="Arial"/>
        </w:rPr>
        <w:t>:</w:t>
      </w:r>
    </w:p>
    <w:p w14:paraId="54B6CC64" w14:textId="77777777" w:rsidR="007A56A4" w:rsidRPr="00A70266" w:rsidRDefault="007A56A4" w:rsidP="00A315DF">
      <w:pPr>
        <w:pStyle w:val="BulletListLevel1"/>
      </w:pPr>
      <w:r w:rsidRPr="00A70266">
        <w:t>Commissioner Wayne Gregson sharing his expertise on the importance of leadership in the Department of Fire and Emergency Service’s journey in managing sick and injured fire fighters.</w:t>
      </w:r>
    </w:p>
    <w:p w14:paraId="03CBFE62" w14:textId="77777777" w:rsidR="007A56A4" w:rsidRPr="00A70266" w:rsidRDefault="007A56A4" w:rsidP="00A315DF">
      <w:pPr>
        <w:pStyle w:val="BulletListLevel1"/>
      </w:pPr>
      <w:r w:rsidRPr="00A70266">
        <w:t>Global futurist and broadcaster, Dr Keith Suter, providing an interesting perspective on future workplace challenges and responses to workplace injury.</w:t>
      </w:r>
    </w:p>
    <w:p w14:paraId="43EAB837" w14:textId="7EDA5634" w:rsidR="007A56A4" w:rsidRPr="00A70266" w:rsidRDefault="007A56A4" w:rsidP="00A315DF">
      <w:pPr>
        <w:pStyle w:val="BulletListLevel1"/>
      </w:pPr>
      <w:r w:rsidRPr="00A70266">
        <w:t xml:space="preserve">Mental Health Commissioner Timothy Marney </w:t>
      </w:r>
      <w:r w:rsidR="00587562">
        <w:t>provid</w:t>
      </w:r>
      <w:r w:rsidRPr="00A70266">
        <w:t>ing his expertise on the important role the workplace plays for those suffering mental health issues, from prevention through to recovery.</w:t>
      </w:r>
    </w:p>
    <w:p w14:paraId="1EA9DBD1" w14:textId="08DD5D9B" w:rsidR="00C345F4" w:rsidRDefault="007A56A4" w:rsidP="00A315DF">
      <w:pPr>
        <w:pStyle w:val="BulletListLevel1"/>
      </w:pPr>
      <w:r w:rsidRPr="00A70266">
        <w:t xml:space="preserve">Paralympian Brad Ness </w:t>
      </w:r>
      <w:r w:rsidR="00127C5C">
        <w:t>relat</w:t>
      </w:r>
      <w:r w:rsidRPr="00A70266">
        <w:t>ing his personal return to work story after becoming a below the knee amputee following a workplace accident at the age of 18.</w:t>
      </w:r>
    </w:p>
    <w:p w14:paraId="22B89A4F" w14:textId="569A28D6" w:rsidR="007A56A4" w:rsidRDefault="007A56A4" w:rsidP="00A315DF">
      <w:pPr>
        <w:contextualSpacing/>
        <w:rPr>
          <w:rFonts w:cs="Arial"/>
        </w:rPr>
      </w:pPr>
      <w:r w:rsidRPr="00A70266">
        <w:rPr>
          <w:rFonts w:cs="Arial"/>
        </w:rPr>
        <w:t>An electronic evaluation survey was distribut</w:t>
      </w:r>
      <w:r w:rsidR="003E3099">
        <w:rPr>
          <w:rFonts w:cs="Arial"/>
        </w:rPr>
        <w:t xml:space="preserve">ed following the Conference. Results from the survey were extremely </w:t>
      </w:r>
      <w:r w:rsidRPr="00A70266">
        <w:rPr>
          <w:rFonts w:cs="Arial"/>
        </w:rPr>
        <w:t xml:space="preserve">positive with most respondents stating they would attend the next </w:t>
      </w:r>
      <w:r w:rsidR="00C726B0">
        <w:rPr>
          <w:rFonts w:cs="Arial"/>
        </w:rPr>
        <w:t>WorkCover WA</w:t>
      </w:r>
      <w:r w:rsidRPr="00A70266">
        <w:rPr>
          <w:rFonts w:cs="Arial"/>
        </w:rPr>
        <w:t xml:space="preserve"> Conference</w:t>
      </w:r>
      <w:r w:rsidR="003E3099">
        <w:rPr>
          <w:rFonts w:cs="Arial"/>
        </w:rPr>
        <w:t xml:space="preserve"> anticipated to be delivered </w:t>
      </w:r>
      <w:r w:rsidRPr="00A70266">
        <w:rPr>
          <w:rFonts w:cs="Arial"/>
        </w:rPr>
        <w:t>in two years’ time.</w:t>
      </w:r>
      <w:r w:rsidR="002F02E1">
        <w:rPr>
          <w:rFonts w:cs="Arial"/>
        </w:rPr>
        <w:t xml:space="preserve"> Below is a sample of some of the comments received from delegates when asked to provide feedback on their experience.</w:t>
      </w:r>
    </w:p>
    <w:p w14:paraId="38505378" w14:textId="77777777" w:rsidR="007603F0" w:rsidRDefault="007603F0" w:rsidP="00A315DF">
      <w:pPr>
        <w:contextualSpacing/>
        <w:rPr>
          <w:rFonts w:cs="Arial"/>
        </w:rPr>
      </w:pPr>
    </w:p>
    <w:p w14:paraId="529B008D" w14:textId="1F7109E6" w:rsidR="00612B40" w:rsidRDefault="00612B40" w:rsidP="00B77A6A">
      <w:pPr>
        <w:pStyle w:val="Heading3nonumber"/>
      </w:pPr>
      <w:bookmarkStart w:id="347" w:name="_Toc426617525"/>
      <w:bookmarkStart w:id="348" w:name="_Toc430091250"/>
      <w:r>
        <w:lastRenderedPageBreak/>
        <w:t>Delegate feedback</w:t>
      </w:r>
      <w:bookmarkEnd w:id="347"/>
      <w:bookmarkEnd w:id="348"/>
    </w:p>
    <w:tbl>
      <w:tblPr>
        <w:tblW w:w="8931" w:type="dxa"/>
        <w:tblInd w:w="113"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2268"/>
        <w:gridCol w:w="6663"/>
      </w:tblGrid>
      <w:tr w:rsidR="0034574C" w:rsidRPr="00BD7CE2" w14:paraId="1E8B482C" w14:textId="6FBABA3C" w:rsidTr="00E22526">
        <w:trPr>
          <w:trHeight w:val="1217"/>
        </w:trPr>
        <w:tc>
          <w:tcPr>
            <w:tcW w:w="2268" w:type="dxa"/>
            <w:shd w:val="clear" w:color="auto" w:fill="D4E2E0" w:themeFill="accent5"/>
            <w:tcMar>
              <w:top w:w="113" w:type="dxa"/>
              <w:left w:w="113" w:type="dxa"/>
              <w:bottom w:w="113" w:type="dxa"/>
              <w:right w:w="113" w:type="dxa"/>
            </w:tcMar>
            <w:vAlign w:val="center"/>
          </w:tcPr>
          <w:p w14:paraId="757EDA58" w14:textId="6B8A4006" w:rsidR="0034574C" w:rsidRPr="00163284" w:rsidRDefault="00821463" w:rsidP="0034574C">
            <w:r w:rsidRPr="00163284">
              <w:t>Feedback 1</w:t>
            </w:r>
          </w:p>
        </w:tc>
        <w:tc>
          <w:tcPr>
            <w:tcW w:w="6663" w:type="dxa"/>
            <w:shd w:val="clear" w:color="auto" w:fill="auto"/>
            <w:vAlign w:val="center"/>
          </w:tcPr>
          <w:p w14:paraId="69878E0D" w14:textId="3F7AD86C" w:rsidR="0034574C" w:rsidRDefault="0034574C" w:rsidP="00E22526">
            <w:r w:rsidRPr="00385C93">
              <w:t>“Thank you for hosting the Conference. I have had a lot of positive feedback around the office and during external meetings. It has really been a boost to the industry. Excellent opportunity to connect people together and share experiences and expertise.”</w:t>
            </w:r>
          </w:p>
        </w:tc>
      </w:tr>
      <w:tr w:rsidR="0034574C" w:rsidRPr="00BD7CE2" w14:paraId="556BD019" w14:textId="1061651D" w:rsidTr="00E22526">
        <w:trPr>
          <w:trHeight w:val="731"/>
        </w:trPr>
        <w:tc>
          <w:tcPr>
            <w:tcW w:w="2268" w:type="dxa"/>
            <w:shd w:val="clear" w:color="auto" w:fill="D4E2E0" w:themeFill="accent5"/>
            <w:tcMar>
              <w:top w:w="113" w:type="dxa"/>
              <w:left w:w="113" w:type="dxa"/>
              <w:bottom w:w="113" w:type="dxa"/>
              <w:right w:w="113" w:type="dxa"/>
            </w:tcMar>
          </w:tcPr>
          <w:p w14:paraId="5A21955C" w14:textId="31C70950" w:rsidR="0034574C" w:rsidRPr="00163284" w:rsidRDefault="00821463" w:rsidP="0034574C">
            <w:r w:rsidRPr="00163284">
              <w:t>Feedback 2</w:t>
            </w:r>
          </w:p>
        </w:tc>
        <w:tc>
          <w:tcPr>
            <w:tcW w:w="6663" w:type="dxa"/>
            <w:shd w:val="clear" w:color="auto" w:fill="auto"/>
            <w:vAlign w:val="center"/>
          </w:tcPr>
          <w:p w14:paraId="0370BB97" w14:textId="66CD81E5" w:rsidR="0034574C" w:rsidRDefault="0034574C" w:rsidP="00E22526">
            <w:r w:rsidRPr="00385C93">
              <w:t>“Well organised and inspiring. A great opportunity to connect with others in the industry.”</w:t>
            </w:r>
          </w:p>
        </w:tc>
      </w:tr>
      <w:tr w:rsidR="0034574C" w:rsidRPr="00BD7CE2" w14:paraId="22EEE8F3" w14:textId="16D95039" w:rsidTr="00E22526">
        <w:trPr>
          <w:trHeight w:val="60"/>
        </w:trPr>
        <w:tc>
          <w:tcPr>
            <w:tcW w:w="2268" w:type="dxa"/>
            <w:shd w:val="clear" w:color="auto" w:fill="D4E2E0" w:themeFill="accent5"/>
            <w:tcMar>
              <w:top w:w="113" w:type="dxa"/>
              <w:left w:w="113" w:type="dxa"/>
              <w:bottom w:w="113" w:type="dxa"/>
              <w:right w:w="113" w:type="dxa"/>
            </w:tcMar>
          </w:tcPr>
          <w:p w14:paraId="43C97734" w14:textId="4378157C" w:rsidR="0034574C" w:rsidRPr="00163284" w:rsidRDefault="00163284" w:rsidP="0034574C">
            <w:r w:rsidRPr="00163284">
              <w:t>Feedback 3</w:t>
            </w:r>
          </w:p>
        </w:tc>
        <w:tc>
          <w:tcPr>
            <w:tcW w:w="6663" w:type="dxa"/>
            <w:shd w:val="clear" w:color="auto" w:fill="auto"/>
            <w:vAlign w:val="center"/>
          </w:tcPr>
          <w:p w14:paraId="29E74F4F" w14:textId="74FD2626" w:rsidR="0034574C" w:rsidRDefault="0034574C" w:rsidP="00E22526">
            <w:r w:rsidRPr="00385C93">
              <w:t>“This was a high quality event done very well. It was a valuable professional development event.”</w:t>
            </w:r>
          </w:p>
        </w:tc>
      </w:tr>
    </w:tbl>
    <w:p w14:paraId="1EBD4CC8" w14:textId="77777777" w:rsidR="00E76B0E" w:rsidRDefault="00E76B0E" w:rsidP="00A315DF">
      <w:pPr>
        <w:contextualSpacing/>
        <w:rPr>
          <w:rFonts w:cs="Arial"/>
        </w:rPr>
      </w:pPr>
    </w:p>
    <w:p w14:paraId="502CF542" w14:textId="5248A7D0" w:rsidR="003E3099" w:rsidRPr="00905257" w:rsidRDefault="00905257" w:rsidP="00A315DF">
      <w:pPr>
        <w:contextualSpacing/>
        <w:rPr>
          <w:rFonts w:cs="Arial"/>
        </w:rPr>
      </w:pPr>
      <w:r>
        <w:rPr>
          <w:rFonts w:cs="Arial"/>
        </w:rPr>
        <w:t>The table below</w:t>
      </w:r>
      <w:r w:rsidR="003E3099" w:rsidRPr="00905257">
        <w:rPr>
          <w:rFonts w:cs="Arial"/>
        </w:rPr>
        <w:t xml:space="preserve"> represents delegate satisfaction with key Conference items:</w:t>
      </w:r>
    </w:p>
    <w:p w14:paraId="4D11DE5B" w14:textId="77777777" w:rsidR="00F960D5" w:rsidRDefault="00F960D5" w:rsidP="00A315DF">
      <w:pPr>
        <w:contextualSpacing/>
        <w:rPr>
          <w:rFonts w:cs="Arial"/>
        </w:rPr>
      </w:pPr>
    </w:p>
    <w:tbl>
      <w:tblPr>
        <w:tblStyle w:val="TableGrid1"/>
        <w:tblW w:w="0" w:type="auto"/>
        <w:tblInd w:w="108"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28 Delegate satisfcation with key Conference items"/>
        <w:tblDescription w:val="Table 28 lists delegate satisfcation with the Injury Management Conference"/>
      </w:tblPr>
      <w:tblGrid>
        <w:gridCol w:w="2280"/>
        <w:gridCol w:w="6628"/>
      </w:tblGrid>
      <w:tr w:rsidR="00F960D5" w:rsidRPr="00544634" w14:paraId="1A19A365" w14:textId="77777777" w:rsidTr="009F55C4">
        <w:trPr>
          <w:tblHeader/>
        </w:trPr>
        <w:tc>
          <w:tcPr>
            <w:tcW w:w="8908" w:type="dxa"/>
            <w:gridSpan w:val="2"/>
            <w:shd w:val="clear" w:color="auto" w:fill="2D4541" w:themeFill="accent2"/>
          </w:tcPr>
          <w:p w14:paraId="012240B9" w14:textId="33910518" w:rsidR="00F960D5" w:rsidRPr="00544634" w:rsidRDefault="00F960D5" w:rsidP="00CA235B">
            <w:pPr>
              <w:rPr>
                <w:rStyle w:val="Strong"/>
                <w:color w:val="FFFFFF" w:themeColor="background1"/>
              </w:rPr>
            </w:pPr>
            <w:r w:rsidRPr="00544634">
              <w:rPr>
                <w:rStyle w:val="Strong"/>
                <w:color w:val="FFFFFF" w:themeColor="background1"/>
              </w:rPr>
              <w:t xml:space="preserve">Table </w:t>
            </w:r>
            <w:r w:rsidR="009E75E3">
              <w:rPr>
                <w:rStyle w:val="Strong"/>
                <w:color w:val="FFFFFF" w:themeColor="background1"/>
              </w:rPr>
              <w:t>28</w:t>
            </w:r>
            <w:r w:rsidRPr="00544634">
              <w:rPr>
                <w:rStyle w:val="Strong"/>
                <w:color w:val="FFFFFF" w:themeColor="background1"/>
              </w:rPr>
              <w:t xml:space="preserve">: </w:t>
            </w:r>
            <w:r>
              <w:rPr>
                <w:rStyle w:val="Strong"/>
                <w:color w:val="FFFFFF" w:themeColor="background1"/>
              </w:rPr>
              <w:t>D</w:t>
            </w:r>
            <w:r w:rsidRPr="00F960D5">
              <w:rPr>
                <w:rStyle w:val="Strong"/>
                <w:color w:val="FFFFFF" w:themeColor="background1"/>
              </w:rPr>
              <w:t>elegate satisfaction with key Conference items</w:t>
            </w:r>
          </w:p>
        </w:tc>
      </w:tr>
      <w:tr w:rsidR="002E097A" w:rsidRPr="00884996" w14:paraId="21EE4676" w14:textId="77777777" w:rsidTr="009F55C4">
        <w:tc>
          <w:tcPr>
            <w:tcW w:w="2280" w:type="dxa"/>
            <w:shd w:val="clear" w:color="auto" w:fill="D4E2E0" w:themeFill="accent5"/>
            <w:vAlign w:val="center"/>
          </w:tcPr>
          <w:p w14:paraId="59DF371F" w14:textId="13CCE41F" w:rsidR="002E097A" w:rsidRPr="00441572" w:rsidRDefault="002E097A" w:rsidP="00697009">
            <w:pPr>
              <w:rPr>
                <w:rStyle w:val="Strong"/>
              </w:rPr>
            </w:pPr>
            <w:r w:rsidRPr="00441572">
              <w:rPr>
                <w:rStyle w:val="Strong"/>
              </w:rPr>
              <w:t>Program and Topics</w:t>
            </w:r>
          </w:p>
        </w:tc>
        <w:tc>
          <w:tcPr>
            <w:tcW w:w="6628" w:type="dxa"/>
            <w:shd w:val="clear" w:color="auto" w:fill="auto"/>
            <w:vAlign w:val="center"/>
          </w:tcPr>
          <w:p w14:paraId="09DDED89" w14:textId="2122EE39" w:rsidR="002E097A" w:rsidRPr="002E097A" w:rsidRDefault="002E097A" w:rsidP="000D4218">
            <w:pPr>
              <w:rPr>
                <w:lang w:val="en-GB"/>
              </w:rPr>
            </w:pPr>
            <w:r w:rsidRPr="002E097A">
              <w:rPr>
                <w:lang w:val="en-GB"/>
              </w:rPr>
              <w:t>8</w:t>
            </w:r>
            <w:r w:rsidR="000D4218">
              <w:rPr>
                <w:lang w:val="en-GB"/>
              </w:rPr>
              <w:t>2</w:t>
            </w:r>
            <w:r w:rsidRPr="002E097A">
              <w:rPr>
                <w:lang w:val="en-GB"/>
              </w:rPr>
              <w:t xml:space="preserve">% of survey respondents rated the Conference program </w:t>
            </w:r>
            <w:r>
              <w:rPr>
                <w:lang w:val="en-GB"/>
              </w:rPr>
              <w:t>as very good to excellent.</w:t>
            </w:r>
          </w:p>
        </w:tc>
      </w:tr>
      <w:tr w:rsidR="002E097A" w:rsidRPr="00884996" w14:paraId="25544B48" w14:textId="77777777" w:rsidTr="009F55C4">
        <w:tc>
          <w:tcPr>
            <w:tcW w:w="2280" w:type="dxa"/>
            <w:shd w:val="clear" w:color="auto" w:fill="D4E2E0" w:themeFill="accent5"/>
            <w:vAlign w:val="center"/>
          </w:tcPr>
          <w:p w14:paraId="7AB74307" w14:textId="159353A1" w:rsidR="002E097A" w:rsidRPr="00441572" w:rsidRDefault="002E097A" w:rsidP="00697009">
            <w:pPr>
              <w:suppressAutoHyphens/>
              <w:autoSpaceDE w:val="0"/>
              <w:autoSpaceDN w:val="0"/>
              <w:adjustRightInd w:val="0"/>
              <w:spacing w:after="0" w:line="288" w:lineRule="auto"/>
              <w:textAlignment w:val="center"/>
              <w:rPr>
                <w:rStyle w:val="Strong"/>
              </w:rPr>
            </w:pPr>
            <w:r w:rsidRPr="00441572">
              <w:rPr>
                <w:rStyle w:val="Strong"/>
              </w:rPr>
              <w:t>Quality of the speakers</w:t>
            </w:r>
          </w:p>
        </w:tc>
        <w:tc>
          <w:tcPr>
            <w:tcW w:w="6628" w:type="dxa"/>
            <w:shd w:val="clear" w:color="auto" w:fill="auto"/>
            <w:vAlign w:val="center"/>
          </w:tcPr>
          <w:p w14:paraId="06311DE3" w14:textId="0F2126C5" w:rsidR="002E097A" w:rsidRPr="002E097A" w:rsidRDefault="002E097A" w:rsidP="002E097A">
            <w:r w:rsidRPr="002E097A">
              <w:t>86% of survey respondents rated the quality of the Conference speakers as very good to excellent</w:t>
            </w:r>
            <w:r>
              <w:t>.</w:t>
            </w:r>
          </w:p>
        </w:tc>
      </w:tr>
      <w:tr w:rsidR="002E097A" w:rsidRPr="00884996" w14:paraId="1CC3BE81" w14:textId="77777777" w:rsidTr="009F55C4">
        <w:tc>
          <w:tcPr>
            <w:tcW w:w="2280" w:type="dxa"/>
            <w:shd w:val="clear" w:color="auto" w:fill="D4E2E0" w:themeFill="accent5"/>
            <w:vAlign w:val="center"/>
          </w:tcPr>
          <w:p w14:paraId="5227B248" w14:textId="10A6C99B" w:rsidR="002E097A" w:rsidRPr="00441572" w:rsidRDefault="002E097A" w:rsidP="00697009">
            <w:pPr>
              <w:suppressAutoHyphens/>
              <w:autoSpaceDE w:val="0"/>
              <w:autoSpaceDN w:val="0"/>
              <w:adjustRightInd w:val="0"/>
              <w:spacing w:after="0" w:line="288" w:lineRule="auto"/>
              <w:textAlignment w:val="center"/>
              <w:rPr>
                <w:rStyle w:val="Strong"/>
              </w:rPr>
            </w:pPr>
            <w:r w:rsidRPr="00441572">
              <w:rPr>
                <w:rStyle w:val="Strong"/>
              </w:rPr>
              <w:t>Venue</w:t>
            </w:r>
          </w:p>
        </w:tc>
        <w:tc>
          <w:tcPr>
            <w:tcW w:w="6628" w:type="dxa"/>
            <w:shd w:val="clear" w:color="auto" w:fill="auto"/>
            <w:vAlign w:val="center"/>
          </w:tcPr>
          <w:p w14:paraId="2759028E" w14:textId="1AFDA149" w:rsidR="002E097A" w:rsidRPr="002E097A" w:rsidRDefault="002E097A" w:rsidP="002E097A">
            <w:r w:rsidRPr="002E097A">
              <w:t xml:space="preserve">95% of survey respondents </w:t>
            </w:r>
            <w:r>
              <w:t>rated the Conference venue, Crown Perth, as very good to excellent.</w:t>
            </w:r>
          </w:p>
        </w:tc>
      </w:tr>
      <w:tr w:rsidR="002E097A" w:rsidRPr="00884996" w14:paraId="302DEF61" w14:textId="77777777" w:rsidTr="009F55C4">
        <w:tc>
          <w:tcPr>
            <w:tcW w:w="2280" w:type="dxa"/>
            <w:shd w:val="clear" w:color="auto" w:fill="D4E2E0" w:themeFill="accent5"/>
            <w:vAlign w:val="center"/>
          </w:tcPr>
          <w:p w14:paraId="0F6888C7" w14:textId="27BB3832" w:rsidR="002E097A" w:rsidRPr="00441572" w:rsidRDefault="002E097A" w:rsidP="00697009">
            <w:pPr>
              <w:suppressAutoHyphens/>
              <w:autoSpaceDE w:val="0"/>
              <w:autoSpaceDN w:val="0"/>
              <w:adjustRightInd w:val="0"/>
              <w:spacing w:after="0" w:line="288" w:lineRule="auto"/>
              <w:textAlignment w:val="center"/>
              <w:rPr>
                <w:rStyle w:val="Strong"/>
              </w:rPr>
            </w:pPr>
            <w:r w:rsidRPr="00441572">
              <w:rPr>
                <w:rStyle w:val="Strong"/>
              </w:rPr>
              <w:t>Registration process and communication with conference organisers</w:t>
            </w:r>
          </w:p>
        </w:tc>
        <w:tc>
          <w:tcPr>
            <w:tcW w:w="6628" w:type="dxa"/>
            <w:vAlign w:val="center"/>
          </w:tcPr>
          <w:p w14:paraId="7A0F188E" w14:textId="19F0A29A" w:rsidR="002E097A" w:rsidRPr="005650B2" w:rsidRDefault="002E097A" w:rsidP="002E097A">
            <w:pPr>
              <w:rPr>
                <w:highlight w:val="yellow"/>
              </w:rPr>
            </w:pPr>
            <w:r w:rsidRPr="002E097A">
              <w:t>95% of survey respondents rated the registration process and communication with Conference organisers as very good to excellent.</w:t>
            </w:r>
          </w:p>
        </w:tc>
      </w:tr>
      <w:tr w:rsidR="000D4218" w:rsidRPr="00884996" w14:paraId="144612FB" w14:textId="77777777" w:rsidTr="009F55C4">
        <w:tc>
          <w:tcPr>
            <w:tcW w:w="2280" w:type="dxa"/>
            <w:shd w:val="clear" w:color="auto" w:fill="D4E2E0" w:themeFill="accent5"/>
            <w:vAlign w:val="center"/>
          </w:tcPr>
          <w:p w14:paraId="333285B3" w14:textId="12F702DB" w:rsidR="000D4218" w:rsidRPr="00441572" w:rsidRDefault="000D4218" w:rsidP="00697009">
            <w:pPr>
              <w:suppressAutoHyphens/>
              <w:autoSpaceDE w:val="0"/>
              <w:autoSpaceDN w:val="0"/>
              <w:adjustRightInd w:val="0"/>
              <w:spacing w:after="0" w:line="288" w:lineRule="auto"/>
              <w:textAlignment w:val="center"/>
              <w:rPr>
                <w:rStyle w:val="Strong"/>
              </w:rPr>
            </w:pPr>
            <w:r>
              <w:rPr>
                <w:rStyle w:val="Strong"/>
              </w:rPr>
              <w:t xml:space="preserve">Overall satisfaction </w:t>
            </w:r>
          </w:p>
        </w:tc>
        <w:tc>
          <w:tcPr>
            <w:tcW w:w="6628" w:type="dxa"/>
            <w:vAlign w:val="center"/>
          </w:tcPr>
          <w:p w14:paraId="343FF27A" w14:textId="6954FE94" w:rsidR="000D4218" w:rsidRPr="002E097A" w:rsidRDefault="000D4218" w:rsidP="002E097A">
            <w:r>
              <w:t xml:space="preserve">97% of survey respondents stated they would attend the next conference based on their experience at the 2015 Injury Management Conference. </w:t>
            </w:r>
          </w:p>
        </w:tc>
      </w:tr>
    </w:tbl>
    <w:p w14:paraId="750A64AF" w14:textId="6A7EE15F" w:rsidR="008F591B" w:rsidRPr="00E22526" w:rsidRDefault="008F591B" w:rsidP="00E22526">
      <w:pPr>
        <w:tabs>
          <w:tab w:val="left" w:pos="1215"/>
        </w:tabs>
        <w:contextualSpacing/>
        <w:rPr>
          <w:rFonts w:cs="Arial"/>
          <w:b/>
        </w:rPr>
      </w:pPr>
    </w:p>
    <w:p w14:paraId="4E8A0045" w14:textId="77777777" w:rsidR="008C7FC0" w:rsidRDefault="00307CD6" w:rsidP="002564D6">
      <w:pPr>
        <w:pStyle w:val="Heading3nonumber"/>
      </w:pPr>
      <w:bookmarkStart w:id="349" w:name="_Toc399316992"/>
      <w:bookmarkStart w:id="350" w:name="_Toc426617526"/>
      <w:bookmarkStart w:id="351" w:name="_Toc430091251"/>
      <w:bookmarkEnd w:id="346"/>
      <w:r>
        <w:lastRenderedPageBreak/>
        <w:t>2014</w:t>
      </w:r>
      <w:r w:rsidR="008C7FC0">
        <w:t xml:space="preserve"> </w:t>
      </w:r>
      <w:bookmarkEnd w:id="349"/>
      <w:r>
        <w:t>Stakeholder Event</w:t>
      </w:r>
      <w:bookmarkEnd w:id="350"/>
      <w:bookmarkEnd w:id="351"/>
    </w:p>
    <w:p w14:paraId="1F392D9C" w14:textId="2B556DE1" w:rsidR="00B72BAA" w:rsidRPr="00B72BAA" w:rsidRDefault="00C726B0" w:rsidP="00B72BAA">
      <w:pPr>
        <w:rPr>
          <w:rFonts w:ascii="Verdana" w:hAnsi="Verdana"/>
          <w:lang w:eastAsia="en-AU"/>
        </w:rPr>
      </w:pPr>
      <w:r>
        <w:t>WorkCover WA</w:t>
      </w:r>
      <w:r w:rsidR="00B72BAA" w:rsidRPr="00B72BAA">
        <w:t xml:space="preserve"> held its annual stakeholder </w:t>
      </w:r>
      <w:r w:rsidR="00307CD6">
        <w:t>networking event in October 2014</w:t>
      </w:r>
      <w:r w:rsidR="00B72BAA" w:rsidRPr="00B72BAA">
        <w:t xml:space="preserve"> and the central theme was the launch of the </w:t>
      </w:r>
      <w:r w:rsidR="00307CD6">
        <w:rPr>
          <w:rStyle w:val="Emphasis"/>
          <w:i w:val="0"/>
        </w:rPr>
        <w:t>2015 Injury Management Conference</w:t>
      </w:r>
      <w:r w:rsidR="00B72BAA" w:rsidRPr="00B72BAA">
        <w:rPr>
          <w:rStyle w:val="Emphasis"/>
        </w:rPr>
        <w:t>.</w:t>
      </w:r>
      <w:r w:rsidR="00B72BAA" w:rsidRPr="00B72BAA">
        <w:t xml:space="preserve"> </w:t>
      </w:r>
    </w:p>
    <w:p w14:paraId="6F978BA4" w14:textId="452022B0" w:rsidR="00B72BAA" w:rsidRDefault="00B72BAA" w:rsidP="00B72BAA">
      <w:r w:rsidRPr="00B72BAA">
        <w:t>A</w:t>
      </w:r>
      <w:r w:rsidR="00DC5B02">
        <w:t>n</w:t>
      </w:r>
      <w:r w:rsidRPr="00B72BAA">
        <w:t xml:space="preserve"> address was delivered by th</w:t>
      </w:r>
      <w:r w:rsidR="00776FF9">
        <w:t>e Honourable Michael Mischin MLC</w:t>
      </w:r>
      <w:r w:rsidRPr="00B72BAA">
        <w:t xml:space="preserve">, Minister </w:t>
      </w:r>
      <w:r w:rsidR="00776FF9">
        <w:t>for</w:t>
      </w:r>
      <w:r w:rsidRPr="00B72BAA">
        <w:t xml:space="preserve"> Commerce</w:t>
      </w:r>
      <w:r w:rsidR="00776FF9">
        <w:t>. The</w:t>
      </w:r>
      <w:r w:rsidRPr="00B72BAA">
        <w:t xml:space="preserve"> event provided </w:t>
      </w:r>
      <w:r w:rsidR="00C726B0">
        <w:t>WorkCover WA</w:t>
      </w:r>
      <w:r w:rsidRPr="00B72BAA">
        <w:t xml:space="preserve"> </w:t>
      </w:r>
      <w:r w:rsidR="00D75432">
        <w:t xml:space="preserve">with </w:t>
      </w:r>
      <w:r w:rsidRPr="00B72BAA">
        <w:t>an opportunity to engage with key stakeholders, and</w:t>
      </w:r>
      <w:r w:rsidR="00AD674D">
        <w:t xml:space="preserve"> to provide an</w:t>
      </w:r>
      <w:r w:rsidRPr="00B72BAA">
        <w:t xml:space="preserve"> </w:t>
      </w:r>
      <w:r w:rsidR="00971DDB">
        <w:t>update on current developments across the scheme.</w:t>
      </w:r>
    </w:p>
    <w:p w14:paraId="6B266F93" w14:textId="21EC7274" w:rsidR="006B7073" w:rsidRDefault="006B7073" w:rsidP="006E4434">
      <w:pPr>
        <w:pStyle w:val="Heading1nonumber"/>
      </w:pPr>
      <w:bookmarkStart w:id="352" w:name="_Toc399316994"/>
      <w:bookmarkStart w:id="353" w:name="_Toc426617528"/>
      <w:bookmarkStart w:id="354" w:name="_Toc430091252"/>
      <w:r>
        <w:t>Collaboration</w:t>
      </w:r>
      <w:bookmarkEnd w:id="352"/>
      <w:bookmarkEnd w:id="353"/>
      <w:bookmarkEnd w:id="354"/>
    </w:p>
    <w:p w14:paraId="3C934733" w14:textId="77777777" w:rsidR="00F15420" w:rsidRDefault="00F15420" w:rsidP="00F15420">
      <w:r w:rsidRPr="00F15420">
        <w:t xml:space="preserve">The Agency is involved in a number of collaborative initiatives contributing to the effective management of the workers’ compensation and injury management scheme, and aimed at ensuring stakeholders are educated and informed about their rights and responsibilities under the </w:t>
      </w:r>
      <w:r w:rsidR="004D0569" w:rsidRPr="004D0569">
        <w:t>Act.</w:t>
      </w:r>
    </w:p>
    <w:p w14:paraId="03704C32" w14:textId="74342AD2" w:rsidR="00D24893" w:rsidRPr="00D24893" w:rsidRDefault="00D24893" w:rsidP="00D4406D">
      <w:pPr>
        <w:pStyle w:val="Heading2nonumber"/>
      </w:pPr>
      <w:bookmarkStart w:id="355" w:name="_Toc430091253"/>
      <w:r w:rsidRPr="00D24893">
        <w:t>International</w:t>
      </w:r>
      <w:r>
        <w:t xml:space="preserve"> collaboration</w:t>
      </w:r>
      <w:bookmarkEnd w:id="355"/>
    </w:p>
    <w:p w14:paraId="791F3F79" w14:textId="77777777" w:rsidR="00945A3E" w:rsidRDefault="00945A3E" w:rsidP="00D4406D">
      <w:pPr>
        <w:pStyle w:val="Heading3nonumber"/>
      </w:pPr>
      <w:bookmarkStart w:id="356" w:name="_Toc426617529"/>
      <w:bookmarkStart w:id="357" w:name="_Toc430091254"/>
      <w:r>
        <w:t>Singapore’s Ministry of Manpower</w:t>
      </w:r>
      <w:bookmarkEnd w:id="356"/>
      <w:bookmarkEnd w:id="357"/>
    </w:p>
    <w:p w14:paraId="0D08D1E6" w14:textId="506EBB0A" w:rsidR="002B79AC" w:rsidRDefault="00A263C9" w:rsidP="00945A3E">
      <w:r w:rsidRPr="00A263C9">
        <w:t xml:space="preserve">In April </w:t>
      </w:r>
      <w:r>
        <w:t>201</w:t>
      </w:r>
      <w:r w:rsidR="001106B3">
        <w:t>5</w:t>
      </w:r>
      <w:r>
        <w:t xml:space="preserve"> </w:t>
      </w:r>
      <w:r w:rsidR="00C726B0">
        <w:t>WorkCover WA</w:t>
      </w:r>
      <w:r>
        <w:t xml:space="preserve"> hosted a delegation from Singapore’s Ministry of Manpower to provide an overview of the Western Australian workers’ compensation and injury management scheme. The Ministry of Manpower provided insights into their own workers’ compensation arrangements</w:t>
      </w:r>
      <w:r w:rsidR="00FC54BD">
        <w:t>. The visit offered perspectives into international arrangements and provided learnings for both parties.</w:t>
      </w:r>
    </w:p>
    <w:p w14:paraId="782C08B2" w14:textId="1BC00769" w:rsidR="00D24893" w:rsidRPr="00D24893" w:rsidRDefault="00D24893" w:rsidP="00D4406D">
      <w:pPr>
        <w:pStyle w:val="Heading2nonumber"/>
      </w:pPr>
      <w:bookmarkStart w:id="358" w:name="_Toc430091255"/>
      <w:r w:rsidRPr="00D24893">
        <w:t>National collaboration</w:t>
      </w:r>
      <w:bookmarkEnd w:id="358"/>
    </w:p>
    <w:p w14:paraId="041A0B84" w14:textId="77777777" w:rsidR="0086154B" w:rsidRDefault="0086154B" w:rsidP="00D4406D">
      <w:pPr>
        <w:pStyle w:val="Heading3nonumber"/>
      </w:pPr>
      <w:bookmarkStart w:id="359" w:name="_Toc426617530"/>
      <w:bookmarkStart w:id="360" w:name="_Toc430091256"/>
      <w:r>
        <w:t>Strategic Issues Group – Workers’ Compensation</w:t>
      </w:r>
      <w:bookmarkEnd w:id="359"/>
      <w:bookmarkEnd w:id="360"/>
    </w:p>
    <w:p w14:paraId="76387555" w14:textId="5682A1FE" w:rsidR="0086154B" w:rsidRDefault="0086154B" w:rsidP="0086154B">
      <w:r>
        <w:t xml:space="preserve">WorkCover WA’s Chief Executive Officer is represented on the </w:t>
      </w:r>
      <w:r w:rsidR="00F47042">
        <w:t xml:space="preserve">SafeWork Australia </w:t>
      </w:r>
      <w:r>
        <w:t xml:space="preserve">Strategic Issues Group – Workers’ Compensation. This is a forum for workers’ compensation authorities and social partners to discuss national policy issues and progress proposals to improve workers’ compensation arrangements across Australia. </w:t>
      </w:r>
    </w:p>
    <w:p w14:paraId="6EFA286D" w14:textId="77777777" w:rsidR="0086154B" w:rsidRDefault="0086154B" w:rsidP="0086154B">
      <w:r>
        <w:t xml:space="preserve">Some of the key activities progressed in 2014/15 by the Strategic Issues Group include: </w:t>
      </w:r>
    </w:p>
    <w:p w14:paraId="0DEDC2D4" w14:textId="77777777" w:rsidR="0086154B" w:rsidRDefault="0086154B" w:rsidP="0086154B">
      <w:pPr>
        <w:pStyle w:val="BulletListLevel1"/>
      </w:pPr>
      <w:r>
        <w:t>work to implement nationally consistent arrangements for the assessment of permanent impairment</w:t>
      </w:r>
    </w:p>
    <w:p w14:paraId="755801C6" w14:textId="77777777" w:rsidR="0086154B" w:rsidRDefault="0086154B" w:rsidP="0086154B">
      <w:pPr>
        <w:pStyle w:val="BulletListLevel1"/>
      </w:pPr>
      <w:r>
        <w:lastRenderedPageBreak/>
        <w:t>development of an up-to-date list of ‘deemed diseases’ that are considered work-related</w:t>
      </w:r>
    </w:p>
    <w:p w14:paraId="23994BB5" w14:textId="58F49D60" w:rsidR="0086154B" w:rsidRPr="00A263C9" w:rsidRDefault="0086154B" w:rsidP="00945A3E">
      <w:pPr>
        <w:pStyle w:val="BulletListLevel1"/>
      </w:pPr>
      <w:r>
        <w:t xml:space="preserve">publication of the </w:t>
      </w:r>
      <w:r w:rsidRPr="00A6673A">
        <w:rPr>
          <w:i/>
        </w:rPr>
        <w:t xml:space="preserve">Comparison of </w:t>
      </w:r>
      <w:r w:rsidR="00D24893" w:rsidRPr="00A6673A">
        <w:rPr>
          <w:i/>
        </w:rPr>
        <w:t>Workers’ Compensation Report</w:t>
      </w:r>
      <w:r w:rsidR="00D24893">
        <w:t>.</w:t>
      </w:r>
    </w:p>
    <w:p w14:paraId="35C1CD84" w14:textId="77777777" w:rsidR="006B7073" w:rsidRDefault="006B7073" w:rsidP="00D4406D">
      <w:pPr>
        <w:pStyle w:val="Heading3nonumber"/>
      </w:pPr>
      <w:bookmarkStart w:id="361" w:name="_Toc399316996"/>
      <w:bookmarkStart w:id="362" w:name="_Toc426617531"/>
      <w:bookmarkStart w:id="363" w:name="_Toc430091257"/>
      <w:r w:rsidRPr="008E5709">
        <w:t>Australian Business Register</w:t>
      </w:r>
      <w:bookmarkEnd w:id="361"/>
      <w:bookmarkEnd w:id="362"/>
      <w:bookmarkEnd w:id="363"/>
    </w:p>
    <w:p w14:paraId="66F609C8" w14:textId="101EE3A8" w:rsidR="008E5709" w:rsidRDefault="00C726B0" w:rsidP="008E5709">
      <w:r>
        <w:t>WorkCover WA</w:t>
      </w:r>
      <w:r w:rsidR="008E5709">
        <w:t xml:space="preserve"> </w:t>
      </w:r>
      <w:r w:rsidR="00A6673A">
        <w:t>collaborates with the Australian Business Register</w:t>
      </w:r>
      <w:r w:rsidR="008E5709" w:rsidRPr="003B29C0">
        <w:t xml:space="preserve"> </w:t>
      </w:r>
      <w:r w:rsidR="008E5709">
        <w:t xml:space="preserve">in relation to new business entities that have registered for GST and/or have a turnover of greater than $75,000 – both of which indicate an intention to employ. This information is then matched against </w:t>
      </w:r>
      <w:r>
        <w:t>WorkCover WA</w:t>
      </w:r>
      <w:r w:rsidR="008E5709">
        <w:t xml:space="preserve"> data, providing the Agency with a source of intelligence regarding employers who may not be appropriately covered by a policy of insurance. This program continues to work well ensuring new business owners are</w:t>
      </w:r>
      <w:r w:rsidR="00DC5B02">
        <w:t xml:space="preserve"> informed of their obligations.</w:t>
      </w:r>
    </w:p>
    <w:p w14:paraId="3DFF65EE" w14:textId="7CDFA289" w:rsidR="006D00B3" w:rsidRDefault="006D00B3" w:rsidP="007D395C">
      <w:bookmarkStart w:id="364" w:name="_Toc399316997"/>
      <w:r w:rsidRPr="006D00B3">
        <w:t>In 2014/15 the data matching program identified 3</w:t>
      </w:r>
      <w:r w:rsidR="00D75432">
        <w:t>,</w:t>
      </w:r>
      <w:r w:rsidRPr="006D00B3">
        <w:t xml:space="preserve">592 new business entities, which met the criteria indicating the potential employment of workers after start up. WorkCover WA wrote to each of these businesses to inform them of their obligations to obtain appropriate cover with insurance for workers’ compensation. 624 of these businesses were identified for further follow up by WorkCover WA’s Regulatory Services Division to verify </w:t>
      </w:r>
      <w:r w:rsidR="00AD674D">
        <w:t>their obligations had been met.</w:t>
      </w:r>
    </w:p>
    <w:p w14:paraId="2176BC54" w14:textId="77777777" w:rsidR="0086154B" w:rsidRPr="0086154B" w:rsidRDefault="0086154B" w:rsidP="00D4406D">
      <w:pPr>
        <w:pStyle w:val="Heading3nonumber"/>
      </w:pPr>
      <w:bookmarkStart w:id="365" w:name="_Toc399316998"/>
      <w:bookmarkStart w:id="366" w:name="_Toc426617532"/>
      <w:bookmarkStart w:id="367" w:name="_Toc430091258"/>
      <w:r w:rsidRPr="0086154B">
        <w:t>Personal Injury Education Foundation</w:t>
      </w:r>
      <w:bookmarkEnd w:id="365"/>
      <w:bookmarkEnd w:id="366"/>
      <w:bookmarkEnd w:id="367"/>
    </w:p>
    <w:p w14:paraId="4A8D2B10" w14:textId="6AA7DBA1" w:rsidR="0086154B" w:rsidRPr="0086154B" w:rsidRDefault="0086154B" w:rsidP="0086154B">
      <w:r w:rsidRPr="0086154B">
        <w:t xml:space="preserve">WorkCover WA is a member of the Personal Injury Education Foundation (PIEF, </w:t>
      </w:r>
      <w:hyperlink r:id="rId27" w:history="1">
        <w:r w:rsidRPr="0086154B">
          <w:rPr>
            <w:color w:val="0000FF" w:themeColor="hyperlink"/>
            <w:u w:val="single"/>
          </w:rPr>
          <w:t>www.pief.com.au</w:t>
        </w:r>
      </w:hyperlink>
      <w:r w:rsidRPr="0086154B">
        <w:t xml:space="preserve">) and continued to support programs developed by PIEF, including return to work and case management training for people working within the personal injury industry (such as case managers and employer representatives). </w:t>
      </w:r>
    </w:p>
    <w:p w14:paraId="316E90D4" w14:textId="79B6D0F4" w:rsidR="00D24893" w:rsidRDefault="00D24893" w:rsidP="00D4406D">
      <w:pPr>
        <w:pStyle w:val="Heading2nonumber"/>
      </w:pPr>
      <w:bookmarkStart w:id="368" w:name="_Toc430091259"/>
      <w:bookmarkStart w:id="369" w:name="_Toc399316995"/>
      <w:r>
        <w:t>State collaboration</w:t>
      </w:r>
      <w:bookmarkEnd w:id="368"/>
      <w:r>
        <w:t xml:space="preserve"> </w:t>
      </w:r>
    </w:p>
    <w:p w14:paraId="6B300F8A" w14:textId="77777777" w:rsidR="0086154B" w:rsidRPr="0086154B" w:rsidRDefault="0086154B" w:rsidP="00D4406D">
      <w:pPr>
        <w:pStyle w:val="Heading3nonumber"/>
      </w:pPr>
      <w:bookmarkStart w:id="370" w:name="_Toc426617533"/>
      <w:bookmarkStart w:id="371" w:name="_Toc430091260"/>
      <w:r w:rsidRPr="0086154B">
        <w:t>Public Sector Safety and Injury Management Steering Committee</w:t>
      </w:r>
      <w:bookmarkEnd w:id="369"/>
      <w:bookmarkEnd w:id="370"/>
      <w:bookmarkEnd w:id="371"/>
    </w:p>
    <w:p w14:paraId="60B0406D" w14:textId="4AAE8D4E" w:rsidR="0086154B" w:rsidRPr="0086154B" w:rsidRDefault="0086154B" w:rsidP="0086154B">
      <w:r w:rsidRPr="0086154B">
        <w:t xml:space="preserve">WorkCover WA is a member of the Public Sector Safety and Injury Management Steering Committee, which consists of representatives from WorkSafe and </w:t>
      </w:r>
      <w:r w:rsidR="001B411A">
        <w:t xml:space="preserve">the </w:t>
      </w:r>
      <w:r w:rsidRPr="0086154B">
        <w:t>Office of the Director General divisions, RiskCover, Public Sector Commission and UnionsWA.</w:t>
      </w:r>
    </w:p>
    <w:p w14:paraId="1A48E2AB" w14:textId="09F61E9A" w:rsidR="006B7073" w:rsidRPr="00DD689C" w:rsidRDefault="006B7073" w:rsidP="00D4406D">
      <w:pPr>
        <w:pStyle w:val="Heading3nonumber"/>
      </w:pPr>
      <w:bookmarkStart w:id="372" w:name="_Toc426617534"/>
      <w:bookmarkStart w:id="373" w:name="_Toc430091261"/>
      <w:r w:rsidRPr="00DD689C">
        <w:lastRenderedPageBreak/>
        <w:t>Industrial Foundation for Accident Prevention</w:t>
      </w:r>
      <w:bookmarkEnd w:id="364"/>
      <w:bookmarkEnd w:id="372"/>
      <w:bookmarkEnd w:id="373"/>
    </w:p>
    <w:p w14:paraId="792C832C" w14:textId="6F2663AE" w:rsidR="008E5709" w:rsidRPr="00355E9A" w:rsidRDefault="00C726B0" w:rsidP="008E5709">
      <w:r>
        <w:t>WorkCover WA</w:t>
      </w:r>
      <w:r w:rsidR="008E5709">
        <w:t>’s cooperative partnership with the not-for-profit Industrial Foundation for Accident Prevention (IFAP) continued in 201</w:t>
      </w:r>
      <w:r w:rsidR="00D61958">
        <w:t>4</w:t>
      </w:r>
      <w:r w:rsidR="008E5709">
        <w:t>/1</w:t>
      </w:r>
      <w:r w:rsidR="00D61958">
        <w:t>5</w:t>
      </w:r>
      <w:r w:rsidR="008E5709">
        <w:t xml:space="preserve"> with the provision of free information sessions to injured workers. IFAP is a registered training organisation providing education and information to injured workers about the workers’ </w:t>
      </w:r>
      <w:r w:rsidR="008E5709" w:rsidRPr="00355E9A">
        <w:t>compensation, injury management and return to work process.</w:t>
      </w:r>
    </w:p>
    <w:p w14:paraId="3BB13302" w14:textId="128538ED" w:rsidR="008E5709" w:rsidRDefault="008E5709" w:rsidP="008E5709">
      <w:r w:rsidRPr="00355E9A">
        <w:t xml:space="preserve">In </w:t>
      </w:r>
      <w:r w:rsidR="00694FF5" w:rsidRPr="00DE7FA0">
        <w:t>2014/15</w:t>
      </w:r>
      <w:r w:rsidRPr="00DE7FA0">
        <w:t>, 1</w:t>
      </w:r>
      <w:r w:rsidR="00DE7FA0" w:rsidRPr="00DE7FA0">
        <w:t>1</w:t>
      </w:r>
      <w:r w:rsidR="00355E9A" w:rsidRPr="00DE7FA0">
        <w:t xml:space="preserve"> </w:t>
      </w:r>
      <w:r w:rsidRPr="00DE7FA0">
        <w:t xml:space="preserve">free IFAP seminars were delivered to a total of </w:t>
      </w:r>
      <w:r w:rsidR="00355E9A" w:rsidRPr="00DE7FA0">
        <w:t>11</w:t>
      </w:r>
      <w:r w:rsidR="00DE7FA0" w:rsidRPr="00DE7FA0">
        <w:t>0</w:t>
      </w:r>
      <w:r w:rsidRPr="00DE7FA0">
        <w:t xml:space="preserve"> injured workers. </w:t>
      </w:r>
      <w:r w:rsidR="00DE7FA0" w:rsidRPr="00DE7FA0">
        <w:t>One seminar</w:t>
      </w:r>
      <w:r w:rsidRPr="00DE7FA0">
        <w:t xml:space="preserve"> w</w:t>
      </w:r>
      <w:r w:rsidR="00DE7FA0" w:rsidRPr="00DE7FA0">
        <w:t>as</w:t>
      </w:r>
      <w:r w:rsidRPr="00DE7FA0">
        <w:t xml:space="preserve"> delivered in regional Western Australia (</w:t>
      </w:r>
      <w:r w:rsidR="00DE7FA0" w:rsidRPr="00DE7FA0">
        <w:t>Karratha).</w:t>
      </w:r>
    </w:p>
    <w:p w14:paraId="035A1122" w14:textId="77777777" w:rsidR="00CE40C4" w:rsidRPr="008D0A0E" w:rsidRDefault="00CE40C4" w:rsidP="00CE40C4">
      <w:pPr>
        <w:pStyle w:val="Heading3nonumber"/>
      </w:pPr>
      <w:bookmarkStart w:id="374" w:name="_Toc399316990"/>
      <w:bookmarkStart w:id="375" w:name="_Toc426617527"/>
      <w:bookmarkStart w:id="376" w:name="_Toc430091262"/>
      <w:r w:rsidRPr="008D0A0E">
        <w:t>Commission for Occupational Safety and Health</w:t>
      </w:r>
      <w:bookmarkEnd w:id="374"/>
      <w:bookmarkEnd w:id="375"/>
      <w:bookmarkEnd w:id="376"/>
    </w:p>
    <w:p w14:paraId="733DB816" w14:textId="27BD1DEB" w:rsidR="00CE40C4" w:rsidRPr="00355E9A" w:rsidRDefault="00CE40C4" w:rsidP="008E5709">
      <w:r>
        <w:t>The WorkCover WA</w:t>
      </w:r>
      <w:r w:rsidRPr="00B72BAA">
        <w:t xml:space="preserve"> </w:t>
      </w:r>
      <w:r>
        <w:t>Chief Executive Officer attends the</w:t>
      </w:r>
      <w:r w:rsidRPr="00B72BAA">
        <w:t xml:space="preserve"> Commission for Occupational Safety and Health meetings as an observer. The Commission consists of representatives of employers, employees, government and people with expertise and knowledge in occupational safety and health matters. </w:t>
      </w:r>
      <w:r>
        <w:t>WorkCover WA</w:t>
      </w:r>
      <w:r w:rsidRPr="00B72BAA">
        <w:t xml:space="preserve"> provides ongoing support of the Commission’s objectives in the form of statistical data about work-related injury and</w:t>
      </w:r>
      <w:r>
        <w:t xml:space="preserve"> disease.</w:t>
      </w:r>
    </w:p>
    <w:p w14:paraId="1F54AFAE" w14:textId="0AE6B685" w:rsidR="00553209" w:rsidRPr="00DD689C" w:rsidRDefault="006F2F0B" w:rsidP="00DD689C">
      <w:pPr>
        <w:pStyle w:val="Heading1nonumber"/>
      </w:pPr>
      <w:bookmarkStart w:id="377" w:name="_Toc399317001"/>
      <w:bookmarkStart w:id="378" w:name="_Toc426617535"/>
      <w:bookmarkStart w:id="379" w:name="_Toc430091263"/>
      <w:r w:rsidRPr="00DD689C">
        <w:t>Report against 2014/15</w:t>
      </w:r>
      <w:r w:rsidR="00553209" w:rsidRPr="00DD689C">
        <w:t xml:space="preserve"> Strategic </w:t>
      </w:r>
      <w:r w:rsidR="00197619" w:rsidRPr="00DD689C">
        <w:t>Initiatives</w:t>
      </w:r>
      <w:bookmarkEnd w:id="377"/>
      <w:bookmarkEnd w:id="378"/>
      <w:bookmarkEnd w:id="379"/>
      <w:r w:rsidR="00DD689C" w:rsidRPr="00DD689C">
        <w:tab/>
      </w:r>
    </w:p>
    <w:p w14:paraId="0EE45CE9" w14:textId="2CB3B331" w:rsidR="006F2F0B" w:rsidRDefault="008B37E7" w:rsidP="008B37E7">
      <w:pPr>
        <w:rPr>
          <w:rFonts w:eastAsiaTheme="majorEastAsia"/>
        </w:rPr>
      </w:pPr>
      <w:r>
        <w:rPr>
          <w:rFonts w:eastAsiaTheme="majorEastAsia"/>
        </w:rPr>
        <w:t>In 201</w:t>
      </w:r>
      <w:r w:rsidR="007A0032">
        <w:rPr>
          <w:rFonts w:eastAsiaTheme="majorEastAsia"/>
        </w:rPr>
        <w:t>4</w:t>
      </w:r>
      <w:r>
        <w:rPr>
          <w:rFonts w:eastAsiaTheme="majorEastAsia"/>
        </w:rPr>
        <w:t>/1</w:t>
      </w:r>
      <w:r w:rsidR="007A0032">
        <w:rPr>
          <w:rFonts w:eastAsiaTheme="majorEastAsia"/>
        </w:rPr>
        <w:t>5</w:t>
      </w:r>
      <w:r>
        <w:rPr>
          <w:rFonts w:eastAsiaTheme="majorEastAsia"/>
        </w:rPr>
        <w:t xml:space="preserve"> </w:t>
      </w:r>
      <w:r w:rsidR="00C726B0">
        <w:rPr>
          <w:rFonts w:eastAsiaTheme="majorEastAsia"/>
        </w:rPr>
        <w:t>WorkCover WA</w:t>
      </w:r>
      <w:r w:rsidRPr="00197619">
        <w:rPr>
          <w:rFonts w:eastAsiaTheme="majorEastAsia"/>
        </w:rPr>
        <w:t xml:space="preserve"> committed resources towards the achievement of </w:t>
      </w:r>
      <w:r w:rsidR="00AD674D">
        <w:rPr>
          <w:rFonts w:eastAsiaTheme="majorEastAsia"/>
        </w:rPr>
        <w:t xml:space="preserve">a number of </w:t>
      </w:r>
      <w:r>
        <w:rPr>
          <w:rFonts w:eastAsiaTheme="majorEastAsia"/>
        </w:rPr>
        <w:t>S</w:t>
      </w:r>
      <w:r w:rsidRPr="00197619">
        <w:rPr>
          <w:rFonts w:eastAsiaTheme="majorEastAsia"/>
        </w:rPr>
        <w:t xml:space="preserve">trategic </w:t>
      </w:r>
      <w:r>
        <w:rPr>
          <w:rFonts w:eastAsiaTheme="majorEastAsia"/>
        </w:rPr>
        <w:t>Initiatives</w:t>
      </w:r>
      <w:r w:rsidRPr="00197619">
        <w:rPr>
          <w:rFonts w:eastAsiaTheme="majorEastAsia"/>
        </w:rPr>
        <w:t xml:space="preserve"> aligned with the </w:t>
      </w:r>
      <w:r w:rsidRPr="00D4406D">
        <w:rPr>
          <w:rFonts w:eastAsiaTheme="majorEastAsia"/>
          <w:i/>
        </w:rPr>
        <w:t>Strat</w:t>
      </w:r>
      <w:r w:rsidR="006F2F0B" w:rsidRPr="00D4406D">
        <w:rPr>
          <w:rFonts w:eastAsiaTheme="majorEastAsia"/>
          <w:i/>
        </w:rPr>
        <w:t>egic Plan 2012–2015</w:t>
      </w:r>
      <w:r w:rsidR="006F2F0B">
        <w:rPr>
          <w:rFonts w:eastAsiaTheme="majorEastAsia"/>
        </w:rPr>
        <w:t>.</w:t>
      </w:r>
    </w:p>
    <w:p w14:paraId="69CD210C" w14:textId="7E0863D7" w:rsidR="008B37E7" w:rsidRDefault="008B37E7" w:rsidP="008B37E7">
      <w:pPr>
        <w:rPr>
          <w:rFonts w:eastAsiaTheme="majorEastAsia"/>
        </w:rPr>
      </w:pPr>
      <w:r w:rsidRPr="00197619">
        <w:rPr>
          <w:rFonts w:eastAsiaTheme="majorEastAsia"/>
        </w:rPr>
        <w:t>The Agen</w:t>
      </w:r>
      <w:r>
        <w:rPr>
          <w:rFonts w:eastAsiaTheme="majorEastAsia"/>
        </w:rPr>
        <w:t xml:space="preserve">cy’s performance against these initiatives </w:t>
      </w:r>
      <w:r w:rsidR="00740A56">
        <w:rPr>
          <w:rFonts w:eastAsiaTheme="majorEastAsia"/>
        </w:rPr>
        <w:t>in the final year of the Strategic Plan</w:t>
      </w:r>
      <w:r>
        <w:rPr>
          <w:rFonts w:eastAsiaTheme="majorEastAsia"/>
        </w:rPr>
        <w:t xml:space="preserve"> </w:t>
      </w:r>
      <w:r w:rsidRPr="00197619">
        <w:rPr>
          <w:rFonts w:eastAsiaTheme="majorEastAsia"/>
        </w:rPr>
        <w:t>is detailed in the following section. As per the Agency’s Performance Management Framework, the following projects relate to State Government objectives embedded within</w:t>
      </w:r>
      <w:r w:rsidR="00740A56">
        <w:rPr>
          <w:rFonts w:eastAsiaTheme="majorEastAsia"/>
        </w:rPr>
        <w:t xml:space="preserve"> </w:t>
      </w:r>
      <w:r w:rsidR="001B411A" w:rsidRPr="001B411A">
        <w:rPr>
          <w:rFonts w:eastAsiaTheme="majorEastAsia"/>
          <w:b/>
        </w:rPr>
        <w:t xml:space="preserve">Government </w:t>
      </w:r>
      <w:r w:rsidRPr="001B411A">
        <w:rPr>
          <w:rStyle w:val="Strong"/>
          <w:rFonts w:eastAsiaTheme="majorEastAsia"/>
        </w:rPr>
        <w:t>Goal</w:t>
      </w:r>
      <w:r w:rsidRPr="00A16D38">
        <w:rPr>
          <w:rStyle w:val="Strong"/>
          <w:rFonts w:eastAsiaTheme="majorEastAsia"/>
        </w:rPr>
        <w:t xml:space="preserve"> 3: </w:t>
      </w:r>
      <w:r>
        <w:rPr>
          <w:rStyle w:val="Strong"/>
          <w:rFonts w:eastAsiaTheme="majorEastAsia"/>
        </w:rPr>
        <w:t>‘</w:t>
      </w:r>
      <w:r w:rsidRPr="00A16D38">
        <w:rPr>
          <w:rStyle w:val="Strong"/>
          <w:rFonts w:eastAsiaTheme="majorEastAsia"/>
        </w:rPr>
        <w:t>Results-Based Service Delivery</w:t>
      </w:r>
      <w:r w:rsidRPr="00B0122D">
        <w:rPr>
          <w:rStyle w:val="Strong"/>
          <w:rFonts w:eastAsiaTheme="majorEastAsia"/>
        </w:rPr>
        <w:t>’</w:t>
      </w:r>
      <w:r w:rsidRPr="00197619">
        <w:rPr>
          <w:rFonts w:eastAsiaTheme="majorEastAsia"/>
        </w:rPr>
        <w:t xml:space="preserve"> and the achievement of </w:t>
      </w:r>
      <w:r w:rsidR="00C726B0">
        <w:rPr>
          <w:rFonts w:eastAsiaTheme="majorEastAsia"/>
        </w:rPr>
        <w:t>WorkCover WA</w:t>
      </w:r>
      <w:r w:rsidRPr="00197619">
        <w:rPr>
          <w:rFonts w:eastAsiaTheme="majorEastAsia"/>
        </w:rPr>
        <w:t xml:space="preserve">’s Agency Desired Outcome as outlined on </w:t>
      </w:r>
      <w:r w:rsidR="00E35122" w:rsidRPr="00B7346C">
        <w:rPr>
          <w:rFonts w:eastAsiaTheme="majorEastAsia"/>
        </w:rPr>
        <w:t xml:space="preserve">page </w:t>
      </w:r>
      <w:r w:rsidR="00B7346C" w:rsidRPr="00B7346C">
        <w:rPr>
          <w:rFonts w:eastAsiaTheme="majorEastAsia"/>
        </w:rPr>
        <w:t>52</w:t>
      </w:r>
      <w:r w:rsidRPr="00B7346C">
        <w:rPr>
          <w:rFonts w:eastAsiaTheme="majorEastAsia"/>
        </w:rPr>
        <w:t xml:space="preserve"> </w:t>
      </w:r>
      <w:r w:rsidRPr="00ED4A6C">
        <w:rPr>
          <w:rFonts w:eastAsiaTheme="majorEastAsia"/>
        </w:rPr>
        <w:t>of this</w:t>
      </w:r>
      <w:r w:rsidRPr="00197619">
        <w:rPr>
          <w:rFonts w:eastAsiaTheme="majorEastAsia"/>
        </w:rPr>
        <w:t xml:space="preserve"> report.</w:t>
      </w:r>
    </w:p>
    <w:p w14:paraId="2377E3C8" w14:textId="77777777" w:rsidR="00E22526" w:rsidRDefault="00E22526">
      <w:pPr>
        <w:keepLines w:val="0"/>
        <w:spacing w:after="0" w:line="240" w:lineRule="auto"/>
        <w:rPr>
          <w:rFonts w:eastAsiaTheme="majorEastAsia" w:cs="Arial"/>
          <w:b/>
          <w:bCs/>
          <w:iCs/>
          <w:color w:val="205352"/>
          <w:sz w:val="30"/>
          <w:szCs w:val="30"/>
        </w:rPr>
      </w:pPr>
      <w:bookmarkStart w:id="380" w:name="_Toc399317002"/>
      <w:bookmarkStart w:id="381" w:name="_Toc426617536"/>
      <w:r>
        <w:br w:type="page"/>
      </w:r>
    </w:p>
    <w:p w14:paraId="7D79B15B" w14:textId="2098DD8B" w:rsidR="00940297" w:rsidRDefault="00940297" w:rsidP="006F2F0B">
      <w:pPr>
        <w:pStyle w:val="Heading2nonumber"/>
      </w:pPr>
      <w:bookmarkStart w:id="382" w:name="_Toc430091264"/>
      <w:r>
        <w:lastRenderedPageBreak/>
        <w:t xml:space="preserve">Initiative </w:t>
      </w:r>
      <w:r w:rsidR="0039566D">
        <w:t>1</w:t>
      </w:r>
      <w:r>
        <w:t xml:space="preserve">: Legislative Review </w:t>
      </w:r>
      <w:r w:rsidR="009A68A3">
        <w:t>Phase</w:t>
      </w:r>
      <w:r>
        <w:t xml:space="preserve"> 2</w:t>
      </w:r>
      <w:bookmarkEnd w:id="380"/>
      <w:bookmarkEnd w:id="381"/>
      <w:bookmarkEnd w:id="382"/>
    </w:p>
    <w:tbl>
      <w:tblPr>
        <w:tblW w:w="0" w:type="auto"/>
        <w:tblInd w:w="80"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2467"/>
        <w:gridCol w:w="6178"/>
      </w:tblGrid>
      <w:tr w:rsidR="000600E2" w:rsidRPr="00630BE0" w14:paraId="277059CB" w14:textId="77777777" w:rsidTr="00905257">
        <w:trPr>
          <w:trHeight w:val="60"/>
        </w:trPr>
        <w:tc>
          <w:tcPr>
            <w:tcW w:w="2467" w:type="dxa"/>
            <w:vMerge w:val="restart"/>
            <w:shd w:val="clear" w:color="auto" w:fill="86731E" w:themeFill="text1"/>
            <w:tcMar>
              <w:top w:w="113" w:type="dxa"/>
              <w:left w:w="80" w:type="dxa"/>
              <w:bottom w:w="113" w:type="dxa"/>
              <w:right w:w="80" w:type="dxa"/>
            </w:tcMar>
          </w:tcPr>
          <w:p w14:paraId="4095F4C2" w14:textId="77777777" w:rsidR="000600E2" w:rsidRPr="00630BE0" w:rsidRDefault="000600E2" w:rsidP="00C84CBA">
            <w:pPr>
              <w:rPr>
                <w:rStyle w:val="Strong"/>
              </w:rPr>
            </w:pPr>
            <w:r w:rsidRPr="008F6008">
              <w:rPr>
                <w:rStyle w:val="Strong"/>
              </w:rPr>
              <w:t xml:space="preserve">The following </w:t>
            </w:r>
            <w:r>
              <w:rPr>
                <w:rStyle w:val="Strong"/>
              </w:rPr>
              <w:t>initiative is aligned with</w:t>
            </w:r>
          </w:p>
        </w:tc>
        <w:tc>
          <w:tcPr>
            <w:tcW w:w="6178" w:type="dxa"/>
            <w:shd w:val="clear" w:color="auto" w:fill="86731E" w:themeFill="text1"/>
            <w:tcMar>
              <w:top w:w="113" w:type="dxa"/>
              <w:left w:w="80" w:type="dxa"/>
              <w:bottom w:w="113" w:type="dxa"/>
              <w:right w:w="80" w:type="dxa"/>
            </w:tcMar>
          </w:tcPr>
          <w:p w14:paraId="53DB8454" w14:textId="5E5FD16C" w:rsidR="000600E2" w:rsidRPr="00630BE0" w:rsidRDefault="00C726B0" w:rsidP="00C84CBA">
            <w:pPr>
              <w:rPr>
                <w:rStyle w:val="Strong"/>
              </w:rPr>
            </w:pPr>
            <w:r>
              <w:rPr>
                <w:rStyle w:val="Strong"/>
              </w:rPr>
              <w:t>WorkCover WA</w:t>
            </w:r>
            <w:r w:rsidR="000600E2" w:rsidRPr="008F6008">
              <w:rPr>
                <w:rStyle w:val="Strong"/>
              </w:rPr>
              <w:t xml:space="preserve"> Strategic Goal</w:t>
            </w:r>
          </w:p>
        </w:tc>
      </w:tr>
      <w:tr w:rsidR="000600E2" w:rsidRPr="005D768A" w14:paraId="13BF1CCA" w14:textId="77777777" w:rsidTr="00905257">
        <w:trPr>
          <w:trHeight w:val="825"/>
        </w:trPr>
        <w:tc>
          <w:tcPr>
            <w:tcW w:w="2467" w:type="dxa"/>
            <w:vMerge/>
          </w:tcPr>
          <w:p w14:paraId="1C317AF8" w14:textId="77777777" w:rsidR="000600E2" w:rsidRPr="005D768A" w:rsidRDefault="000600E2" w:rsidP="00C84CBA">
            <w:pPr>
              <w:rPr>
                <w:lang w:eastAsia="en-AU"/>
              </w:rPr>
            </w:pPr>
          </w:p>
        </w:tc>
        <w:tc>
          <w:tcPr>
            <w:tcW w:w="6178" w:type="dxa"/>
            <w:tcMar>
              <w:top w:w="113" w:type="dxa"/>
              <w:left w:w="80" w:type="dxa"/>
              <w:bottom w:w="113" w:type="dxa"/>
              <w:right w:w="80" w:type="dxa"/>
            </w:tcMar>
          </w:tcPr>
          <w:p w14:paraId="314734BE" w14:textId="7221FBA7" w:rsidR="00BC5825" w:rsidRPr="00BC5825" w:rsidRDefault="00BC5825" w:rsidP="00C84CBA">
            <w:pPr>
              <w:rPr>
                <w:b/>
                <w:bCs/>
              </w:rPr>
            </w:pPr>
            <w:r w:rsidRPr="00BC5825">
              <w:rPr>
                <w:rStyle w:val="Strong"/>
              </w:rPr>
              <w:t>1</w:t>
            </w:r>
            <w:r w:rsidR="00D75432">
              <w:rPr>
                <w:rStyle w:val="Strong"/>
              </w:rPr>
              <w:t xml:space="preserve"> – Strategic scheme management </w:t>
            </w:r>
            <w:r>
              <w:rPr>
                <w:rStyle w:val="Strong"/>
              </w:rPr>
              <w:br/>
            </w:r>
            <w:r w:rsidRPr="00BC5825">
              <w:rPr>
                <w:rStyle w:val="Strong"/>
              </w:rPr>
              <w:t>2 – Stakeholder confidence and engagement</w:t>
            </w:r>
          </w:p>
        </w:tc>
      </w:tr>
    </w:tbl>
    <w:p w14:paraId="25C03AF7" w14:textId="77777777" w:rsidR="004D28F5" w:rsidRDefault="004D28F5" w:rsidP="004D28F5"/>
    <w:p w14:paraId="5AA2D771" w14:textId="713D4D37" w:rsidR="00BB5133" w:rsidRDefault="00BB5133" w:rsidP="00BB5133">
      <w:r>
        <w:t xml:space="preserve">In 2014/15 </w:t>
      </w:r>
      <w:r w:rsidR="00C726B0">
        <w:t>WorkCover WA</w:t>
      </w:r>
      <w:r>
        <w:t xml:space="preserve"> continued the second phase of the review of the </w:t>
      </w:r>
      <w:r w:rsidR="001D494F" w:rsidRPr="001D494F">
        <w:t>Act</w:t>
      </w:r>
      <w:r>
        <w:t xml:space="preserve"> with the goal of achieving approval to draft a Bill for public consultation in 2015/16.</w:t>
      </w:r>
    </w:p>
    <w:p w14:paraId="3B8F9458" w14:textId="374350A8" w:rsidR="00BA78F2" w:rsidRDefault="00BA78F2" w:rsidP="00BA78F2">
      <w:r>
        <w:t xml:space="preserve">In October 2014 the WA Government approved the drafting of a bill to repeal and replace the </w:t>
      </w:r>
      <w:r w:rsidR="001D494F" w:rsidRPr="001D494F">
        <w:t>Act.</w:t>
      </w:r>
    </w:p>
    <w:p w14:paraId="0E3ACDE3" w14:textId="77777777" w:rsidR="00BA78F2" w:rsidRDefault="00BA78F2" w:rsidP="00BA78F2">
      <w:r>
        <w:t>The new bill will address:</w:t>
      </w:r>
    </w:p>
    <w:p w14:paraId="00F92FBF" w14:textId="603D6FBB" w:rsidR="00BA78F2" w:rsidRPr="00DD689C" w:rsidRDefault="00AD674D" w:rsidP="00DD689C">
      <w:pPr>
        <w:pStyle w:val="BulletListLevel1"/>
      </w:pPr>
      <w:r w:rsidRPr="00DD689C">
        <w:t>outstanding proposals from the 2009 Legislative Review</w:t>
      </w:r>
    </w:p>
    <w:p w14:paraId="72A9614A" w14:textId="77777777" w:rsidR="00BA78F2" w:rsidRPr="00DD689C" w:rsidRDefault="00BA78F2" w:rsidP="00DD689C">
      <w:pPr>
        <w:pStyle w:val="BulletListLevel1"/>
      </w:pPr>
      <w:r w:rsidRPr="00DD689C">
        <w:t>identified technical and process issues with the current legislation</w:t>
      </w:r>
    </w:p>
    <w:p w14:paraId="670648D8" w14:textId="77777777" w:rsidR="00BA78F2" w:rsidRPr="00DD689C" w:rsidRDefault="00BA78F2" w:rsidP="00DD689C">
      <w:pPr>
        <w:pStyle w:val="BulletListLevel1"/>
      </w:pPr>
      <w:r w:rsidRPr="00DD689C">
        <w:t>the need to enhance readability and consistency in the legislation including contemporary language and drafting conventions.</w:t>
      </w:r>
    </w:p>
    <w:p w14:paraId="772580AC" w14:textId="2CA6CAD3" w:rsidR="00BA78F2" w:rsidRPr="00BA78F2" w:rsidRDefault="00AD674D" w:rsidP="00BA78F2">
      <w:r>
        <w:t>The Government is committed to a consultative approach to the development of the new Act and intends to release a draft of the bill for public comment before it is introduced into Parliament. It is anticipated the bill will be ready for public consultation in 2015/16.</w:t>
      </w:r>
    </w:p>
    <w:tbl>
      <w:tblPr>
        <w:tblW w:w="0" w:type="auto"/>
        <w:tblInd w:w="-5"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1833"/>
        <w:gridCol w:w="6932"/>
      </w:tblGrid>
      <w:tr w:rsidR="004D28F5" w:rsidRPr="001B0519" w14:paraId="030FEC8F" w14:textId="77777777" w:rsidTr="007747AB">
        <w:trPr>
          <w:trHeight w:val="60"/>
        </w:trPr>
        <w:tc>
          <w:tcPr>
            <w:tcW w:w="1833" w:type="dxa"/>
            <w:shd w:val="clear" w:color="auto" w:fill="86731E" w:themeFill="text1"/>
            <w:tcMar>
              <w:top w:w="113" w:type="dxa"/>
              <w:left w:w="113" w:type="dxa"/>
              <w:bottom w:w="113" w:type="dxa"/>
              <w:right w:w="113" w:type="dxa"/>
            </w:tcMar>
            <w:vAlign w:val="center"/>
          </w:tcPr>
          <w:p w14:paraId="74C65080" w14:textId="77777777" w:rsidR="004D28F5" w:rsidRPr="001B0519" w:rsidRDefault="00E008B4" w:rsidP="0026708B">
            <w:pPr>
              <w:rPr>
                <w:rStyle w:val="Strong"/>
              </w:rPr>
            </w:pPr>
            <w:r>
              <w:rPr>
                <w:rStyle w:val="Strong"/>
              </w:rPr>
              <w:t>O</w:t>
            </w:r>
            <w:r w:rsidR="004D28F5" w:rsidRPr="001B0519">
              <w:rPr>
                <w:rStyle w:val="Strong"/>
              </w:rPr>
              <w:t>utcome</w:t>
            </w:r>
          </w:p>
        </w:tc>
        <w:tc>
          <w:tcPr>
            <w:tcW w:w="6932" w:type="dxa"/>
            <w:shd w:val="clear" w:color="auto" w:fill="86731E" w:themeFill="text1"/>
            <w:tcMar>
              <w:top w:w="113" w:type="dxa"/>
              <w:left w:w="113" w:type="dxa"/>
              <w:bottom w:w="113" w:type="dxa"/>
              <w:right w:w="113" w:type="dxa"/>
            </w:tcMar>
            <w:vAlign w:val="center"/>
          </w:tcPr>
          <w:p w14:paraId="770B2ED1" w14:textId="77777777" w:rsidR="004D28F5" w:rsidRPr="001B0519" w:rsidRDefault="00E008B4" w:rsidP="0026708B">
            <w:pPr>
              <w:rPr>
                <w:rStyle w:val="Strong"/>
              </w:rPr>
            </w:pPr>
            <w:r>
              <w:rPr>
                <w:rStyle w:val="Strong"/>
              </w:rPr>
              <w:t>K</w:t>
            </w:r>
            <w:r w:rsidR="004D28F5" w:rsidRPr="001B0519">
              <w:rPr>
                <w:rStyle w:val="Strong"/>
              </w:rPr>
              <w:t>ey points</w:t>
            </w:r>
          </w:p>
        </w:tc>
      </w:tr>
      <w:tr w:rsidR="004D28F5" w:rsidRPr="001B0519" w14:paraId="5B9D6285" w14:textId="77777777" w:rsidTr="007747AB">
        <w:trPr>
          <w:trHeight w:val="467"/>
        </w:trPr>
        <w:tc>
          <w:tcPr>
            <w:tcW w:w="1833" w:type="dxa"/>
            <w:shd w:val="clear" w:color="auto" w:fill="86731E" w:themeFill="text1"/>
            <w:tcMar>
              <w:top w:w="113" w:type="dxa"/>
              <w:left w:w="113" w:type="dxa"/>
              <w:bottom w:w="113" w:type="dxa"/>
              <w:right w:w="113" w:type="dxa"/>
            </w:tcMar>
            <w:vAlign w:val="center"/>
          </w:tcPr>
          <w:p w14:paraId="14F2DB54" w14:textId="77777777" w:rsidR="004D28F5" w:rsidRPr="001B0519" w:rsidRDefault="00E008B4" w:rsidP="004317A4">
            <w:pPr>
              <w:jc w:val="center"/>
              <w:rPr>
                <w:lang w:val="en-GB" w:eastAsia="en-AU"/>
              </w:rPr>
            </w:pPr>
            <w:r>
              <w:rPr>
                <w:rStyle w:val="Strong"/>
              </w:rPr>
              <w:t>D</w:t>
            </w:r>
            <w:r w:rsidR="004D28F5" w:rsidRPr="001B0519">
              <w:rPr>
                <w:rStyle w:val="Strong"/>
              </w:rPr>
              <w:t xml:space="preserve">elivered </w:t>
            </w:r>
          </w:p>
        </w:tc>
        <w:tc>
          <w:tcPr>
            <w:tcW w:w="6932" w:type="dxa"/>
            <w:shd w:val="clear" w:color="auto" w:fill="auto"/>
            <w:tcMar>
              <w:top w:w="113" w:type="dxa"/>
              <w:left w:w="113" w:type="dxa"/>
              <w:bottom w:w="113" w:type="dxa"/>
              <w:right w:w="113" w:type="dxa"/>
            </w:tcMar>
            <w:vAlign w:val="center"/>
          </w:tcPr>
          <w:p w14:paraId="43D4F3E5" w14:textId="07D3B087" w:rsidR="004D28F5" w:rsidRPr="00E20F64" w:rsidRDefault="00BA78F2" w:rsidP="00DD64B8">
            <w:pPr>
              <w:pStyle w:val="BulletListLevel1"/>
            </w:pPr>
            <w:r w:rsidRPr="00E20F64">
              <w:t xml:space="preserve">The WA Government approved the drafting of a bill to repeal and </w:t>
            </w:r>
            <w:r w:rsidRPr="00DD64B8">
              <w:t xml:space="preserve">replace the </w:t>
            </w:r>
            <w:r w:rsidR="00DD64B8" w:rsidRPr="00DD64B8">
              <w:t>Act.</w:t>
            </w:r>
          </w:p>
        </w:tc>
      </w:tr>
    </w:tbl>
    <w:p w14:paraId="3FD96959" w14:textId="77777777" w:rsidR="004D28F5" w:rsidRDefault="004D28F5" w:rsidP="004D28F5"/>
    <w:p w14:paraId="5339DBC8" w14:textId="16E44257" w:rsidR="0039566D" w:rsidRPr="007E3277" w:rsidRDefault="00E22526" w:rsidP="00407975">
      <w:pPr>
        <w:pStyle w:val="Heading2nonumber"/>
      </w:pPr>
      <w:bookmarkStart w:id="383" w:name="_Toc399317003"/>
      <w:bookmarkStart w:id="384" w:name="_Toc426617537"/>
      <w:r>
        <w:br w:type="page"/>
      </w:r>
      <w:bookmarkStart w:id="385" w:name="_Toc430091265"/>
      <w:r w:rsidR="0039566D" w:rsidRPr="007E3277">
        <w:lastRenderedPageBreak/>
        <w:t xml:space="preserve">Initiative 2: </w:t>
      </w:r>
      <w:bookmarkEnd w:id="383"/>
      <w:r w:rsidR="009A68A3" w:rsidRPr="007E3277">
        <w:t>Injury Management Guidance Material for Medical Practitioners</w:t>
      </w:r>
      <w:bookmarkEnd w:id="384"/>
      <w:bookmarkEnd w:id="385"/>
    </w:p>
    <w:tbl>
      <w:tblPr>
        <w:tblW w:w="0" w:type="auto"/>
        <w:tblInd w:w="-5"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2410"/>
        <w:gridCol w:w="6322"/>
      </w:tblGrid>
      <w:tr w:rsidR="00794A0D" w:rsidRPr="00630BE0" w14:paraId="233A4B22" w14:textId="77777777" w:rsidTr="007747AB">
        <w:trPr>
          <w:trHeight w:val="60"/>
        </w:trPr>
        <w:tc>
          <w:tcPr>
            <w:tcW w:w="2410" w:type="dxa"/>
            <w:vMerge w:val="restart"/>
            <w:shd w:val="clear" w:color="auto" w:fill="86731E" w:themeFill="text1"/>
            <w:tcMar>
              <w:top w:w="113" w:type="dxa"/>
              <w:left w:w="80" w:type="dxa"/>
              <w:bottom w:w="113" w:type="dxa"/>
              <w:right w:w="80" w:type="dxa"/>
            </w:tcMar>
          </w:tcPr>
          <w:p w14:paraId="6DB179D8" w14:textId="77777777" w:rsidR="00794A0D" w:rsidRPr="00630BE0" w:rsidRDefault="00794A0D" w:rsidP="00794A0D">
            <w:pPr>
              <w:rPr>
                <w:rStyle w:val="Strong"/>
              </w:rPr>
            </w:pPr>
            <w:r w:rsidRPr="008F6008">
              <w:rPr>
                <w:rStyle w:val="Strong"/>
              </w:rPr>
              <w:t xml:space="preserve">The following </w:t>
            </w:r>
            <w:r>
              <w:rPr>
                <w:rStyle w:val="Strong"/>
              </w:rPr>
              <w:t>initiative is aligned with</w:t>
            </w:r>
          </w:p>
        </w:tc>
        <w:tc>
          <w:tcPr>
            <w:tcW w:w="6322" w:type="dxa"/>
            <w:shd w:val="clear" w:color="auto" w:fill="86731E" w:themeFill="text1"/>
            <w:tcMar>
              <w:top w:w="113" w:type="dxa"/>
              <w:left w:w="80" w:type="dxa"/>
              <w:bottom w:w="113" w:type="dxa"/>
              <w:right w:w="80" w:type="dxa"/>
            </w:tcMar>
          </w:tcPr>
          <w:p w14:paraId="4C9C4CC7" w14:textId="5E648E79" w:rsidR="00794A0D" w:rsidRPr="00630BE0" w:rsidRDefault="00C726B0" w:rsidP="00794A0D">
            <w:pPr>
              <w:rPr>
                <w:rStyle w:val="Strong"/>
              </w:rPr>
            </w:pPr>
            <w:r>
              <w:rPr>
                <w:rStyle w:val="Strong"/>
              </w:rPr>
              <w:t>WorkCover WA</w:t>
            </w:r>
            <w:r w:rsidR="008C7063" w:rsidRPr="008F6008">
              <w:rPr>
                <w:rStyle w:val="Strong"/>
              </w:rPr>
              <w:t xml:space="preserve"> Strategic Goal</w:t>
            </w:r>
          </w:p>
        </w:tc>
      </w:tr>
      <w:tr w:rsidR="00794A0D" w:rsidRPr="005D768A" w14:paraId="1E9DBC61" w14:textId="77777777" w:rsidTr="007747AB">
        <w:trPr>
          <w:trHeight w:val="825"/>
        </w:trPr>
        <w:tc>
          <w:tcPr>
            <w:tcW w:w="2410" w:type="dxa"/>
            <w:vMerge/>
          </w:tcPr>
          <w:p w14:paraId="0E610CDB" w14:textId="77777777" w:rsidR="00794A0D" w:rsidRPr="005D768A" w:rsidRDefault="00794A0D" w:rsidP="00794A0D">
            <w:pPr>
              <w:rPr>
                <w:lang w:eastAsia="en-AU"/>
              </w:rPr>
            </w:pPr>
          </w:p>
        </w:tc>
        <w:tc>
          <w:tcPr>
            <w:tcW w:w="6322" w:type="dxa"/>
            <w:tcMar>
              <w:top w:w="113" w:type="dxa"/>
              <w:left w:w="80" w:type="dxa"/>
              <w:bottom w:w="113" w:type="dxa"/>
              <w:right w:w="80" w:type="dxa"/>
            </w:tcMar>
          </w:tcPr>
          <w:p w14:paraId="3C36D532" w14:textId="13BD2AC0" w:rsidR="00794A0D" w:rsidRPr="005D768A" w:rsidRDefault="00291093" w:rsidP="00794A0D">
            <w:pPr>
              <w:rPr>
                <w:lang w:val="en-GB" w:eastAsia="en-AU"/>
              </w:rPr>
            </w:pPr>
            <w:r w:rsidRPr="00BC5825">
              <w:rPr>
                <w:rStyle w:val="Strong"/>
              </w:rPr>
              <w:t>2 – Stakeholder confidence and engagement</w:t>
            </w:r>
            <w:r w:rsidR="00D75432">
              <w:rPr>
                <w:rStyle w:val="Strong"/>
              </w:rPr>
              <w:t xml:space="preserve"> </w:t>
            </w:r>
            <w:r>
              <w:rPr>
                <w:rStyle w:val="Strong"/>
              </w:rPr>
              <w:br/>
              <w:t xml:space="preserve">3 – Regulatory compliance </w:t>
            </w:r>
          </w:p>
        </w:tc>
      </w:tr>
    </w:tbl>
    <w:p w14:paraId="4271706E" w14:textId="53B9A050" w:rsidR="00AB4702" w:rsidRPr="00035677" w:rsidRDefault="006F2F0B" w:rsidP="007E3277">
      <w:r>
        <w:br/>
      </w:r>
      <w:r w:rsidR="00AB4702">
        <w:t xml:space="preserve">WorkCover WA launched new Certificates of Capacity on 1 July 2014 in conjunction with new guidance materials made available on WorkCover WA’s </w:t>
      </w:r>
      <w:r w:rsidR="00AB4702">
        <w:rPr>
          <w:i/>
        </w:rPr>
        <w:t>gp</w:t>
      </w:r>
      <w:r w:rsidR="00AB4702">
        <w:rPr>
          <w:b/>
          <w:i/>
        </w:rPr>
        <w:t>support</w:t>
      </w:r>
      <w:r w:rsidR="00AB4702">
        <w:t xml:space="preserve"> website for </w:t>
      </w:r>
      <w:r w:rsidR="0082031B" w:rsidRPr="0082031B">
        <w:t>GPs</w:t>
      </w:r>
      <w:r w:rsidR="00AB4702" w:rsidRPr="0082031B">
        <w:t>.</w:t>
      </w:r>
    </w:p>
    <w:p w14:paraId="159F1083" w14:textId="2D3E71BC" w:rsidR="001D494F" w:rsidRDefault="001D494F" w:rsidP="007E3277">
      <w:r w:rsidRPr="001D494F">
        <w:t>The Certificates and guidance materials were developed to improve the information captured within the Certificates about a worker’s injury and capacity to return to work.</w:t>
      </w:r>
    </w:p>
    <w:p w14:paraId="4A33FDE8" w14:textId="38E699B5" w:rsidR="00D4406D" w:rsidRDefault="00AB4702" w:rsidP="007E3277">
      <w:r>
        <w:t xml:space="preserve">The guidance materials have enabled a smooth transition to the new Certificates by outlining expectations and intended use. The website </w:t>
      </w:r>
      <w:r>
        <w:rPr>
          <w:i/>
        </w:rPr>
        <w:t>gp</w:t>
      </w:r>
      <w:r>
        <w:rPr>
          <w:b/>
          <w:i/>
        </w:rPr>
        <w:t>supp</w:t>
      </w:r>
      <w:r w:rsidR="00780930">
        <w:rPr>
          <w:b/>
          <w:i/>
        </w:rPr>
        <w:t>o</w:t>
      </w:r>
      <w:r>
        <w:rPr>
          <w:b/>
          <w:i/>
        </w:rPr>
        <w:t xml:space="preserve">rt </w:t>
      </w:r>
      <w:r>
        <w:t xml:space="preserve">provided a centralised source of information for </w:t>
      </w:r>
      <w:r w:rsidR="0082031B">
        <w:t>GPs</w:t>
      </w:r>
      <w:r>
        <w:t xml:space="preserve"> and medical providers in 2014/15</w:t>
      </w:r>
      <w:r w:rsidR="001D494F">
        <w:t xml:space="preserve">. </w:t>
      </w:r>
      <w:r w:rsidR="00D75432">
        <w:rPr>
          <w:i/>
        </w:rPr>
        <w:t>G</w:t>
      </w:r>
      <w:r w:rsidR="001D494F" w:rsidRPr="001D494F">
        <w:rPr>
          <w:i/>
        </w:rPr>
        <w:t>p</w:t>
      </w:r>
      <w:r w:rsidR="001D494F" w:rsidRPr="001D494F">
        <w:rPr>
          <w:b/>
          <w:i/>
        </w:rPr>
        <w:t>support</w:t>
      </w:r>
      <w:r w:rsidR="001D494F" w:rsidRPr="001D494F">
        <w:rPr>
          <w:i/>
        </w:rPr>
        <w:t xml:space="preserve"> </w:t>
      </w:r>
      <w:r w:rsidR="001D494F" w:rsidRPr="001D494F">
        <w:t>website</w:t>
      </w:r>
      <w:r w:rsidR="001D494F">
        <w:t xml:space="preserve"> statistics can be found on </w:t>
      </w:r>
      <w:r w:rsidR="001D494F" w:rsidRPr="00D945EE">
        <w:t xml:space="preserve">page </w:t>
      </w:r>
      <w:r w:rsidR="00D945EE" w:rsidRPr="00D945EE">
        <w:t>92</w:t>
      </w:r>
      <w:r w:rsidR="00407975" w:rsidRPr="00D945EE">
        <w:t>.</w:t>
      </w:r>
    </w:p>
    <w:p w14:paraId="27798418" w14:textId="47A09A87" w:rsidR="00AB4702" w:rsidRDefault="00AB4702" w:rsidP="007E3277">
      <w:r>
        <w:t>WorkCover WA has continued to consult with stakeholders in 2014/15 regarding the new Certificates. Further stakeholder feedback led to minor des</w:t>
      </w:r>
      <w:r w:rsidR="00AD674D">
        <w:t>ign revisions in late 2014.</w:t>
      </w:r>
    </w:p>
    <w:p w14:paraId="20F180E8" w14:textId="5244E653" w:rsidR="0039566D" w:rsidRPr="00A07B0E" w:rsidRDefault="00AB4702" w:rsidP="007E3277">
      <w:r w:rsidRPr="000C6C3F">
        <w:t>Seeking to consolidate these i</w:t>
      </w:r>
      <w:r w:rsidR="00FE293D">
        <w:t>nitiatives</w:t>
      </w:r>
      <w:r w:rsidRPr="000C6C3F">
        <w:t xml:space="preserve">, </w:t>
      </w:r>
      <w:r>
        <w:t>WorkCover WA</w:t>
      </w:r>
      <w:r w:rsidRPr="000C6C3F">
        <w:t xml:space="preserve"> developed a new Injury Management Strategy in 2014/15, which outlines the Agency’s injury management focuses for the period </w:t>
      </w:r>
      <w:r w:rsidR="00AD674D">
        <w:t>2015 to 2018.</w:t>
      </w:r>
    </w:p>
    <w:tbl>
      <w:tblPr>
        <w:tblW w:w="0" w:type="auto"/>
        <w:tblInd w:w="113"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1715"/>
        <w:gridCol w:w="6932"/>
      </w:tblGrid>
      <w:tr w:rsidR="0039566D" w:rsidRPr="001B0519" w14:paraId="103ACE2C" w14:textId="77777777" w:rsidTr="0034574C">
        <w:trPr>
          <w:trHeight w:val="60"/>
        </w:trPr>
        <w:tc>
          <w:tcPr>
            <w:tcW w:w="1715" w:type="dxa"/>
            <w:shd w:val="clear" w:color="auto" w:fill="86731E" w:themeFill="text1"/>
            <w:tcMar>
              <w:top w:w="113" w:type="dxa"/>
              <w:left w:w="113" w:type="dxa"/>
              <w:bottom w:w="113" w:type="dxa"/>
              <w:right w:w="113" w:type="dxa"/>
            </w:tcMar>
            <w:vAlign w:val="center"/>
          </w:tcPr>
          <w:p w14:paraId="6BEAFFFF" w14:textId="77777777" w:rsidR="0039566D" w:rsidRPr="001B0519" w:rsidRDefault="0039566D" w:rsidP="0039566D">
            <w:pPr>
              <w:rPr>
                <w:rStyle w:val="Strong"/>
              </w:rPr>
            </w:pPr>
            <w:r>
              <w:rPr>
                <w:rStyle w:val="Strong"/>
              </w:rPr>
              <w:t>O</w:t>
            </w:r>
            <w:r w:rsidRPr="001B0519">
              <w:rPr>
                <w:rStyle w:val="Strong"/>
              </w:rPr>
              <w:t>utcome</w:t>
            </w:r>
          </w:p>
        </w:tc>
        <w:tc>
          <w:tcPr>
            <w:tcW w:w="6932" w:type="dxa"/>
            <w:shd w:val="clear" w:color="auto" w:fill="86731E" w:themeFill="text1"/>
            <w:tcMar>
              <w:top w:w="113" w:type="dxa"/>
              <w:left w:w="113" w:type="dxa"/>
              <w:bottom w:w="113" w:type="dxa"/>
              <w:right w:w="113" w:type="dxa"/>
            </w:tcMar>
            <w:vAlign w:val="center"/>
          </w:tcPr>
          <w:p w14:paraId="316BD0EC" w14:textId="77777777" w:rsidR="0039566D" w:rsidRPr="001B0519" w:rsidRDefault="0039566D" w:rsidP="0039566D">
            <w:pPr>
              <w:rPr>
                <w:rStyle w:val="Strong"/>
              </w:rPr>
            </w:pPr>
            <w:r>
              <w:rPr>
                <w:rStyle w:val="Strong"/>
              </w:rPr>
              <w:t>K</w:t>
            </w:r>
            <w:r w:rsidRPr="001B0519">
              <w:rPr>
                <w:rStyle w:val="Strong"/>
              </w:rPr>
              <w:t>ey points</w:t>
            </w:r>
          </w:p>
        </w:tc>
      </w:tr>
      <w:tr w:rsidR="0039566D" w:rsidRPr="001B0519" w14:paraId="17A28B51" w14:textId="77777777" w:rsidTr="0034574C">
        <w:trPr>
          <w:trHeight w:val="467"/>
        </w:trPr>
        <w:tc>
          <w:tcPr>
            <w:tcW w:w="1715" w:type="dxa"/>
            <w:shd w:val="clear" w:color="auto" w:fill="86731E" w:themeFill="text1"/>
            <w:tcMar>
              <w:top w:w="113" w:type="dxa"/>
              <w:left w:w="113" w:type="dxa"/>
              <w:bottom w:w="113" w:type="dxa"/>
              <w:right w:w="113" w:type="dxa"/>
            </w:tcMar>
            <w:vAlign w:val="center"/>
          </w:tcPr>
          <w:p w14:paraId="3B0418B2" w14:textId="77777777" w:rsidR="0039566D" w:rsidRPr="001B0519" w:rsidRDefault="0039566D" w:rsidP="0039566D">
            <w:pPr>
              <w:rPr>
                <w:lang w:val="en-GB" w:eastAsia="en-AU"/>
              </w:rPr>
            </w:pPr>
            <w:r>
              <w:rPr>
                <w:rStyle w:val="Strong"/>
              </w:rPr>
              <w:t>D</w:t>
            </w:r>
            <w:r w:rsidRPr="001B0519">
              <w:rPr>
                <w:rStyle w:val="Strong"/>
              </w:rPr>
              <w:t xml:space="preserve">elivered </w:t>
            </w:r>
          </w:p>
        </w:tc>
        <w:tc>
          <w:tcPr>
            <w:tcW w:w="6932" w:type="dxa"/>
            <w:tcMar>
              <w:top w:w="113" w:type="dxa"/>
              <w:left w:w="113" w:type="dxa"/>
              <w:bottom w:w="113" w:type="dxa"/>
              <w:right w:w="113" w:type="dxa"/>
            </w:tcMar>
            <w:vAlign w:val="center"/>
          </w:tcPr>
          <w:p w14:paraId="0FE3ECEC" w14:textId="64D80A7C" w:rsidR="001D494F" w:rsidRPr="001D494F" w:rsidRDefault="001D494F" w:rsidP="00E20F64">
            <w:pPr>
              <w:pStyle w:val="BulletListLevel1"/>
              <w:rPr>
                <w:lang w:val="en-GB" w:eastAsia="en-AU"/>
              </w:rPr>
            </w:pPr>
            <w:r w:rsidRPr="001D494F">
              <w:rPr>
                <w:lang w:val="en-GB" w:eastAsia="en-AU"/>
              </w:rPr>
              <w:t>The guidance materials enabled a smooth transition to the new Certificates of Capacity launched on 1 July 2014</w:t>
            </w:r>
            <w:r w:rsidR="00D75432">
              <w:rPr>
                <w:lang w:val="en-GB" w:eastAsia="en-AU"/>
              </w:rPr>
              <w:t>.</w:t>
            </w:r>
          </w:p>
          <w:p w14:paraId="27342CAC" w14:textId="4F1732E7" w:rsidR="0039566D" w:rsidRPr="009F4D8E" w:rsidRDefault="001D494F" w:rsidP="00E20F64">
            <w:pPr>
              <w:pStyle w:val="BulletListLevel1"/>
              <w:rPr>
                <w:lang w:val="en-GB" w:eastAsia="en-AU"/>
              </w:rPr>
            </w:pPr>
            <w:r w:rsidRPr="001D494F">
              <w:rPr>
                <w:lang w:val="en-GB" w:eastAsia="en-AU"/>
              </w:rPr>
              <w:t>An Injury Management Strategy has been developed for the period 2015 – 2018</w:t>
            </w:r>
            <w:r w:rsidR="00D75432">
              <w:rPr>
                <w:lang w:val="en-GB" w:eastAsia="en-AU"/>
              </w:rPr>
              <w:t>.</w:t>
            </w:r>
          </w:p>
        </w:tc>
      </w:tr>
    </w:tbl>
    <w:p w14:paraId="27062755" w14:textId="79F396E3" w:rsidR="00E22526" w:rsidRDefault="00E22526" w:rsidP="00407975">
      <w:pPr>
        <w:keepLines w:val="0"/>
        <w:tabs>
          <w:tab w:val="left" w:pos="3360"/>
        </w:tabs>
        <w:spacing w:after="0" w:line="240" w:lineRule="auto"/>
        <w:rPr>
          <w:rFonts w:ascii="Verdana" w:hAnsi="Verdana" w:cs="Arial"/>
          <w:b/>
          <w:bCs/>
          <w:color w:val="86731E" w:themeColor="text1"/>
          <w:szCs w:val="20"/>
        </w:rPr>
      </w:pPr>
      <w:r>
        <w:rPr>
          <w:rFonts w:ascii="Verdana" w:hAnsi="Verdana" w:cs="Arial"/>
          <w:b/>
          <w:bCs/>
          <w:color w:val="86731E" w:themeColor="text1"/>
          <w:szCs w:val="20"/>
        </w:rPr>
        <w:br w:type="page"/>
      </w:r>
    </w:p>
    <w:p w14:paraId="6A67ABDC" w14:textId="1549BAAC" w:rsidR="0039566D" w:rsidRPr="007E3277" w:rsidRDefault="0039566D" w:rsidP="007E3277">
      <w:pPr>
        <w:pStyle w:val="Heading2nonumber"/>
      </w:pPr>
      <w:bookmarkStart w:id="386" w:name="_Toc399317004"/>
      <w:bookmarkStart w:id="387" w:name="_Toc426617538"/>
      <w:bookmarkStart w:id="388" w:name="_Toc430091266"/>
      <w:r w:rsidRPr="007E3277">
        <w:lastRenderedPageBreak/>
        <w:t xml:space="preserve">Initiative 3: </w:t>
      </w:r>
      <w:bookmarkEnd w:id="386"/>
      <w:r w:rsidR="009A68A3" w:rsidRPr="007E3277">
        <w:t>Electronic Document</w:t>
      </w:r>
      <w:r w:rsidR="005B5996" w:rsidRPr="007E3277">
        <w:t xml:space="preserve"> and Records</w:t>
      </w:r>
      <w:r w:rsidR="009A68A3" w:rsidRPr="007E3277">
        <w:t xml:space="preserve"> Management System (</w:t>
      </w:r>
      <w:r w:rsidR="005B5996" w:rsidRPr="007E3277">
        <w:t>EDRMS</w:t>
      </w:r>
      <w:r w:rsidR="009A68A3" w:rsidRPr="007E3277">
        <w:t>)</w:t>
      </w:r>
      <w:bookmarkEnd w:id="387"/>
      <w:bookmarkEnd w:id="388"/>
      <w:r w:rsidRPr="007E3277">
        <w:t xml:space="preserve"> </w:t>
      </w:r>
    </w:p>
    <w:tbl>
      <w:tblPr>
        <w:tblW w:w="0" w:type="auto"/>
        <w:tblInd w:w="80"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2325"/>
        <w:gridCol w:w="6322"/>
      </w:tblGrid>
      <w:tr w:rsidR="00794A0D" w:rsidRPr="00630BE0" w14:paraId="4A704E15" w14:textId="77777777" w:rsidTr="0034574C">
        <w:trPr>
          <w:trHeight w:val="60"/>
        </w:trPr>
        <w:tc>
          <w:tcPr>
            <w:tcW w:w="2325" w:type="dxa"/>
            <w:vMerge w:val="restart"/>
            <w:shd w:val="clear" w:color="auto" w:fill="86731E" w:themeFill="text1"/>
            <w:tcMar>
              <w:top w:w="113" w:type="dxa"/>
              <w:left w:w="80" w:type="dxa"/>
              <w:bottom w:w="113" w:type="dxa"/>
              <w:right w:w="80" w:type="dxa"/>
            </w:tcMar>
          </w:tcPr>
          <w:p w14:paraId="26390332" w14:textId="77777777" w:rsidR="00794A0D" w:rsidRPr="00630BE0" w:rsidRDefault="00794A0D" w:rsidP="00794A0D">
            <w:pPr>
              <w:rPr>
                <w:rStyle w:val="Strong"/>
              </w:rPr>
            </w:pPr>
            <w:r w:rsidRPr="008F6008">
              <w:rPr>
                <w:rStyle w:val="Strong"/>
              </w:rPr>
              <w:t xml:space="preserve">The following </w:t>
            </w:r>
            <w:r>
              <w:rPr>
                <w:rStyle w:val="Strong"/>
              </w:rPr>
              <w:t>initiative is aligned with</w:t>
            </w:r>
          </w:p>
        </w:tc>
        <w:tc>
          <w:tcPr>
            <w:tcW w:w="6322" w:type="dxa"/>
            <w:shd w:val="clear" w:color="auto" w:fill="86731E" w:themeFill="text1"/>
            <w:tcMar>
              <w:top w:w="113" w:type="dxa"/>
              <w:left w:w="80" w:type="dxa"/>
              <w:bottom w:w="113" w:type="dxa"/>
              <w:right w:w="80" w:type="dxa"/>
            </w:tcMar>
          </w:tcPr>
          <w:p w14:paraId="743C5AB2" w14:textId="58AF9A60" w:rsidR="00794A0D" w:rsidRPr="00630BE0" w:rsidRDefault="00C726B0" w:rsidP="00794A0D">
            <w:pPr>
              <w:rPr>
                <w:rStyle w:val="Strong"/>
              </w:rPr>
            </w:pPr>
            <w:r>
              <w:rPr>
                <w:rStyle w:val="Strong"/>
              </w:rPr>
              <w:t>WorkCover WA</w:t>
            </w:r>
            <w:r w:rsidR="007A6FE0" w:rsidRPr="008F6008">
              <w:rPr>
                <w:rStyle w:val="Strong"/>
              </w:rPr>
              <w:t xml:space="preserve"> Strategic Goal</w:t>
            </w:r>
          </w:p>
        </w:tc>
      </w:tr>
      <w:tr w:rsidR="00794A0D" w:rsidRPr="005D768A" w14:paraId="38F6C268" w14:textId="77777777" w:rsidTr="0034574C">
        <w:trPr>
          <w:trHeight w:val="825"/>
        </w:trPr>
        <w:tc>
          <w:tcPr>
            <w:tcW w:w="2325" w:type="dxa"/>
            <w:vMerge/>
          </w:tcPr>
          <w:p w14:paraId="5170595D" w14:textId="77777777" w:rsidR="00794A0D" w:rsidRPr="005D768A" w:rsidRDefault="00794A0D" w:rsidP="00794A0D">
            <w:pPr>
              <w:rPr>
                <w:lang w:eastAsia="en-AU"/>
              </w:rPr>
            </w:pPr>
          </w:p>
        </w:tc>
        <w:tc>
          <w:tcPr>
            <w:tcW w:w="6322" w:type="dxa"/>
            <w:tcMar>
              <w:top w:w="113" w:type="dxa"/>
              <w:left w:w="80" w:type="dxa"/>
              <w:bottom w:w="113" w:type="dxa"/>
              <w:right w:w="80" w:type="dxa"/>
            </w:tcMar>
          </w:tcPr>
          <w:p w14:paraId="5E21278A" w14:textId="77777777" w:rsidR="00794A0D" w:rsidRPr="005D768A" w:rsidRDefault="009A68A3" w:rsidP="009A68A3">
            <w:pPr>
              <w:rPr>
                <w:lang w:val="en-GB" w:eastAsia="en-AU"/>
              </w:rPr>
            </w:pPr>
            <w:r>
              <w:rPr>
                <w:rStyle w:val="Strong"/>
              </w:rPr>
              <w:t>4 – Operational excellence</w:t>
            </w:r>
          </w:p>
        </w:tc>
      </w:tr>
    </w:tbl>
    <w:p w14:paraId="60367BA2" w14:textId="4EA23BB9" w:rsidR="00571D17" w:rsidRDefault="00E05FA1" w:rsidP="007E3277">
      <w:r>
        <w:br/>
      </w:r>
      <w:r w:rsidR="005A3445">
        <w:t>WorkCover WA has</w:t>
      </w:r>
      <w:r w:rsidR="00D4406D">
        <w:t xml:space="preserve"> traditionally</w:t>
      </w:r>
      <w:r w:rsidR="005A3445">
        <w:t xml:space="preserve"> relied on paper-based files for recordkeeping purposes. In 2013/14 a project was commenced to outfit the Agency with an Electronic Document and Records Management System.</w:t>
      </w:r>
    </w:p>
    <w:p w14:paraId="37D320DA" w14:textId="77777777" w:rsidR="005A3445" w:rsidRDefault="005A3445" w:rsidP="007E3277">
      <w:r>
        <w:t xml:space="preserve">Phase 1 of the project was successfully completed in December 2013 by replacing legacy records systems with a pilot implementation of HP TRIM within the Records area only. </w:t>
      </w:r>
    </w:p>
    <w:p w14:paraId="019C53F6" w14:textId="5052CDB4" w:rsidR="00473414" w:rsidRDefault="00473414" w:rsidP="007E3277">
      <w:r>
        <w:t>During 2014/15 a successful Agency-wide implementation was completed with all staff having access to TRIM and TRIM training. This has delivered the following benefits:</w:t>
      </w:r>
    </w:p>
    <w:p w14:paraId="173FB2D1" w14:textId="27EBF8A2" w:rsidR="00AE7495" w:rsidRPr="007E3277" w:rsidRDefault="00AE7495" w:rsidP="007E3277">
      <w:pPr>
        <w:pStyle w:val="BulletListLevel1"/>
      </w:pPr>
      <w:r w:rsidRPr="007E3277">
        <w:t xml:space="preserve">all documents can be saved and edited in </w:t>
      </w:r>
      <w:r w:rsidR="00942B2A">
        <w:t>a single</w:t>
      </w:r>
      <w:r w:rsidRPr="007E3277">
        <w:t xml:space="preserve"> location, strengthening version control and preserving naming standards</w:t>
      </w:r>
    </w:p>
    <w:p w14:paraId="01BBBBC5" w14:textId="77777777" w:rsidR="00AE7495" w:rsidRPr="007E3277" w:rsidRDefault="00AE7495" w:rsidP="007E3277">
      <w:pPr>
        <w:pStyle w:val="BulletListLevel1"/>
      </w:pPr>
      <w:r w:rsidRPr="007E3277">
        <w:t>easier searching and distribution of documents</w:t>
      </w:r>
    </w:p>
    <w:p w14:paraId="23A13D19" w14:textId="77777777" w:rsidR="000B5525" w:rsidRDefault="00AE7495" w:rsidP="007E3277">
      <w:pPr>
        <w:pStyle w:val="BulletListLevel1"/>
      </w:pPr>
      <w:r w:rsidRPr="007E3277">
        <w:t xml:space="preserve">access to sensitive information is now being restricted </w:t>
      </w:r>
    </w:p>
    <w:p w14:paraId="1A1F1EC1" w14:textId="7BB1BB53" w:rsidR="00AE7495" w:rsidRPr="007E3277" w:rsidRDefault="00AE7495" w:rsidP="007E3277">
      <w:pPr>
        <w:pStyle w:val="BulletListLevel1"/>
      </w:pPr>
      <w:r w:rsidRPr="007E3277">
        <w:t>reduced physical storage requirements.</w:t>
      </w:r>
    </w:p>
    <w:p w14:paraId="53191CDA" w14:textId="1409B6FE" w:rsidR="0039566D" w:rsidRPr="00641D97" w:rsidRDefault="00473414" w:rsidP="0039566D">
      <w:r>
        <w:t>In addition, an amended Recordkeeping Plan has been submitted to the State Records Office.</w:t>
      </w:r>
    </w:p>
    <w:tbl>
      <w:tblPr>
        <w:tblW w:w="8931" w:type="dxa"/>
        <w:tblInd w:w="113"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1715"/>
        <w:gridCol w:w="7216"/>
      </w:tblGrid>
      <w:tr w:rsidR="0039566D" w:rsidRPr="001B0519" w14:paraId="53FCC224" w14:textId="77777777" w:rsidTr="0034574C">
        <w:trPr>
          <w:trHeight w:val="60"/>
        </w:trPr>
        <w:tc>
          <w:tcPr>
            <w:tcW w:w="1715" w:type="dxa"/>
            <w:shd w:val="clear" w:color="auto" w:fill="86731E" w:themeFill="text1"/>
            <w:tcMar>
              <w:top w:w="113" w:type="dxa"/>
              <w:left w:w="113" w:type="dxa"/>
              <w:bottom w:w="113" w:type="dxa"/>
              <w:right w:w="113" w:type="dxa"/>
            </w:tcMar>
            <w:vAlign w:val="center"/>
          </w:tcPr>
          <w:p w14:paraId="0574CC50" w14:textId="77777777" w:rsidR="0039566D" w:rsidRPr="001B0519" w:rsidRDefault="0039566D" w:rsidP="0039566D">
            <w:pPr>
              <w:rPr>
                <w:rStyle w:val="Strong"/>
              </w:rPr>
            </w:pPr>
            <w:r>
              <w:rPr>
                <w:rStyle w:val="Strong"/>
              </w:rPr>
              <w:t>O</w:t>
            </w:r>
            <w:r w:rsidRPr="001B0519">
              <w:rPr>
                <w:rStyle w:val="Strong"/>
              </w:rPr>
              <w:t>utcome</w:t>
            </w:r>
          </w:p>
        </w:tc>
        <w:tc>
          <w:tcPr>
            <w:tcW w:w="7216" w:type="dxa"/>
            <w:shd w:val="clear" w:color="auto" w:fill="86731E" w:themeFill="text1"/>
            <w:tcMar>
              <w:top w:w="113" w:type="dxa"/>
              <w:left w:w="113" w:type="dxa"/>
              <w:bottom w:w="113" w:type="dxa"/>
              <w:right w:w="113" w:type="dxa"/>
            </w:tcMar>
            <w:vAlign w:val="center"/>
          </w:tcPr>
          <w:p w14:paraId="6CCEC8DD" w14:textId="77777777" w:rsidR="0039566D" w:rsidRPr="001B0519" w:rsidRDefault="0039566D" w:rsidP="0039566D">
            <w:pPr>
              <w:rPr>
                <w:rStyle w:val="Strong"/>
              </w:rPr>
            </w:pPr>
            <w:r>
              <w:rPr>
                <w:rStyle w:val="Strong"/>
              </w:rPr>
              <w:t>K</w:t>
            </w:r>
            <w:r w:rsidRPr="001B0519">
              <w:rPr>
                <w:rStyle w:val="Strong"/>
              </w:rPr>
              <w:t>ey points</w:t>
            </w:r>
          </w:p>
        </w:tc>
      </w:tr>
      <w:tr w:rsidR="0039566D" w:rsidRPr="001B0519" w14:paraId="1932022D" w14:textId="77777777" w:rsidTr="0034574C">
        <w:trPr>
          <w:trHeight w:val="467"/>
        </w:trPr>
        <w:tc>
          <w:tcPr>
            <w:tcW w:w="1715" w:type="dxa"/>
            <w:shd w:val="clear" w:color="auto" w:fill="86731E" w:themeFill="text1"/>
            <w:tcMar>
              <w:top w:w="113" w:type="dxa"/>
              <w:left w:w="113" w:type="dxa"/>
              <w:bottom w:w="113" w:type="dxa"/>
              <w:right w:w="113" w:type="dxa"/>
            </w:tcMar>
            <w:vAlign w:val="center"/>
          </w:tcPr>
          <w:p w14:paraId="22B0C2A9" w14:textId="77777777" w:rsidR="0039566D" w:rsidRPr="001B0519" w:rsidRDefault="0039566D" w:rsidP="0039566D">
            <w:pPr>
              <w:rPr>
                <w:lang w:val="en-GB" w:eastAsia="en-AU"/>
              </w:rPr>
            </w:pPr>
            <w:r>
              <w:rPr>
                <w:rStyle w:val="Strong"/>
              </w:rPr>
              <w:t>D</w:t>
            </w:r>
            <w:r w:rsidRPr="001B0519">
              <w:rPr>
                <w:rStyle w:val="Strong"/>
              </w:rPr>
              <w:t xml:space="preserve">elivered </w:t>
            </w:r>
          </w:p>
        </w:tc>
        <w:tc>
          <w:tcPr>
            <w:tcW w:w="7216" w:type="dxa"/>
            <w:tcMar>
              <w:top w:w="113" w:type="dxa"/>
              <w:left w:w="113" w:type="dxa"/>
              <w:bottom w:w="113" w:type="dxa"/>
              <w:right w:w="113" w:type="dxa"/>
            </w:tcMar>
            <w:vAlign w:val="center"/>
          </w:tcPr>
          <w:p w14:paraId="7228903A" w14:textId="08C1F2AF" w:rsidR="00731340" w:rsidRPr="00473414" w:rsidRDefault="00731340" w:rsidP="00473414">
            <w:pPr>
              <w:pStyle w:val="BulletListLevel1"/>
            </w:pPr>
            <w:r w:rsidRPr="00E20F64">
              <w:t>Electronic Document and Records Management System implemented across the Agency</w:t>
            </w:r>
            <w:r w:rsidR="00401112">
              <w:t>.</w:t>
            </w:r>
          </w:p>
        </w:tc>
      </w:tr>
    </w:tbl>
    <w:p w14:paraId="05921166" w14:textId="77777777" w:rsidR="00BF551E" w:rsidRDefault="00BF551E">
      <w:pPr>
        <w:keepLines w:val="0"/>
        <w:spacing w:after="0" w:line="240" w:lineRule="auto"/>
        <w:rPr>
          <w:b/>
        </w:rPr>
        <w:sectPr w:rsidR="00BF551E" w:rsidSect="00DA256A">
          <w:headerReference w:type="default" r:id="rId28"/>
          <w:pgSz w:w="11906" w:h="16838" w:code="9"/>
          <w:pgMar w:top="1702" w:right="1440" w:bottom="1440" w:left="1440" w:header="624" w:footer="0" w:gutter="0"/>
          <w:cols w:space="708"/>
          <w:docGrid w:linePitch="360"/>
        </w:sectPr>
      </w:pPr>
      <w:bookmarkStart w:id="389" w:name="_Toc399317007"/>
    </w:p>
    <w:p w14:paraId="4FB21E4A" w14:textId="77777777" w:rsidR="00BE73BE" w:rsidRPr="00345BF2" w:rsidRDefault="00981D34" w:rsidP="00345BF2">
      <w:pPr>
        <w:pStyle w:val="Heading1nonumber"/>
        <w:rPr>
          <w:color w:val="808080" w:themeColor="background1" w:themeShade="80"/>
          <w:sz w:val="40"/>
        </w:rPr>
      </w:pPr>
      <w:bookmarkStart w:id="390" w:name="_Toc430091267"/>
      <w:r w:rsidRPr="00345BF2">
        <w:rPr>
          <w:color w:val="808080" w:themeColor="background1" w:themeShade="80"/>
          <w:sz w:val="40"/>
        </w:rPr>
        <w:lastRenderedPageBreak/>
        <w:t>Section 4: Opportunities and Challenges</w:t>
      </w:r>
      <w:bookmarkEnd w:id="389"/>
      <w:bookmarkEnd w:id="390"/>
    </w:p>
    <w:p w14:paraId="7F40EB79" w14:textId="77777777" w:rsidR="00981D34" w:rsidRPr="007E3277" w:rsidRDefault="00295655" w:rsidP="007E3277">
      <w:pPr>
        <w:pStyle w:val="Heading1nonumber"/>
      </w:pPr>
      <w:bookmarkStart w:id="391" w:name="_Toc399317008"/>
      <w:bookmarkStart w:id="392" w:name="_Toc426617539"/>
      <w:bookmarkStart w:id="393" w:name="_Toc430091268"/>
      <w:r w:rsidRPr="007E3277">
        <w:t>Opportunity and accessibility</w:t>
      </w:r>
      <w:bookmarkEnd w:id="391"/>
      <w:bookmarkEnd w:id="392"/>
      <w:bookmarkEnd w:id="393"/>
      <w:r w:rsidRPr="007E3277">
        <w:t xml:space="preserve"> </w:t>
      </w:r>
    </w:p>
    <w:p w14:paraId="7896850D" w14:textId="77777777" w:rsidR="00BE73BE" w:rsidRDefault="00BE73BE" w:rsidP="006F2F0B">
      <w:pPr>
        <w:pStyle w:val="Heading2nonumber"/>
      </w:pPr>
      <w:bookmarkStart w:id="394" w:name="_Toc399317009"/>
      <w:bookmarkStart w:id="395" w:name="_Toc426617540"/>
      <w:bookmarkStart w:id="396" w:name="_Toc430091269"/>
      <w:r>
        <w:t>Workforce Development</w:t>
      </w:r>
      <w:bookmarkEnd w:id="394"/>
      <w:bookmarkEnd w:id="395"/>
      <w:bookmarkEnd w:id="396"/>
      <w:r>
        <w:t xml:space="preserve"> </w:t>
      </w:r>
    </w:p>
    <w:tbl>
      <w:tblPr>
        <w:tblW w:w="0" w:type="auto"/>
        <w:tblInd w:w="80" w:type="dxa"/>
        <w:tblBorders>
          <w:top w:val="single" w:sz="2" w:space="0" w:color="86731E" w:themeColor="text1"/>
          <w:left w:val="single" w:sz="2" w:space="0" w:color="86731E" w:themeColor="text1"/>
          <w:bottom w:val="single" w:sz="2" w:space="0" w:color="86731E" w:themeColor="text1"/>
          <w:right w:val="single" w:sz="2" w:space="0" w:color="86731E" w:themeColor="text1"/>
          <w:insideH w:val="single" w:sz="2" w:space="0" w:color="86731E" w:themeColor="text1"/>
          <w:insideV w:val="single" w:sz="2" w:space="0" w:color="F5EDC1" w:themeColor="accent4"/>
        </w:tblBorders>
        <w:tblLayout w:type="fixed"/>
        <w:tblCellMar>
          <w:left w:w="0" w:type="dxa"/>
          <w:right w:w="0" w:type="dxa"/>
        </w:tblCellMar>
        <w:tblLook w:val="0000" w:firstRow="0" w:lastRow="0" w:firstColumn="0" w:lastColumn="0" w:noHBand="0" w:noVBand="0"/>
      </w:tblPr>
      <w:tblGrid>
        <w:gridCol w:w="2183"/>
        <w:gridCol w:w="6464"/>
      </w:tblGrid>
      <w:tr w:rsidR="00794A0D" w:rsidRPr="00630BE0" w14:paraId="409A5DB5" w14:textId="77777777" w:rsidTr="00E22526">
        <w:trPr>
          <w:trHeight w:val="60"/>
        </w:trPr>
        <w:tc>
          <w:tcPr>
            <w:tcW w:w="2183" w:type="dxa"/>
            <w:vMerge w:val="restart"/>
            <w:shd w:val="clear" w:color="auto" w:fill="897719" w:themeFill="accent3"/>
            <w:tcMar>
              <w:top w:w="113" w:type="dxa"/>
              <w:left w:w="80" w:type="dxa"/>
              <w:bottom w:w="113" w:type="dxa"/>
              <w:right w:w="80" w:type="dxa"/>
            </w:tcMar>
          </w:tcPr>
          <w:p w14:paraId="417B4CEB" w14:textId="77777777" w:rsidR="00794A0D" w:rsidRPr="00794A0D" w:rsidRDefault="00794A0D" w:rsidP="00794A0D">
            <w:pPr>
              <w:rPr>
                <w:rStyle w:val="Strong"/>
              </w:rPr>
            </w:pPr>
            <w:r w:rsidRPr="00794A0D">
              <w:rPr>
                <w:rStyle w:val="Strong"/>
              </w:rPr>
              <w:t>The following initiatives are aligned with, and contribute to:</w:t>
            </w:r>
          </w:p>
        </w:tc>
        <w:tc>
          <w:tcPr>
            <w:tcW w:w="6464" w:type="dxa"/>
            <w:shd w:val="clear" w:color="auto" w:fill="897719" w:themeFill="accent3"/>
            <w:tcMar>
              <w:top w:w="113" w:type="dxa"/>
              <w:left w:w="80" w:type="dxa"/>
              <w:bottom w:w="113" w:type="dxa"/>
              <w:right w:w="80" w:type="dxa"/>
            </w:tcMar>
          </w:tcPr>
          <w:p w14:paraId="32429D54" w14:textId="27DD7B60" w:rsidR="00794A0D" w:rsidRPr="007A6FE0" w:rsidRDefault="00C726B0" w:rsidP="00794A0D">
            <w:pPr>
              <w:rPr>
                <w:rStyle w:val="Strong"/>
              </w:rPr>
            </w:pPr>
            <w:r>
              <w:rPr>
                <w:rStyle w:val="Strong"/>
              </w:rPr>
              <w:t>WorkCover WA</w:t>
            </w:r>
            <w:r w:rsidR="007A6FE0" w:rsidRPr="007A6FE0">
              <w:rPr>
                <w:rStyle w:val="Strong"/>
              </w:rPr>
              <w:t xml:space="preserve"> Strategic Goal</w:t>
            </w:r>
          </w:p>
        </w:tc>
      </w:tr>
      <w:tr w:rsidR="00794A0D" w:rsidRPr="005D768A" w14:paraId="5102178E" w14:textId="77777777" w:rsidTr="00E22526">
        <w:trPr>
          <w:trHeight w:val="825"/>
        </w:trPr>
        <w:tc>
          <w:tcPr>
            <w:tcW w:w="2183" w:type="dxa"/>
            <w:vMerge/>
          </w:tcPr>
          <w:p w14:paraId="7D09B973" w14:textId="77777777" w:rsidR="00794A0D" w:rsidRPr="005D768A" w:rsidRDefault="00794A0D" w:rsidP="00794A0D">
            <w:pPr>
              <w:rPr>
                <w:lang w:eastAsia="en-AU"/>
              </w:rPr>
            </w:pPr>
          </w:p>
        </w:tc>
        <w:tc>
          <w:tcPr>
            <w:tcW w:w="6464" w:type="dxa"/>
            <w:tcMar>
              <w:top w:w="113" w:type="dxa"/>
              <w:left w:w="80" w:type="dxa"/>
              <w:bottom w:w="113" w:type="dxa"/>
              <w:right w:w="80" w:type="dxa"/>
            </w:tcMar>
          </w:tcPr>
          <w:p w14:paraId="791C62AA" w14:textId="77777777" w:rsidR="00794A0D" w:rsidRPr="00291093" w:rsidRDefault="00794A0D" w:rsidP="00794A0D">
            <w:pPr>
              <w:rPr>
                <w:rStyle w:val="Strong"/>
              </w:rPr>
            </w:pPr>
            <w:r w:rsidRPr="00291093">
              <w:rPr>
                <w:rStyle w:val="Strong"/>
              </w:rPr>
              <w:t>4</w:t>
            </w:r>
            <w:r w:rsidR="00291093" w:rsidRPr="00291093">
              <w:rPr>
                <w:rStyle w:val="Strong"/>
              </w:rPr>
              <w:t xml:space="preserve"> – Organisational excellence </w:t>
            </w:r>
          </w:p>
        </w:tc>
      </w:tr>
    </w:tbl>
    <w:p w14:paraId="584E8FE8" w14:textId="56CB9C90" w:rsidR="00BE73BE" w:rsidRDefault="00923828" w:rsidP="00923828">
      <w:pPr>
        <w:pStyle w:val="Heading3nonumber"/>
      </w:pPr>
      <w:bookmarkStart w:id="397" w:name="_Toc430091270"/>
      <w:r>
        <w:t>Employee Capability</w:t>
      </w:r>
      <w:bookmarkEnd w:id="397"/>
    </w:p>
    <w:p w14:paraId="111F1773" w14:textId="2A30EF1E" w:rsidR="00923828" w:rsidRPr="00923828" w:rsidRDefault="00923828" w:rsidP="00923828">
      <w:pPr>
        <w:rPr>
          <w:sz w:val="22"/>
          <w:szCs w:val="22"/>
          <w:lang w:val="en-US" w:eastAsia="en-AU"/>
        </w:rPr>
      </w:pPr>
      <w:r>
        <w:rPr>
          <w:lang w:val="en-US"/>
        </w:rPr>
        <w:t>WorkCover WA is committed to the continual enhancement of the capability of its staff. This is being achieved through professional development strategies, particularly aimed at staff that have managerial or supervisory responsibilities.  These strategies are identified through the Performance Development Agreement process.</w:t>
      </w:r>
    </w:p>
    <w:p w14:paraId="58F391A5" w14:textId="77777777" w:rsidR="00BE73BE" w:rsidRDefault="00BE73BE" w:rsidP="00664937">
      <w:pPr>
        <w:pStyle w:val="Heading4"/>
      </w:pPr>
      <w:bookmarkStart w:id="398" w:name="_Toc426617541"/>
      <w:r w:rsidRPr="00B016C7">
        <w:t>Staff training</w:t>
      </w:r>
      <w:bookmarkEnd w:id="398"/>
      <w:r w:rsidRPr="00B016C7">
        <w:t xml:space="preserve"> </w:t>
      </w:r>
    </w:p>
    <w:p w14:paraId="64434672" w14:textId="1E649B6E" w:rsidR="007A6FE0" w:rsidRDefault="006A6DEE" w:rsidP="00A657C5">
      <w:r w:rsidRPr="006A6DEE">
        <w:t>In 2014/15</w:t>
      </w:r>
      <w:r w:rsidR="00C11CA4" w:rsidRPr="006A6DEE">
        <w:t xml:space="preserve"> a total of</w:t>
      </w:r>
      <w:r w:rsidR="007A6FE0" w:rsidRPr="006A6DEE">
        <w:t xml:space="preserve"> </w:t>
      </w:r>
      <w:r w:rsidR="00E31BD0" w:rsidRPr="00D13185">
        <w:t>97</w:t>
      </w:r>
      <w:r w:rsidR="007A6FE0" w:rsidRPr="00D13185">
        <w:t xml:space="preserve"> </w:t>
      </w:r>
      <w:r w:rsidR="00C726B0" w:rsidRPr="00D13185">
        <w:t>W</w:t>
      </w:r>
      <w:r w:rsidR="00C726B0">
        <w:t>orkCover WA</w:t>
      </w:r>
      <w:r w:rsidR="007A6FE0" w:rsidRPr="006A6DEE">
        <w:t xml:space="preserve"> staff attended </w:t>
      </w:r>
      <w:r w:rsidR="00641D97">
        <w:t xml:space="preserve">professional </w:t>
      </w:r>
      <w:r w:rsidR="00EE59A9">
        <w:t xml:space="preserve">development </w:t>
      </w:r>
      <w:r w:rsidR="00641D97">
        <w:t>programs</w:t>
      </w:r>
      <w:r w:rsidR="007A6FE0" w:rsidRPr="006A6DEE">
        <w:t xml:space="preserve">. </w:t>
      </w:r>
      <w:r w:rsidRPr="006A6DEE">
        <w:t xml:space="preserve">The </w:t>
      </w:r>
      <w:r w:rsidR="00641D97">
        <w:t>program</w:t>
      </w:r>
      <w:r w:rsidR="00E17085">
        <w:t>s</w:t>
      </w:r>
      <w:r w:rsidRPr="006A6DEE">
        <w:t xml:space="preserve"> covered areas</w:t>
      </w:r>
      <w:r w:rsidR="007A6FE0" w:rsidRPr="006A6DEE">
        <w:t xml:space="preserve"> including </w:t>
      </w:r>
      <w:r w:rsidRPr="006A6DEE">
        <w:t>leadership in the public sector, injury manage</w:t>
      </w:r>
      <w:r w:rsidR="00AD674D">
        <w:t xml:space="preserve">ment, warden officer training, occupational safety and health (OSH) </w:t>
      </w:r>
      <w:r w:rsidRPr="006A6DEE">
        <w:t>representative training and first aid training.</w:t>
      </w:r>
    </w:p>
    <w:p w14:paraId="270F24A1" w14:textId="416E125C" w:rsidR="006A6DEE" w:rsidRPr="006F2F0B" w:rsidRDefault="006A6DEE" w:rsidP="00A657C5">
      <w:pPr>
        <w:rPr>
          <w:highlight w:val="yellow"/>
        </w:rPr>
      </w:pPr>
      <w:r>
        <w:t xml:space="preserve">During </w:t>
      </w:r>
      <w:r w:rsidR="00641D97">
        <w:t>the year</w:t>
      </w:r>
      <w:r w:rsidR="00D13185">
        <w:t xml:space="preserve"> 104</w:t>
      </w:r>
      <w:r>
        <w:t xml:space="preserve"> staff attended </w:t>
      </w:r>
      <w:r w:rsidR="00641D97">
        <w:t>in house programs on</w:t>
      </w:r>
      <w:r>
        <w:t xml:space="preserve"> leadership, dealing with </w:t>
      </w:r>
      <w:r w:rsidR="00E17085">
        <w:t>upset</w:t>
      </w:r>
      <w:r>
        <w:t xml:space="preserve"> callers, suicide prevention, managing aggressive clients, dealing with high conflict behaviours, insurance underwriting, writi</w:t>
      </w:r>
      <w:r w:rsidR="0054418A">
        <w:t>ng skills, fire warden training</w:t>
      </w:r>
      <w:r>
        <w:t xml:space="preserve"> and ergonomic assessments.</w:t>
      </w:r>
    </w:p>
    <w:p w14:paraId="08572598" w14:textId="77777777" w:rsidR="00494DEA" w:rsidRPr="007E33E1" w:rsidRDefault="002F029C" w:rsidP="007A6FE0">
      <w:r w:rsidRPr="006A6DEE">
        <w:t xml:space="preserve">The total </w:t>
      </w:r>
      <w:r w:rsidR="002560A6" w:rsidRPr="006A6DEE">
        <w:t xml:space="preserve">hours </w:t>
      </w:r>
      <w:r w:rsidRPr="006A6DEE">
        <w:t>of</w:t>
      </w:r>
      <w:r w:rsidR="002560A6" w:rsidRPr="006A6DEE">
        <w:t xml:space="preserve"> general</w:t>
      </w:r>
      <w:r w:rsidRPr="006A6DEE">
        <w:t xml:space="preserve"> staff </w:t>
      </w:r>
      <w:r w:rsidR="00E767BD" w:rsidRPr="006A6DEE">
        <w:t>t</w:t>
      </w:r>
      <w:r w:rsidR="00494DEA" w:rsidRPr="006A6DEE">
        <w:t xml:space="preserve">raining </w:t>
      </w:r>
      <w:r w:rsidR="00A06F50" w:rsidRPr="006A6DEE">
        <w:t>in</w:t>
      </w:r>
      <w:r w:rsidR="006F2F0B" w:rsidRPr="006A6DEE">
        <w:t xml:space="preserve"> 2014/15</w:t>
      </w:r>
      <w:r w:rsidR="00E767BD" w:rsidRPr="006A6DEE">
        <w:t xml:space="preserve"> are</w:t>
      </w:r>
      <w:r w:rsidR="00494DEA" w:rsidRPr="006A6DEE">
        <w:t xml:space="preserve"> as follows:</w:t>
      </w:r>
    </w:p>
    <w:tbl>
      <w:tblPr>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3047"/>
        <w:gridCol w:w="5576"/>
      </w:tblGrid>
      <w:tr w:rsidR="00D13185" w:rsidRPr="00BE73BE" w14:paraId="63A16069" w14:textId="77777777" w:rsidTr="00F018BB">
        <w:trPr>
          <w:trHeight w:val="60"/>
        </w:trPr>
        <w:tc>
          <w:tcPr>
            <w:tcW w:w="3047" w:type="dxa"/>
            <w:shd w:val="clear" w:color="auto" w:fill="CEDFDC" w:themeFill="accent2" w:themeFillTint="33"/>
            <w:tcMar>
              <w:top w:w="113" w:type="dxa"/>
              <w:left w:w="113" w:type="dxa"/>
              <w:bottom w:w="113" w:type="dxa"/>
              <w:right w:w="113" w:type="dxa"/>
            </w:tcMar>
            <w:vAlign w:val="center"/>
          </w:tcPr>
          <w:p w14:paraId="1249E70D" w14:textId="77777777" w:rsidR="00D13185" w:rsidRPr="00897725" w:rsidRDefault="00D13185" w:rsidP="00D13185">
            <w:r>
              <w:t>T</w:t>
            </w:r>
            <w:r w:rsidRPr="00897725">
              <w:t>raining hours in total</w:t>
            </w:r>
          </w:p>
        </w:tc>
        <w:tc>
          <w:tcPr>
            <w:tcW w:w="5576" w:type="dxa"/>
            <w:tcMar>
              <w:top w:w="113" w:type="dxa"/>
              <w:left w:w="340" w:type="dxa"/>
              <w:bottom w:w="113" w:type="dxa"/>
              <w:right w:w="113" w:type="dxa"/>
            </w:tcMar>
          </w:tcPr>
          <w:p w14:paraId="3831A55B" w14:textId="1BDC7D2D" w:rsidR="00D13185" w:rsidRPr="00E22526" w:rsidRDefault="00D13185" w:rsidP="00D13185">
            <w:pPr>
              <w:rPr>
                <w:lang w:val="en-GB" w:eastAsia="en-AU"/>
              </w:rPr>
            </w:pPr>
            <w:r w:rsidRPr="00E22526">
              <w:t>2,401</w:t>
            </w:r>
          </w:p>
        </w:tc>
      </w:tr>
      <w:tr w:rsidR="00D13185" w:rsidRPr="00BE73BE" w14:paraId="7119AC97" w14:textId="77777777" w:rsidTr="00F018BB">
        <w:trPr>
          <w:trHeight w:val="425"/>
        </w:trPr>
        <w:tc>
          <w:tcPr>
            <w:tcW w:w="3047" w:type="dxa"/>
            <w:shd w:val="clear" w:color="auto" w:fill="CEDFDC" w:themeFill="accent2" w:themeFillTint="33"/>
            <w:tcMar>
              <w:top w:w="113" w:type="dxa"/>
              <w:left w:w="113" w:type="dxa"/>
              <w:bottom w:w="113" w:type="dxa"/>
              <w:right w:w="113" w:type="dxa"/>
            </w:tcMar>
            <w:vAlign w:val="center"/>
          </w:tcPr>
          <w:p w14:paraId="40FC7981" w14:textId="77777777" w:rsidR="00D13185" w:rsidRPr="00897725" w:rsidRDefault="00D13185" w:rsidP="00D13185">
            <w:r>
              <w:t>T</w:t>
            </w:r>
            <w:r w:rsidRPr="00897725">
              <w:t>raining hours per employee</w:t>
            </w:r>
          </w:p>
        </w:tc>
        <w:tc>
          <w:tcPr>
            <w:tcW w:w="5576" w:type="dxa"/>
            <w:tcMar>
              <w:top w:w="113" w:type="dxa"/>
              <w:left w:w="340" w:type="dxa"/>
              <w:bottom w:w="113" w:type="dxa"/>
              <w:right w:w="113" w:type="dxa"/>
            </w:tcMar>
          </w:tcPr>
          <w:p w14:paraId="30CE3024" w14:textId="201334C7" w:rsidR="00D13185" w:rsidRPr="00E22526" w:rsidRDefault="00D13185" w:rsidP="00D13185">
            <w:pPr>
              <w:rPr>
                <w:lang w:val="en-GB" w:eastAsia="en-AU"/>
              </w:rPr>
            </w:pPr>
            <w:r w:rsidRPr="00E22526">
              <w:t>14.8</w:t>
            </w:r>
          </w:p>
        </w:tc>
      </w:tr>
    </w:tbl>
    <w:p w14:paraId="65CB67C6" w14:textId="77777777" w:rsidR="00BE73BE" w:rsidRDefault="00403F57" w:rsidP="00F205F2">
      <w:pPr>
        <w:pStyle w:val="Heading3nonumber"/>
      </w:pPr>
      <w:bookmarkStart w:id="399" w:name="_Toc426617542"/>
      <w:bookmarkStart w:id="400" w:name="_Toc430091271"/>
      <w:r>
        <w:lastRenderedPageBreak/>
        <w:t>Manager Competency Program</w:t>
      </w:r>
      <w:bookmarkEnd w:id="399"/>
      <w:bookmarkEnd w:id="400"/>
      <w:r>
        <w:t xml:space="preserve"> </w:t>
      </w:r>
    </w:p>
    <w:p w14:paraId="3DF37AE1" w14:textId="77A46A60" w:rsidR="004E0AA0" w:rsidRPr="006A6DEE" w:rsidRDefault="006A6DEE" w:rsidP="006A6DEE">
      <w:pPr>
        <w:rPr>
          <w:highlight w:val="yellow"/>
        </w:rPr>
      </w:pPr>
      <w:r w:rsidRPr="006A6DEE">
        <w:t xml:space="preserve">The Manager Competency Program involves the delivery of a series of targeted internal and external training sessions for managers and nominated aspiring managers. The Program aims to enhance </w:t>
      </w:r>
      <w:r w:rsidR="00E07E1A">
        <w:t xml:space="preserve">the </w:t>
      </w:r>
      <w:r w:rsidRPr="006A6DEE">
        <w:t>workplace competency and capability of managers by providing them with the requisite knowledge and skills.</w:t>
      </w:r>
    </w:p>
    <w:p w14:paraId="40BDE90C" w14:textId="535AA543" w:rsidR="004E0AA0" w:rsidRDefault="006A6DEE" w:rsidP="004E0AA0">
      <w:r w:rsidRPr="006A6DEE">
        <w:t xml:space="preserve">During 2014/15, nine </w:t>
      </w:r>
      <w:r w:rsidR="004E0AA0" w:rsidRPr="006A6DEE">
        <w:t xml:space="preserve">training sessions were delivered </w:t>
      </w:r>
      <w:r w:rsidR="003826C8">
        <w:t>to</w:t>
      </w:r>
      <w:r w:rsidR="004E0AA0" w:rsidRPr="006A6DEE">
        <w:t xml:space="preserve"> </w:t>
      </w:r>
      <w:r w:rsidR="007963F3" w:rsidRPr="006A6DEE">
        <w:t>35</w:t>
      </w:r>
      <w:r w:rsidR="00EE59A9">
        <w:t xml:space="preserve"> staff</w:t>
      </w:r>
      <w:r>
        <w:t xml:space="preserve">. </w:t>
      </w:r>
      <w:r w:rsidR="004E0AA0" w:rsidRPr="006A6DEE">
        <w:t>T</w:t>
      </w:r>
      <w:r w:rsidR="00EE59A9">
        <w:t>he t</w:t>
      </w:r>
      <w:r w:rsidR="004E0AA0" w:rsidRPr="006A6DEE">
        <w:t>raining programs are repeated periodically to cater for the appointment of new managers.</w:t>
      </w:r>
      <w:r>
        <w:t xml:space="preserve"> </w:t>
      </w:r>
      <w:r w:rsidR="001C0094">
        <w:t>T</w:t>
      </w:r>
      <w:r>
        <w:t>opics c</w:t>
      </w:r>
      <w:r w:rsidR="001C0094">
        <w:t>overed across the year included</w:t>
      </w:r>
      <w:r>
        <w:t>:</w:t>
      </w:r>
    </w:p>
    <w:p w14:paraId="393F4838" w14:textId="50B630AE" w:rsidR="006A6DEE" w:rsidRPr="006A6DEE" w:rsidRDefault="001C0094" w:rsidP="006A6DEE">
      <w:pPr>
        <w:pStyle w:val="BulletListLevel1"/>
      </w:pPr>
      <w:r>
        <w:t>m</w:t>
      </w:r>
      <w:r w:rsidR="006A6DEE" w:rsidRPr="006A6DEE">
        <w:t>ental health in the workplace</w:t>
      </w:r>
    </w:p>
    <w:p w14:paraId="7D04BD2A" w14:textId="6F07D6F6" w:rsidR="006A6DEE" w:rsidRPr="006A6DEE" w:rsidRDefault="001C0094" w:rsidP="006A6DEE">
      <w:pPr>
        <w:pStyle w:val="BulletListLevel1"/>
      </w:pPr>
      <w:r>
        <w:t>e</w:t>
      </w:r>
      <w:r w:rsidR="006A6DEE" w:rsidRPr="006A6DEE">
        <w:t>mployee engagement</w:t>
      </w:r>
    </w:p>
    <w:p w14:paraId="11616334" w14:textId="02D705EE" w:rsidR="006A6DEE" w:rsidRPr="006A6DEE" w:rsidRDefault="001C0094" w:rsidP="006A6DEE">
      <w:pPr>
        <w:pStyle w:val="BulletListLevel1"/>
      </w:pPr>
      <w:r>
        <w:t>e</w:t>
      </w:r>
      <w:r w:rsidR="006A6DEE" w:rsidRPr="006A6DEE">
        <w:t>xecutive writing skills</w:t>
      </w:r>
    </w:p>
    <w:p w14:paraId="3E380B5D" w14:textId="5BD2B8DB" w:rsidR="006A6DEE" w:rsidRPr="006A6DEE" w:rsidRDefault="001C0094" w:rsidP="006A6DEE">
      <w:pPr>
        <w:pStyle w:val="BulletListLevel1"/>
      </w:pPr>
      <w:r>
        <w:t>t</w:t>
      </w:r>
      <w:r w:rsidR="006A6DEE" w:rsidRPr="006A6DEE">
        <w:t>ime management</w:t>
      </w:r>
    </w:p>
    <w:p w14:paraId="69B9848C" w14:textId="356825D4" w:rsidR="006A6DEE" w:rsidRPr="006A6DEE" w:rsidRDefault="001C0094" w:rsidP="006A6DEE">
      <w:pPr>
        <w:pStyle w:val="BulletListLevel1"/>
      </w:pPr>
      <w:r>
        <w:t>p</w:t>
      </w:r>
      <w:r w:rsidR="006A6DEE" w:rsidRPr="006A6DEE">
        <w:t>roject management</w:t>
      </w:r>
    </w:p>
    <w:p w14:paraId="756FF9DF" w14:textId="07884F40" w:rsidR="006A6DEE" w:rsidRPr="006A6DEE" w:rsidRDefault="001C0094" w:rsidP="006A6DEE">
      <w:pPr>
        <w:pStyle w:val="BulletListLevel1"/>
      </w:pPr>
      <w:r>
        <w:t>p</w:t>
      </w:r>
      <w:r w:rsidR="006A6DEE" w:rsidRPr="006A6DEE">
        <w:t>erformance development</w:t>
      </w:r>
    </w:p>
    <w:p w14:paraId="04431EF0" w14:textId="3FAA8DD4" w:rsidR="006A6DEE" w:rsidRPr="006A6DEE" w:rsidRDefault="001C0094" w:rsidP="006A6DEE">
      <w:pPr>
        <w:pStyle w:val="BulletListLevel1"/>
      </w:pPr>
      <w:r>
        <w:t>l</w:t>
      </w:r>
      <w:r w:rsidR="006A6DEE" w:rsidRPr="006A6DEE">
        <w:t>eave management.</w:t>
      </w:r>
    </w:p>
    <w:p w14:paraId="50A24CFF" w14:textId="75D05879" w:rsidR="004E0AA0" w:rsidRDefault="004E0AA0" w:rsidP="004E0AA0">
      <w:pPr>
        <w:rPr>
          <w:b/>
          <w:bCs/>
        </w:rPr>
      </w:pPr>
      <w:r w:rsidRPr="006A6DEE">
        <w:t>Feedback from participants continue</w:t>
      </w:r>
      <w:r w:rsidR="005002E1">
        <w:t>d</w:t>
      </w:r>
      <w:r w:rsidR="007A6FE0" w:rsidRPr="006A6DEE">
        <w:t xml:space="preserve"> to be positive, indicating</w:t>
      </w:r>
      <w:r w:rsidRPr="006A6DEE">
        <w:t xml:space="preserve"> the Program </w:t>
      </w:r>
      <w:r w:rsidR="00AD674D">
        <w:t xml:space="preserve">met </w:t>
      </w:r>
      <w:r w:rsidR="006A6DEE">
        <w:t>its intended outcomes.</w:t>
      </w:r>
    </w:p>
    <w:p w14:paraId="7D70B218" w14:textId="77777777" w:rsidR="00B016C7" w:rsidRDefault="004E0AA0" w:rsidP="00F205F2">
      <w:pPr>
        <w:pStyle w:val="Heading3nonumber"/>
      </w:pPr>
      <w:bookmarkStart w:id="401" w:name="_Toc426617543"/>
      <w:bookmarkStart w:id="402" w:name="_Toc430091272"/>
      <w:r>
        <w:t xml:space="preserve">Employee </w:t>
      </w:r>
      <w:r w:rsidR="00906BAA">
        <w:t>d</w:t>
      </w:r>
      <w:r>
        <w:t>evelopment</w:t>
      </w:r>
      <w:bookmarkEnd w:id="401"/>
      <w:bookmarkEnd w:id="402"/>
    </w:p>
    <w:p w14:paraId="28FACCAC" w14:textId="77777777" w:rsidR="000524E8" w:rsidRDefault="000524E8" w:rsidP="00664937">
      <w:pPr>
        <w:pStyle w:val="Heading4colour"/>
      </w:pPr>
      <w:r>
        <w:t>Performance Development Agreement (PDA) process</w:t>
      </w:r>
    </w:p>
    <w:p w14:paraId="388ABAC0" w14:textId="77777777" w:rsidR="000524E8" w:rsidRPr="001C0094" w:rsidRDefault="000524E8" w:rsidP="000524E8">
      <w:r>
        <w:t>WorkCover WA</w:t>
      </w:r>
      <w:r w:rsidRPr="001C0094">
        <w:t xml:space="preserve">’s employee development process is </w:t>
      </w:r>
      <w:r>
        <w:t>supported</w:t>
      </w:r>
      <w:r w:rsidRPr="001C0094">
        <w:t xml:space="preserve"> through our PDA system.</w:t>
      </w:r>
      <w:r>
        <w:t xml:space="preserve"> All staff participate in two formal PDA meetings each year.</w:t>
      </w:r>
    </w:p>
    <w:p w14:paraId="3D2B308A" w14:textId="77777777" w:rsidR="000524E8" w:rsidRDefault="000524E8" w:rsidP="000524E8">
      <w:r>
        <w:t>During the year WorkCover WA conducted a survey that sought staff feedback about their perceptions of the effectiveness of the PDA process as a means of assessing staff performance, establishing individual development strategies and providing a forum for meaningful discussions between supervisors and staff.</w:t>
      </w:r>
    </w:p>
    <w:p w14:paraId="2B2A2CF7" w14:textId="5DEE610C" w:rsidR="000524E8" w:rsidRDefault="000524E8" w:rsidP="000524E8">
      <w:r>
        <w:t>The results of the survey led to enhance</w:t>
      </w:r>
      <w:r w:rsidR="008A63E3">
        <w:t>ments to the process and forms which</w:t>
      </w:r>
      <w:r>
        <w:t xml:space="preserve"> </w:t>
      </w:r>
      <w:r w:rsidR="008A63E3">
        <w:t>place</w:t>
      </w:r>
      <w:r>
        <w:t xml:space="preserve"> </w:t>
      </w:r>
      <w:r w:rsidRPr="001C0094">
        <w:t xml:space="preserve">a greater focus on innovation and career development. There was also an increased emphasis on measuring performance </w:t>
      </w:r>
      <w:r>
        <w:t>indicators for branch managers.</w:t>
      </w:r>
      <w:r w:rsidR="00E07E1A">
        <w:t xml:space="preserve"> These</w:t>
      </w:r>
      <w:r>
        <w:t xml:space="preserve"> enhancements will continue to be monitored.</w:t>
      </w:r>
    </w:p>
    <w:p w14:paraId="1603D9B0" w14:textId="2E426208" w:rsidR="002F6908" w:rsidRDefault="002F6908" w:rsidP="00664937">
      <w:pPr>
        <w:pStyle w:val="Heading4colour"/>
      </w:pPr>
      <w:r>
        <w:lastRenderedPageBreak/>
        <w:t>Focus on line managers</w:t>
      </w:r>
    </w:p>
    <w:p w14:paraId="1683E0AA" w14:textId="782B2435" w:rsidR="002F6908" w:rsidRDefault="002F6908" w:rsidP="002F6908">
      <w:r>
        <w:t xml:space="preserve">In February 2015 the Human Resources branch </w:t>
      </w:r>
      <w:r w:rsidR="00E07E1A">
        <w:t>began developing</w:t>
      </w:r>
      <w:r>
        <w:t xml:space="preserve"> an initiative to create individual professional development programs for line managers</w:t>
      </w:r>
      <w:r w:rsidR="009E7B56">
        <w:t>. These are</w:t>
      </w:r>
      <w:r>
        <w:t xml:space="preserve"> based on competencies in their current role, and the skills and experience they may require to undertake senior management roles within the Agency.</w:t>
      </w:r>
    </w:p>
    <w:p w14:paraId="766BA54B" w14:textId="77777777" w:rsidR="00FB3B7A" w:rsidRPr="00FA4A95" w:rsidRDefault="00201B0B" w:rsidP="006F2F0B">
      <w:pPr>
        <w:pStyle w:val="Heading3nonumber"/>
      </w:pPr>
      <w:bookmarkStart w:id="403" w:name="_Toc426617544"/>
      <w:bookmarkStart w:id="404" w:name="_Toc430091273"/>
      <w:r w:rsidRPr="00FA4A95">
        <w:t xml:space="preserve">Attraction and </w:t>
      </w:r>
      <w:r w:rsidR="00906BAA">
        <w:t>r</w:t>
      </w:r>
      <w:r w:rsidRPr="00FA4A95">
        <w:t>etention</w:t>
      </w:r>
      <w:bookmarkEnd w:id="403"/>
      <w:bookmarkEnd w:id="404"/>
      <w:r w:rsidRPr="00FA4A95">
        <w:t xml:space="preserve"> </w:t>
      </w:r>
    </w:p>
    <w:p w14:paraId="1AB113ED" w14:textId="77777777" w:rsidR="00500520" w:rsidRDefault="00384835" w:rsidP="00664937">
      <w:pPr>
        <w:pStyle w:val="Heading4"/>
      </w:pPr>
      <w:r>
        <w:t>Graduate Program</w:t>
      </w:r>
    </w:p>
    <w:p w14:paraId="03AE5EBF" w14:textId="2E5589D3" w:rsidR="003D4DF8" w:rsidRDefault="003D4DF8" w:rsidP="003D4DF8">
      <w:pPr>
        <w:rPr>
          <w:lang w:val="en-US" w:eastAsia="en-AU"/>
        </w:rPr>
      </w:pPr>
      <w:r w:rsidRPr="00025405">
        <w:rPr>
          <w:lang w:val="en-US" w:eastAsia="en-AU"/>
        </w:rPr>
        <w:t xml:space="preserve">The Graduate Program advances graduate career opportunities in an exciting, supportive and diverse environment. The Graduate Program ties into the </w:t>
      </w:r>
      <w:r w:rsidR="00C726B0">
        <w:rPr>
          <w:lang w:val="en-US" w:eastAsia="en-AU"/>
        </w:rPr>
        <w:t>WorkCover WA</w:t>
      </w:r>
      <w:r w:rsidRPr="00025405">
        <w:rPr>
          <w:lang w:val="en-US" w:eastAsia="en-AU"/>
        </w:rPr>
        <w:t xml:space="preserve"> Workforce Plan by developing future management and leadership capabilities.</w:t>
      </w:r>
      <w:r w:rsidR="00025405">
        <w:rPr>
          <w:lang w:val="en-US" w:eastAsia="en-AU"/>
        </w:rPr>
        <w:t xml:space="preserve"> As part of the Program the graduates complete</w:t>
      </w:r>
      <w:r w:rsidR="00AD674D">
        <w:rPr>
          <w:lang w:val="en-US" w:eastAsia="en-AU"/>
        </w:rPr>
        <w:t xml:space="preserve"> placements across the Agency to</w:t>
      </w:r>
      <w:r w:rsidR="00025405">
        <w:rPr>
          <w:lang w:val="en-US" w:eastAsia="en-AU"/>
        </w:rPr>
        <w:t xml:space="preserve"> provide practical ‘on-the-job’ skills and experience applicable to </w:t>
      </w:r>
      <w:r w:rsidR="00C726B0">
        <w:rPr>
          <w:lang w:val="en-US" w:eastAsia="en-AU"/>
        </w:rPr>
        <w:t>WorkCover WA</w:t>
      </w:r>
      <w:r w:rsidR="00025405">
        <w:rPr>
          <w:lang w:val="en-US" w:eastAsia="en-AU"/>
        </w:rPr>
        <w:t>’s business operations.</w:t>
      </w:r>
    </w:p>
    <w:p w14:paraId="7CA261E4" w14:textId="50B1A7F0" w:rsidR="00025405" w:rsidRDefault="00025405" w:rsidP="00025405">
      <w:r>
        <w:rPr>
          <w:lang w:val="en-US" w:eastAsia="en-AU"/>
        </w:rPr>
        <w:t xml:space="preserve">Two graduates commenced employment with </w:t>
      </w:r>
      <w:r w:rsidR="00C726B0">
        <w:rPr>
          <w:lang w:val="en-US" w:eastAsia="en-AU"/>
        </w:rPr>
        <w:t>WorkCover WA</w:t>
      </w:r>
      <w:r>
        <w:rPr>
          <w:lang w:val="en-US" w:eastAsia="en-AU"/>
        </w:rPr>
        <w:t xml:space="preserve"> in February 2015. </w:t>
      </w:r>
      <w:r w:rsidRPr="006E6108">
        <w:t xml:space="preserve">To date the graduates have </w:t>
      </w:r>
      <w:r>
        <w:t>completed</w:t>
      </w:r>
      <w:r w:rsidRPr="006E6108">
        <w:t xml:space="preserve"> work placements in </w:t>
      </w:r>
      <w:r>
        <w:t xml:space="preserve">the </w:t>
      </w:r>
      <w:r w:rsidRPr="006E6108">
        <w:t>Conciliation and Arbitration Services and Regulatory Services</w:t>
      </w:r>
      <w:r>
        <w:t xml:space="preserve"> divisions</w:t>
      </w:r>
      <w:r w:rsidRPr="006E6108">
        <w:t xml:space="preserve">. As part of their work placements both Graduates have </w:t>
      </w:r>
      <w:r>
        <w:t>assisted</w:t>
      </w:r>
      <w:r w:rsidRPr="006E6108">
        <w:t xml:space="preserve"> with the preparation of submissions to be consid</w:t>
      </w:r>
      <w:r>
        <w:t xml:space="preserve">ered by the </w:t>
      </w:r>
      <w:r w:rsidR="00C726B0">
        <w:t>WorkCover WA</w:t>
      </w:r>
      <w:r>
        <w:t xml:space="preserve"> Board.</w:t>
      </w:r>
    </w:p>
    <w:p w14:paraId="30A4ABF1" w14:textId="2230283C" w:rsidR="00025405" w:rsidRPr="00025405" w:rsidRDefault="001D494F" w:rsidP="00025405">
      <w:pPr>
        <w:rPr>
          <w:lang w:val="en-US" w:eastAsia="en-AU"/>
        </w:rPr>
      </w:pPr>
      <w:r w:rsidRPr="001D494F">
        <w:t xml:space="preserve">The Graduates are concurrently completing the </w:t>
      </w:r>
      <w:r w:rsidR="00E20F64">
        <w:t xml:space="preserve">Public Sector Commission’s </w:t>
      </w:r>
      <w:r w:rsidRPr="001D494F">
        <w:t>Graduate Future Leaders program</w:t>
      </w:r>
      <w:r w:rsidR="00E20F64">
        <w:t>.</w:t>
      </w:r>
    </w:p>
    <w:p w14:paraId="5D6DFF29" w14:textId="3E4C1CF3" w:rsidR="00B16870" w:rsidRDefault="003D4DF8" w:rsidP="00664937">
      <w:pPr>
        <w:pStyle w:val="Heading4"/>
      </w:pPr>
      <w:bookmarkStart w:id="405" w:name="_Toc399317010"/>
      <w:r>
        <w:t>New</w:t>
      </w:r>
      <w:r w:rsidR="00B16870">
        <w:t xml:space="preserve"> </w:t>
      </w:r>
      <w:r w:rsidR="009B41F5">
        <w:t>a</w:t>
      </w:r>
      <w:r w:rsidR="00B16870">
        <w:t xml:space="preserve">ttraction and </w:t>
      </w:r>
      <w:r w:rsidR="009B41F5">
        <w:t>r</w:t>
      </w:r>
      <w:r w:rsidR="00B16870">
        <w:t>e</w:t>
      </w:r>
      <w:r w:rsidR="004E0AA0">
        <w:t>cruitment</w:t>
      </w:r>
      <w:r w:rsidR="00B16870">
        <w:t xml:space="preserve"> </w:t>
      </w:r>
      <w:r w:rsidR="009B41F5">
        <w:t>m</w:t>
      </w:r>
      <w:r w:rsidR="00B16870">
        <w:t>ethod</w:t>
      </w:r>
      <w:bookmarkEnd w:id="405"/>
      <w:r w:rsidR="00604516">
        <w:t>s</w:t>
      </w:r>
      <w:r w:rsidR="00B16870">
        <w:t xml:space="preserve"> </w:t>
      </w:r>
    </w:p>
    <w:p w14:paraId="18518DB5" w14:textId="1A0DD406" w:rsidR="003D4DF8" w:rsidRDefault="00D91F61" w:rsidP="003D4DF8">
      <w:pPr>
        <w:rPr>
          <w:lang w:val="en-US" w:eastAsia="en-AU"/>
        </w:rPr>
      </w:pPr>
      <w:r>
        <w:rPr>
          <w:lang w:val="en-US" w:eastAsia="en-AU"/>
        </w:rPr>
        <w:t>Last financial year</w:t>
      </w:r>
      <w:r w:rsidR="003D4DF8" w:rsidRPr="00604516">
        <w:rPr>
          <w:lang w:val="en-US" w:eastAsia="en-AU"/>
        </w:rPr>
        <w:t xml:space="preserve"> </w:t>
      </w:r>
      <w:r w:rsidR="00C726B0">
        <w:rPr>
          <w:lang w:val="en-US" w:eastAsia="en-AU"/>
        </w:rPr>
        <w:t>WorkCover WA</w:t>
      </w:r>
      <w:r w:rsidR="003D4DF8" w:rsidRPr="00604516">
        <w:rPr>
          <w:lang w:val="en-US" w:eastAsia="en-AU"/>
        </w:rPr>
        <w:t xml:space="preserve"> implemented new attracti</w:t>
      </w:r>
      <w:r w:rsidR="00604516" w:rsidRPr="00604516">
        <w:rPr>
          <w:lang w:val="en-US" w:eastAsia="en-AU"/>
        </w:rPr>
        <w:t>on and recruitment methods</w:t>
      </w:r>
      <w:r w:rsidR="003D4DF8" w:rsidRPr="00604516">
        <w:rPr>
          <w:lang w:val="en-US" w:eastAsia="en-AU"/>
        </w:rPr>
        <w:t xml:space="preserve"> </w:t>
      </w:r>
      <w:r w:rsidR="00604516" w:rsidRPr="00604516">
        <w:rPr>
          <w:lang w:val="en-US" w:eastAsia="en-AU"/>
        </w:rPr>
        <w:t>to enhance</w:t>
      </w:r>
      <w:r w:rsidR="003D4DF8" w:rsidRPr="00604516">
        <w:rPr>
          <w:lang w:val="en-US" w:eastAsia="en-AU"/>
        </w:rPr>
        <w:t xml:space="preserve"> the Agency’s ability to identify the most suitable and availa</w:t>
      </w:r>
      <w:r w:rsidR="00025405" w:rsidRPr="00604516">
        <w:rPr>
          <w:lang w:val="en-US" w:eastAsia="en-AU"/>
        </w:rPr>
        <w:t>ble candidates for appointment.</w:t>
      </w:r>
      <w:r w:rsidR="000524E8">
        <w:rPr>
          <w:lang w:val="en-US" w:eastAsia="en-AU"/>
        </w:rPr>
        <w:t xml:space="preserve"> A review of these</w:t>
      </w:r>
      <w:r w:rsidR="00604516" w:rsidRPr="00604516">
        <w:rPr>
          <w:lang w:val="en-US" w:eastAsia="en-AU"/>
        </w:rPr>
        <w:t xml:space="preserve"> new methods </w:t>
      </w:r>
      <w:r w:rsidR="000524E8">
        <w:rPr>
          <w:lang w:val="en-US" w:eastAsia="en-AU"/>
        </w:rPr>
        <w:t>conducted</w:t>
      </w:r>
      <w:r w:rsidR="00604516">
        <w:rPr>
          <w:lang w:val="en-US" w:eastAsia="en-AU"/>
        </w:rPr>
        <w:t xml:space="preserve"> during </w:t>
      </w:r>
      <w:r w:rsidR="000524E8">
        <w:rPr>
          <w:lang w:val="en-US" w:eastAsia="en-AU"/>
        </w:rPr>
        <w:t>the</w:t>
      </w:r>
      <w:r w:rsidR="00604516">
        <w:rPr>
          <w:lang w:val="en-US" w:eastAsia="en-AU"/>
        </w:rPr>
        <w:t xml:space="preserve"> year</w:t>
      </w:r>
      <w:r w:rsidR="000524E8">
        <w:rPr>
          <w:lang w:val="en-US" w:eastAsia="en-AU"/>
        </w:rPr>
        <w:t xml:space="preserve"> concluded that they were highly </w:t>
      </w:r>
      <w:r w:rsidR="00604516" w:rsidRPr="00604516">
        <w:rPr>
          <w:lang w:val="en-US" w:eastAsia="en-AU"/>
        </w:rPr>
        <w:t>effective in engaging quality</w:t>
      </w:r>
      <w:r w:rsidR="000524E8">
        <w:rPr>
          <w:lang w:val="en-US" w:eastAsia="en-AU"/>
        </w:rPr>
        <w:t xml:space="preserve"> </w:t>
      </w:r>
      <w:r w:rsidR="00604516" w:rsidRPr="00604516">
        <w:rPr>
          <w:lang w:val="en-US" w:eastAsia="en-AU"/>
        </w:rPr>
        <w:t>employees in previous</w:t>
      </w:r>
      <w:r w:rsidR="00604516">
        <w:rPr>
          <w:lang w:val="en-US" w:eastAsia="en-AU"/>
        </w:rPr>
        <w:t>ly difficult to fill positions.</w:t>
      </w:r>
    </w:p>
    <w:p w14:paraId="5F1F40D1" w14:textId="2614C4F9" w:rsidR="00604516" w:rsidRDefault="00604516" w:rsidP="003D4DF8">
      <w:pPr>
        <w:rPr>
          <w:lang w:val="en-US" w:eastAsia="en-AU"/>
        </w:rPr>
      </w:pPr>
      <w:r>
        <w:rPr>
          <w:lang w:val="en-US" w:eastAsia="en-AU"/>
        </w:rPr>
        <w:t xml:space="preserve">In 2014/15 </w:t>
      </w:r>
      <w:r w:rsidR="00C726B0">
        <w:rPr>
          <w:lang w:val="en-US" w:eastAsia="en-AU"/>
        </w:rPr>
        <w:t>WorkCover WA</w:t>
      </w:r>
      <w:r>
        <w:rPr>
          <w:lang w:val="en-US" w:eastAsia="en-AU"/>
        </w:rPr>
        <w:t xml:space="preserve"> successfully recruited eight new employees through alternative attraction and recruitment methods, including:</w:t>
      </w:r>
    </w:p>
    <w:p w14:paraId="0ACB6B18" w14:textId="08628C3B" w:rsidR="00604516" w:rsidRDefault="00604516" w:rsidP="00604516">
      <w:pPr>
        <w:pStyle w:val="BulletListLevel1"/>
        <w:rPr>
          <w:lang w:val="en-US" w:eastAsia="en-AU"/>
        </w:rPr>
      </w:pPr>
      <w:r>
        <w:rPr>
          <w:lang w:val="en-US" w:eastAsia="en-AU"/>
        </w:rPr>
        <w:t>selecting appointees who were second ranked for similar positions</w:t>
      </w:r>
    </w:p>
    <w:p w14:paraId="2062C66A" w14:textId="4A4026CC" w:rsidR="00604516" w:rsidRDefault="00D91F61" w:rsidP="00604516">
      <w:pPr>
        <w:pStyle w:val="BulletListLevel1"/>
        <w:rPr>
          <w:lang w:val="en-US" w:eastAsia="en-AU"/>
        </w:rPr>
      </w:pPr>
      <w:r>
        <w:rPr>
          <w:lang w:val="en-US" w:eastAsia="en-AU"/>
        </w:rPr>
        <w:t>permanent</w:t>
      </w:r>
      <w:r w:rsidR="00604516">
        <w:rPr>
          <w:lang w:val="en-US" w:eastAsia="en-AU"/>
        </w:rPr>
        <w:t xml:space="preserve"> </w:t>
      </w:r>
      <w:r w:rsidR="000524E8">
        <w:rPr>
          <w:lang w:val="en-US" w:eastAsia="en-AU"/>
        </w:rPr>
        <w:t>appointment of staff on secondment to WorkCover WA</w:t>
      </w:r>
    </w:p>
    <w:p w14:paraId="607C4875" w14:textId="35435918" w:rsidR="00507D85" w:rsidRPr="00507D85" w:rsidRDefault="00507D85" w:rsidP="00507D85">
      <w:pPr>
        <w:pStyle w:val="BulletListLevel1"/>
        <w:rPr>
          <w:lang w:val="en-US" w:eastAsia="en-AU"/>
        </w:rPr>
      </w:pPr>
      <w:r>
        <w:rPr>
          <w:lang w:val="en-US" w:eastAsia="en-AU"/>
        </w:rPr>
        <w:t>advertising for a pool of applicants for entry level positions to be drawn on as required</w:t>
      </w:r>
    </w:p>
    <w:p w14:paraId="47AA5DFE" w14:textId="46BBB4D4" w:rsidR="00604516" w:rsidRDefault="00604516" w:rsidP="00604516">
      <w:pPr>
        <w:pStyle w:val="BulletListLevel1"/>
        <w:rPr>
          <w:lang w:val="en-US" w:eastAsia="en-AU"/>
        </w:rPr>
      </w:pPr>
      <w:r>
        <w:rPr>
          <w:lang w:val="en-US" w:eastAsia="en-AU"/>
        </w:rPr>
        <w:t>engaging recruitment agencies to source candidates prior to advertising</w:t>
      </w:r>
    </w:p>
    <w:p w14:paraId="2A14F080" w14:textId="4271229C" w:rsidR="00604516" w:rsidRDefault="00604516" w:rsidP="00604516">
      <w:pPr>
        <w:pStyle w:val="BulletListLevel1"/>
        <w:rPr>
          <w:lang w:val="en-US" w:eastAsia="en-AU"/>
        </w:rPr>
      </w:pPr>
      <w:r>
        <w:rPr>
          <w:lang w:val="en-US" w:eastAsia="en-AU"/>
        </w:rPr>
        <w:lastRenderedPageBreak/>
        <w:t>engaging employees on fixed term contracts prior to advertising.</w:t>
      </w:r>
    </w:p>
    <w:p w14:paraId="005B1CEB" w14:textId="7A08C74C" w:rsidR="00604516" w:rsidRPr="00604516" w:rsidRDefault="00604516" w:rsidP="00604516">
      <w:pPr>
        <w:rPr>
          <w:lang w:val="en-US" w:eastAsia="en-AU"/>
        </w:rPr>
      </w:pPr>
      <w:r>
        <w:rPr>
          <w:lang w:val="en-US" w:eastAsia="en-AU"/>
        </w:rPr>
        <w:t xml:space="preserve">All appointees were subject to a merit-based selection and appointment process. </w:t>
      </w:r>
    </w:p>
    <w:p w14:paraId="56C61491" w14:textId="77777777" w:rsidR="00507649" w:rsidRDefault="00507649" w:rsidP="00664937">
      <w:pPr>
        <w:pStyle w:val="Heading4"/>
      </w:pPr>
      <w:r>
        <w:t xml:space="preserve">Succession </w:t>
      </w:r>
      <w:r w:rsidR="00906BAA">
        <w:t>m</w:t>
      </w:r>
      <w:r>
        <w:t xml:space="preserve">anagement </w:t>
      </w:r>
      <w:r w:rsidR="00906BAA">
        <w:t>r</w:t>
      </w:r>
      <w:r>
        <w:t>eview</w:t>
      </w:r>
    </w:p>
    <w:p w14:paraId="4D0BA5B5" w14:textId="77777777" w:rsidR="00815D5F" w:rsidRDefault="000524E8" w:rsidP="000524E8">
      <w:r>
        <w:rPr>
          <w:lang w:val="en-US" w:eastAsia="en-AU"/>
        </w:rPr>
        <w:t>WorkCover WA</w:t>
      </w:r>
      <w:r w:rsidRPr="009F1B67">
        <w:rPr>
          <w:lang w:val="en-US" w:eastAsia="en-AU"/>
        </w:rPr>
        <w:t xml:space="preserve">’s succession planning framework </w:t>
      </w:r>
      <w:r>
        <w:rPr>
          <w:lang w:val="en-US" w:eastAsia="en-AU"/>
        </w:rPr>
        <w:t>enhances leadership development and business continuity and ensures our staff are capable of undertaking different roles across the Agency</w:t>
      </w:r>
      <w:r>
        <w:t xml:space="preserve">. </w:t>
      </w:r>
    </w:p>
    <w:p w14:paraId="2F3AE4C2" w14:textId="51890153" w:rsidR="000524E8" w:rsidRPr="009F1B67" w:rsidRDefault="000524E8" w:rsidP="000524E8">
      <w:pPr>
        <w:rPr>
          <w:lang w:val="en-US" w:eastAsia="en-AU"/>
        </w:rPr>
      </w:pPr>
      <w:r>
        <w:t>During the year the capacity of WorkCover WA to fill its critical positions for short and long term periods was reviewed. This resulted in strategies to increase the Agency’s capability to fill these roles. These strategies have been included in the Performance Develo</w:t>
      </w:r>
      <w:r w:rsidR="00B42604">
        <w:t>p</w:t>
      </w:r>
      <w:r>
        <w:t>ment A</w:t>
      </w:r>
      <w:r w:rsidR="00815D5F">
        <w:t>gr</w:t>
      </w:r>
      <w:r>
        <w:t xml:space="preserve">eement process. </w:t>
      </w:r>
    </w:p>
    <w:p w14:paraId="7B8DE1C7" w14:textId="77777777" w:rsidR="005A185F" w:rsidRDefault="007E3B22" w:rsidP="00F205F2">
      <w:pPr>
        <w:pStyle w:val="Heading3nonumber"/>
      </w:pPr>
      <w:bookmarkStart w:id="406" w:name="_Toc426617545"/>
      <w:bookmarkStart w:id="407" w:name="_Toc430091274"/>
      <w:r>
        <w:t>Workplace consultation</w:t>
      </w:r>
      <w:bookmarkEnd w:id="406"/>
      <w:bookmarkEnd w:id="407"/>
      <w:r>
        <w:t xml:space="preserve"> </w:t>
      </w:r>
    </w:p>
    <w:p w14:paraId="7FA631D0" w14:textId="77777777" w:rsidR="00507D85" w:rsidRPr="00F205F2" w:rsidRDefault="00507D85" w:rsidP="00507D85">
      <w:pPr>
        <w:pStyle w:val="Heading3nonumber"/>
        <w:rPr>
          <w:color w:val="auto"/>
        </w:rPr>
      </w:pPr>
      <w:bookmarkStart w:id="408" w:name="_Toc426617546"/>
      <w:bookmarkStart w:id="409" w:name="_Toc430091275"/>
      <w:r w:rsidRPr="00F205F2">
        <w:rPr>
          <w:color w:val="auto"/>
        </w:rPr>
        <w:t>Innovation framework development</w:t>
      </w:r>
      <w:bookmarkEnd w:id="408"/>
      <w:bookmarkEnd w:id="409"/>
    </w:p>
    <w:p w14:paraId="5916FCC8" w14:textId="6FB29781" w:rsidR="00473414" w:rsidRDefault="00473414" w:rsidP="00473414">
      <w:r>
        <w:t>WorkCover WA’s Innovation Framework provides a high-level approach to exploring innovative practice and policy across WorkCover WA.</w:t>
      </w:r>
    </w:p>
    <w:p w14:paraId="61EC7605" w14:textId="77777777" w:rsidR="00473414" w:rsidRDefault="00473414" w:rsidP="00473414">
      <w:r>
        <w:t xml:space="preserve">The Agency seeks to build a culture of innovation by providing opportunities to raise and share ideas to achieve cost savings, </w:t>
      </w:r>
      <w:r w:rsidRPr="001D494F">
        <w:t>and improve performance and service delivery.</w:t>
      </w:r>
    </w:p>
    <w:p w14:paraId="47789733" w14:textId="59998B6F" w:rsidR="00473414" w:rsidRDefault="006E15BC" w:rsidP="006E15BC">
      <w:pPr>
        <w:tabs>
          <w:tab w:val="left" w:pos="6720"/>
        </w:tabs>
      </w:pPr>
      <w:r>
        <w:t xml:space="preserve">In January 2015 the Framework was </w:t>
      </w:r>
      <w:r w:rsidR="00CA66C0">
        <w:t>implemented through the development of the following four elements:</w:t>
      </w:r>
    </w:p>
    <w:p w14:paraId="784D6341" w14:textId="77777777" w:rsidR="00473414" w:rsidRDefault="00473414" w:rsidP="00473414">
      <w:pPr>
        <w:pStyle w:val="BulletListLevel1"/>
      </w:pPr>
      <w:r w:rsidRPr="00F0461E">
        <w:rPr>
          <w:rStyle w:val="Heading4Char"/>
        </w:rPr>
        <w:t>Innovation Support Committee</w:t>
      </w:r>
      <w:r>
        <w:br/>
        <w:t>The Committee first met in February 2015 and oversees the operation of the Innovation Framework.</w:t>
      </w:r>
    </w:p>
    <w:p w14:paraId="4BE5ABC0" w14:textId="44035C5A" w:rsidR="00473414" w:rsidRDefault="00473414" w:rsidP="00473414">
      <w:pPr>
        <w:pStyle w:val="BulletListLevel1"/>
      </w:pPr>
      <w:r w:rsidRPr="00F0461E">
        <w:rPr>
          <w:rStyle w:val="Heading4Char"/>
        </w:rPr>
        <w:t>Idea Management Tool</w:t>
      </w:r>
      <w:r w:rsidRPr="00F0461E">
        <w:rPr>
          <w:rStyle w:val="Heading4Char"/>
        </w:rPr>
        <w:br/>
      </w:r>
      <w:r w:rsidR="00510CF1">
        <w:t>Known as</w:t>
      </w:r>
      <w:r w:rsidR="00510CF1" w:rsidRPr="00F30DEE">
        <w:t xml:space="preserve"> ‘Launchpad’</w:t>
      </w:r>
      <w:r w:rsidR="00510CF1">
        <w:t xml:space="preserve"> the online idea management tool</w:t>
      </w:r>
      <w:r w:rsidR="00510CF1" w:rsidRPr="00F30DEE">
        <w:t xml:space="preserve"> </w:t>
      </w:r>
      <w:r w:rsidR="00510CF1">
        <w:t>went live in January 2015 to provide</w:t>
      </w:r>
      <w:r w:rsidR="00510CF1" w:rsidRPr="00F30DEE">
        <w:t xml:space="preserve"> a forum for staff to raise and share ideas </w:t>
      </w:r>
      <w:r w:rsidR="00510CF1">
        <w:t>across the organisation</w:t>
      </w:r>
      <w:r w:rsidR="00510CF1" w:rsidRPr="00F30DEE">
        <w:t xml:space="preserve">. All </w:t>
      </w:r>
      <w:r w:rsidR="00510CF1">
        <w:t xml:space="preserve">submitted </w:t>
      </w:r>
      <w:r w:rsidR="00510CF1" w:rsidRPr="00F30DEE">
        <w:t xml:space="preserve">ideas are reviewed by the </w:t>
      </w:r>
      <w:r w:rsidR="00510CF1">
        <w:t xml:space="preserve">Innovation Support </w:t>
      </w:r>
      <w:r w:rsidR="00510CF1" w:rsidRPr="00F30DEE">
        <w:t>Committee. Collaboration</w:t>
      </w:r>
      <w:r w:rsidR="00510CF1">
        <w:t xml:space="preserve"> is encouraged</w:t>
      </w:r>
      <w:r w:rsidR="00510CF1" w:rsidRPr="00F30DEE">
        <w:t xml:space="preserve"> between staff to generate and/or implement ideas</w:t>
      </w:r>
      <w:r w:rsidR="00510CF1">
        <w:t>.</w:t>
      </w:r>
    </w:p>
    <w:p w14:paraId="44FAB765" w14:textId="3E26774B" w:rsidR="00473414" w:rsidRDefault="00473414" w:rsidP="00473414">
      <w:pPr>
        <w:pStyle w:val="BulletListLevel1"/>
      </w:pPr>
      <w:r w:rsidRPr="00F0461E">
        <w:rPr>
          <w:rStyle w:val="Heading4Char"/>
        </w:rPr>
        <w:t>Promotion</w:t>
      </w:r>
      <w:r w:rsidRPr="00F0461E">
        <w:rPr>
          <w:rStyle w:val="Heading4Char"/>
        </w:rPr>
        <w:br/>
      </w:r>
      <w:r w:rsidRPr="00D73A20">
        <w:t xml:space="preserve">Promotion of </w:t>
      </w:r>
      <w:r w:rsidR="00510CF1">
        <w:t>Launchpad</w:t>
      </w:r>
      <w:r w:rsidRPr="00D73A20">
        <w:t xml:space="preserve"> and innovation in general occurs </w:t>
      </w:r>
      <w:r>
        <w:t>via intranet news articles, all-</w:t>
      </w:r>
      <w:r w:rsidRPr="00D73A20">
        <w:t xml:space="preserve">staff emails, demonstrations of the </w:t>
      </w:r>
      <w:r w:rsidR="003347A2">
        <w:t>Idea Management Tool</w:t>
      </w:r>
      <w:r w:rsidRPr="00D73A20">
        <w:t>, and other initiatives.</w:t>
      </w:r>
    </w:p>
    <w:p w14:paraId="615A84F1" w14:textId="1E6E4A38" w:rsidR="00473414" w:rsidRDefault="00473414" w:rsidP="00473414">
      <w:pPr>
        <w:pStyle w:val="BulletListLevel1"/>
      </w:pPr>
      <w:r w:rsidRPr="00F0461E">
        <w:rPr>
          <w:rStyle w:val="Heading4Char"/>
        </w:rPr>
        <w:lastRenderedPageBreak/>
        <w:t>Recognition</w:t>
      </w:r>
      <w:r w:rsidRPr="00F0461E">
        <w:rPr>
          <w:rStyle w:val="Heading4Char"/>
        </w:rPr>
        <w:br/>
      </w:r>
      <w:r w:rsidR="00510CF1" w:rsidRPr="00510CF1">
        <w:t>WorkCover WA staff are recognised for their contribution to innovation in the Agency through opportunities to be involved in the development of their ideas (even if they don’t work in the area affected by the idea), and acknowledgement in the monthly CEO message and intranet news articles.</w:t>
      </w:r>
    </w:p>
    <w:p w14:paraId="30C601A9" w14:textId="41A7578A" w:rsidR="00D73A20" w:rsidRDefault="00D73A20" w:rsidP="001D494F">
      <w:pPr>
        <w:rPr>
          <w:b/>
          <w:bCs/>
        </w:rPr>
      </w:pPr>
      <w:r w:rsidRPr="00D73A20">
        <w:t xml:space="preserve">2014/15 outcomes from the Innovation Framework can be found under ‘Innovation Support Committee’ in </w:t>
      </w:r>
      <w:r w:rsidRPr="001D494F">
        <w:rPr>
          <w:i/>
        </w:rPr>
        <w:t>Section 1: Agency in focus</w:t>
      </w:r>
      <w:r w:rsidRPr="00D73A20">
        <w:t xml:space="preserve"> on </w:t>
      </w:r>
      <w:r w:rsidR="00D945EE" w:rsidRPr="00D945EE">
        <w:t>page 41</w:t>
      </w:r>
      <w:r w:rsidRPr="00D945EE">
        <w:t>.</w:t>
      </w:r>
    </w:p>
    <w:p w14:paraId="23078A55" w14:textId="77777777" w:rsidR="006D48C1" w:rsidRDefault="006D48C1" w:rsidP="006F2F0B">
      <w:pPr>
        <w:pStyle w:val="Heading1nonumber"/>
      </w:pPr>
      <w:bookmarkStart w:id="410" w:name="_Toc399317011"/>
      <w:bookmarkStart w:id="411" w:name="_Toc426617547"/>
      <w:bookmarkStart w:id="412" w:name="_Toc430091276"/>
      <w:r>
        <w:t>Equality and inclusion</w:t>
      </w:r>
      <w:bookmarkEnd w:id="410"/>
      <w:bookmarkEnd w:id="411"/>
      <w:bookmarkEnd w:id="412"/>
    </w:p>
    <w:tbl>
      <w:tblPr>
        <w:tblW w:w="0" w:type="auto"/>
        <w:tblInd w:w="80"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4595"/>
        <w:gridCol w:w="4052"/>
      </w:tblGrid>
      <w:tr w:rsidR="00D92E03" w:rsidRPr="00630BE0" w14:paraId="3E659ADD" w14:textId="77777777" w:rsidTr="00E22526">
        <w:trPr>
          <w:trHeight w:val="60"/>
        </w:trPr>
        <w:tc>
          <w:tcPr>
            <w:tcW w:w="4595" w:type="dxa"/>
            <w:vMerge w:val="restart"/>
            <w:tcBorders>
              <w:top w:val="single" w:sz="2" w:space="0" w:color="897719" w:themeColor="accent3"/>
              <w:left w:val="single" w:sz="2" w:space="0" w:color="897719" w:themeColor="accent3"/>
              <w:bottom w:val="single" w:sz="2" w:space="0" w:color="897719" w:themeColor="accent3"/>
              <w:right w:val="single" w:sz="2" w:space="0" w:color="F5EDC1" w:themeColor="accent4"/>
            </w:tcBorders>
            <w:shd w:val="clear" w:color="auto" w:fill="86731E" w:themeFill="text1"/>
            <w:tcMar>
              <w:top w:w="113" w:type="dxa"/>
              <w:left w:w="80" w:type="dxa"/>
              <w:bottom w:w="113" w:type="dxa"/>
              <w:right w:w="80" w:type="dxa"/>
            </w:tcMar>
          </w:tcPr>
          <w:p w14:paraId="7352A5E8" w14:textId="77777777" w:rsidR="00D92E03" w:rsidRPr="00D92E03" w:rsidRDefault="00D92E03" w:rsidP="00D31603">
            <w:pPr>
              <w:rPr>
                <w:rStyle w:val="Strong"/>
              </w:rPr>
            </w:pPr>
            <w:r w:rsidRPr="00D92E03">
              <w:rPr>
                <w:rStyle w:val="Strong"/>
              </w:rPr>
              <w:t>The following initiatives all fall under the banner of the Equal Employment Opportunity Plan. All initiatives are aligned with, and contribute to:</w:t>
            </w:r>
          </w:p>
        </w:tc>
        <w:tc>
          <w:tcPr>
            <w:tcW w:w="4052" w:type="dxa"/>
            <w:tcBorders>
              <w:top w:val="single" w:sz="2" w:space="0" w:color="897719" w:themeColor="accent3"/>
              <w:left w:val="single" w:sz="2" w:space="0" w:color="F5EDC1" w:themeColor="accent4"/>
              <w:bottom w:val="single" w:sz="2" w:space="0" w:color="897719" w:themeColor="accent3"/>
              <w:right w:val="single" w:sz="2" w:space="0" w:color="897719" w:themeColor="accent3"/>
            </w:tcBorders>
            <w:shd w:val="clear" w:color="auto" w:fill="86731E" w:themeFill="text1"/>
            <w:tcMar>
              <w:top w:w="113" w:type="dxa"/>
              <w:left w:w="80" w:type="dxa"/>
              <w:bottom w:w="113" w:type="dxa"/>
              <w:right w:w="80" w:type="dxa"/>
            </w:tcMar>
          </w:tcPr>
          <w:p w14:paraId="44B3BCFA" w14:textId="0240E36B" w:rsidR="00D92E03" w:rsidRPr="000D4B1A" w:rsidRDefault="00C726B0" w:rsidP="00D31603">
            <w:pPr>
              <w:rPr>
                <w:rStyle w:val="Strong"/>
              </w:rPr>
            </w:pPr>
            <w:r>
              <w:rPr>
                <w:rStyle w:val="Strong"/>
              </w:rPr>
              <w:t>WorkCover WA</w:t>
            </w:r>
            <w:r w:rsidR="000D4B1A" w:rsidRPr="000D4B1A">
              <w:rPr>
                <w:rStyle w:val="Strong"/>
              </w:rPr>
              <w:t xml:space="preserve"> </w:t>
            </w:r>
            <w:r w:rsidR="00D92E03" w:rsidRPr="000D4B1A">
              <w:rPr>
                <w:rStyle w:val="Strong"/>
              </w:rPr>
              <w:t>Strategic Goal</w:t>
            </w:r>
          </w:p>
        </w:tc>
      </w:tr>
      <w:tr w:rsidR="00D92E03" w:rsidRPr="005D768A" w14:paraId="2CB0CE09" w14:textId="77777777" w:rsidTr="00E22526">
        <w:trPr>
          <w:trHeight w:val="825"/>
        </w:trPr>
        <w:tc>
          <w:tcPr>
            <w:tcW w:w="4595" w:type="dxa"/>
            <w:vMerge/>
            <w:tcBorders>
              <w:top w:val="single" w:sz="2" w:space="0" w:color="897719" w:themeColor="accent3"/>
              <w:bottom w:val="single" w:sz="4" w:space="0" w:color="86731E" w:themeColor="text1"/>
              <w:right w:val="single" w:sz="2" w:space="0" w:color="F5EDC1" w:themeColor="accent4"/>
            </w:tcBorders>
          </w:tcPr>
          <w:p w14:paraId="5AF2D42B" w14:textId="77777777" w:rsidR="00D92E03" w:rsidRPr="005D768A" w:rsidRDefault="00D92E03" w:rsidP="00D31603">
            <w:pPr>
              <w:rPr>
                <w:lang w:eastAsia="en-AU"/>
              </w:rPr>
            </w:pPr>
          </w:p>
        </w:tc>
        <w:tc>
          <w:tcPr>
            <w:tcW w:w="4052" w:type="dxa"/>
            <w:tcBorders>
              <w:top w:val="single" w:sz="2" w:space="0" w:color="897719" w:themeColor="accent3"/>
              <w:left w:val="single" w:sz="2" w:space="0" w:color="F5EDC1" w:themeColor="accent4"/>
              <w:bottom w:val="single" w:sz="4" w:space="0" w:color="86731E" w:themeColor="text1"/>
            </w:tcBorders>
            <w:tcMar>
              <w:top w:w="113" w:type="dxa"/>
              <w:left w:w="80" w:type="dxa"/>
              <w:bottom w:w="113" w:type="dxa"/>
              <w:right w:w="80" w:type="dxa"/>
            </w:tcMar>
          </w:tcPr>
          <w:p w14:paraId="30C26531" w14:textId="77777777" w:rsidR="00D92E03" w:rsidRPr="00291093" w:rsidRDefault="00D92E03" w:rsidP="00D31603">
            <w:pPr>
              <w:rPr>
                <w:rStyle w:val="Strong"/>
              </w:rPr>
            </w:pPr>
            <w:r w:rsidRPr="00291093">
              <w:rPr>
                <w:rStyle w:val="Strong"/>
              </w:rPr>
              <w:t>4</w:t>
            </w:r>
            <w:r w:rsidR="00291093" w:rsidRPr="00291093">
              <w:rPr>
                <w:rStyle w:val="Strong"/>
              </w:rPr>
              <w:t xml:space="preserve"> – Organisational Excellence </w:t>
            </w:r>
          </w:p>
        </w:tc>
      </w:tr>
    </w:tbl>
    <w:p w14:paraId="5AC1D3B5" w14:textId="2DCFE826" w:rsidR="006F7496" w:rsidRPr="00F22490" w:rsidRDefault="005A185F" w:rsidP="006F2F0B">
      <w:pPr>
        <w:pStyle w:val="Heading2nonumber"/>
      </w:pPr>
      <w:bookmarkStart w:id="413" w:name="_Toc426617548"/>
      <w:bookmarkStart w:id="414" w:name="_Toc430091277"/>
      <w:r w:rsidRPr="00126C45">
        <w:t>Disab</w:t>
      </w:r>
      <w:r w:rsidR="001206ED">
        <w:t>ility Access and Inclusion Plan</w:t>
      </w:r>
      <w:bookmarkEnd w:id="413"/>
      <w:bookmarkEnd w:id="414"/>
    </w:p>
    <w:p w14:paraId="52529832" w14:textId="77777777" w:rsidR="00510CF1" w:rsidRPr="00510CF1" w:rsidRDefault="00510CF1" w:rsidP="00510CF1">
      <w:bookmarkStart w:id="415" w:name="_Toc426617549"/>
      <w:r w:rsidRPr="00510CF1">
        <w:rPr>
          <w:rFonts w:cs="Arial"/>
        </w:rPr>
        <w:t xml:space="preserve">Through the </w:t>
      </w:r>
      <w:r w:rsidRPr="00510CF1">
        <w:t>Disability Access and Inclusion Plan (DAIP)</w:t>
      </w:r>
      <w:r w:rsidRPr="00510CF1">
        <w:rPr>
          <w:rFonts w:cs="Arial"/>
        </w:rPr>
        <w:t>, WorkCover WA commits to the inclusion of people with disabilities by ensuring they have suitable access to our facilities and services.</w:t>
      </w:r>
      <w:r w:rsidRPr="00510CF1">
        <w:t xml:space="preserve"> </w:t>
      </w:r>
    </w:p>
    <w:p w14:paraId="45A5A6B5" w14:textId="77777777" w:rsidR="00510CF1" w:rsidRPr="00510CF1" w:rsidRDefault="00510CF1" w:rsidP="00510CF1">
      <w:r w:rsidRPr="00510CF1">
        <w:t>WorkCover WA’s Equity and Diversity Committee meets quarterly and is responsible for the delivery of the DAIP. In 2014/15 the Committee reviewed all initiatives in the Plan. DAIP initiatives implemented during the year included:</w:t>
      </w:r>
    </w:p>
    <w:p w14:paraId="7EF94C4F" w14:textId="77777777" w:rsidR="00510CF1" w:rsidRPr="00510CF1" w:rsidRDefault="00510CF1" w:rsidP="00510CF1">
      <w:pPr>
        <w:numPr>
          <w:ilvl w:val="0"/>
          <w:numId w:val="3"/>
        </w:numPr>
        <w:rPr>
          <w:rFonts w:eastAsiaTheme="minorHAnsi" w:cstheme="minorBidi"/>
          <w:bCs/>
        </w:rPr>
      </w:pPr>
      <w:r w:rsidRPr="00510CF1">
        <w:rPr>
          <w:rFonts w:eastAsiaTheme="minorHAnsi" w:cs="Arial"/>
          <w:bCs/>
          <w:lang w:eastAsia="en-AU"/>
        </w:rPr>
        <w:t>a review of the WorkCover WA website to ensure compliance with best practice as defined by W3C Web Content Accessibility 2.0 guidelines; and</w:t>
      </w:r>
    </w:p>
    <w:p w14:paraId="3CF17BBE" w14:textId="77777777" w:rsidR="00510CF1" w:rsidRPr="00510CF1" w:rsidRDefault="00510CF1" w:rsidP="00510CF1">
      <w:pPr>
        <w:numPr>
          <w:ilvl w:val="0"/>
          <w:numId w:val="3"/>
        </w:numPr>
        <w:rPr>
          <w:rFonts w:eastAsiaTheme="minorHAnsi" w:cs="Arial"/>
          <w:bCs/>
        </w:rPr>
      </w:pPr>
      <w:r w:rsidRPr="00510CF1">
        <w:rPr>
          <w:rFonts w:eastAsiaTheme="minorHAnsi" w:cs="Arial"/>
          <w:bCs/>
        </w:rPr>
        <w:t>upgrade of ‘JAWS’ software to support a vision impaired staff member’s access to a career development opportunity.</w:t>
      </w:r>
    </w:p>
    <w:p w14:paraId="55C3CA37" w14:textId="77777777" w:rsidR="005A185F" w:rsidRPr="00F909F4" w:rsidRDefault="005A185F" w:rsidP="006F2F0B">
      <w:pPr>
        <w:pStyle w:val="Heading2nonumber"/>
      </w:pPr>
      <w:bookmarkStart w:id="416" w:name="_Toc430091278"/>
      <w:r w:rsidRPr="00F909F4">
        <w:t xml:space="preserve">Traineeship </w:t>
      </w:r>
      <w:r w:rsidR="00906BAA">
        <w:t>p</w:t>
      </w:r>
      <w:r w:rsidRPr="00F909F4">
        <w:t>rogram</w:t>
      </w:r>
      <w:bookmarkEnd w:id="415"/>
      <w:bookmarkEnd w:id="416"/>
    </w:p>
    <w:p w14:paraId="2D2972CE" w14:textId="3BCAA380" w:rsidR="000D4B1A" w:rsidRPr="00053331" w:rsidRDefault="000D4B1A" w:rsidP="000D4B1A">
      <w:r w:rsidRPr="00053331">
        <w:t xml:space="preserve">Primarily targeted at youth under the age of </w:t>
      </w:r>
      <w:r w:rsidR="00053331">
        <w:t xml:space="preserve">25, </w:t>
      </w:r>
      <w:r w:rsidR="00C726B0">
        <w:t>WorkCover WA</w:t>
      </w:r>
      <w:r w:rsidR="00053331">
        <w:t>’s traineeship p</w:t>
      </w:r>
      <w:r w:rsidRPr="00053331">
        <w:t>rogram also contains an emphasis on engaging with young Aboriginal and Torr</w:t>
      </w:r>
      <w:r w:rsidR="001206ED">
        <w:t>es Strait Islander Australians.</w:t>
      </w:r>
    </w:p>
    <w:p w14:paraId="136C1FC4" w14:textId="5348C7FA" w:rsidR="000D4B1A" w:rsidRDefault="000D4B1A" w:rsidP="000D4B1A">
      <w:r w:rsidRPr="00053331">
        <w:t>Once e</w:t>
      </w:r>
      <w:r w:rsidR="007C0402">
        <w:t>mployed</w:t>
      </w:r>
      <w:r w:rsidRPr="00053331">
        <w:t xml:space="preserve"> at </w:t>
      </w:r>
      <w:r w:rsidR="00C726B0">
        <w:t>WorkCover WA</w:t>
      </w:r>
      <w:r w:rsidRPr="00053331">
        <w:t>, trainees are required to complete a Certificate III in Government while undertaking a range of work placements across the Agency. This arrangement provides trainees with skills and experience to enable them to be ‘job ready’ for future employment opportunities.</w:t>
      </w:r>
    </w:p>
    <w:p w14:paraId="3F2FF5E7" w14:textId="355B7283" w:rsidR="00053331" w:rsidRPr="00053331" w:rsidRDefault="00053331" w:rsidP="000D4B1A">
      <w:r>
        <w:lastRenderedPageBreak/>
        <w:t xml:space="preserve">Two trainees completed the program this financial year. </w:t>
      </w:r>
      <w:r w:rsidR="001206ED">
        <w:t xml:space="preserve">At the end of 2014/15 one trainee was </w:t>
      </w:r>
      <w:r>
        <w:t xml:space="preserve">still employed by </w:t>
      </w:r>
      <w:r w:rsidR="00C726B0">
        <w:t>WorkCover WA</w:t>
      </w:r>
      <w:r>
        <w:t>, whilst the other trainee was engaged by another public sector agency following the completion of her traineeship.</w:t>
      </w:r>
    </w:p>
    <w:p w14:paraId="6BE8859F" w14:textId="77777777" w:rsidR="005A185F" w:rsidRDefault="005A185F" w:rsidP="006F2F0B">
      <w:pPr>
        <w:pStyle w:val="Heading2nonumber"/>
      </w:pPr>
      <w:bookmarkStart w:id="417" w:name="_Toc426617550"/>
      <w:bookmarkStart w:id="418" w:name="_Toc430091279"/>
      <w:r>
        <w:t>Reconciliation Action Plan</w:t>
      </w:r>
      <w:bookmarkEnd w:id="417"/>
      <w:bookmarkEnd w:id="418"/>
    </w:p>
    <w:p w14:paraId="797A2C53" w14:textId="5D53B137" w:rsidR="00053331" w:rsidRPr="009524B5" w:rsidRDefault="00E760E8" w:rsidP="00053331">
      <w:r w:rsidRPr="009524B5">
        <w:t xml:space="preserve">In May 2014 </w:t>
      </w:r>
      <w:r w:rsidR="00C726B0">
        <w:t>WorkCover WA</w:t>
      </w:r>
      <w:r w:rsidRPr="009524B5">
        <w:t xml:space="preserve"> developed a new Reconciliation Actio</w:t>
      </w:r>
      <w:r w:rsidR="00053331" w:rsidRPr="009524B5">
        <w:t xml:space="preserve">n Plan (RAP) to raise </w:t>
      </w:r>
      <w:r w:rsidRPr="009524B5">
        <w:t>awareness about the culture and values of Aboriginal and Torres Strait Islander Australians</w:t>
      </w:r>
      <w:r w:rsidR="00053331" w:rsidRPr="009524B5">
        <w:t>. The RAP</w:t>
      </w:r>
      <w:r w:rsidRPr="009524B5">
        <w:t xml:space="preserve"> was approved by Reconciliation Australia in June 2014. </w:t>
      </w:r>
    </w:p>
    <w:p w14:paraId="1F164B31" w14:textId="1A2F3E3C" w:rsidR="00053331" w:rsidRPr="009524B5" w:rsidRDefault="00053331" w:rsidP="00053331">
      <w:r w:rsidRPr="009524B5">
        <w:t xml:space="preserve">In 2014/15 </w:t>
      </w:r>
      <w:r w:rsidR="00C726B0">
        <w:t>WorkCover WA</w:t>
      </w:r>
      <w:r w:rsidRPr="009524B5">
        <w:t xml:space="preserve"> joined the Commonwealth/State Aboriginal and Torres Strait Islander Networking Group at its quarterly meetings which are designed to develop effective strategies to improve indigenous employment within the public service. The Group hopes to share and advocate best practice relating to </w:t>
      </w:r>
      <w:r w:rsidR="009524B5" w:rsidRPr="009524B5">
        <w:t>policies and processes fo</w:t>
      </w:r>
      <w:r w:rsidR="0081107D">
        <w:t>r indigenous employment within S</w:t>
      </w:r>
      <w:r w:rsidR="009524B5" w:rsidRPr="009524B5">
        <w:t>tate and federal agencies.</w:t>
      </w:r>
    </w:p>
    <w:p w14:paraId="0A3FE968" w14:textId="55A7C859" w:rsidR="009524B5" w:rsidRPr="009524B5" w:rsidRDefault="009524B5" w:rsidP="00053331">
      <w:r w:rsidRPr="009524B5">
        <w:t>All intended RAP initiatives were completed in 2014/15, including:</w:t>
      </w:r>
    </w:p>
    <w:p w14:paraId="1CC5C3DD" w14:textId="0D247FE5" w:rsidR="009524B5" w:rsidRPr="009524B5" w:rsidRDefault="0054418A" w:rsidP="009524B5">
      <w:pPr>
        <w:pStyle w:val="BulletListLevel1"/>
      </w:pPr>
      <w:r>
        <w:t>engaging with A</w:t>
      </w:r>
      <w:r w:rsidR="009524B5" w:rsidRPr="009524B5">
        <w:t>boriginal and Torres Strait Islander businesses on procurement of goods and services</w:t>
      </w:r>
    </w:p>
    <w:p w14:paraId="7ECA5E56" w14:textId="23CF955B" w:rsidR="009524B5" w:rsidRPr="009524B5" w:rsidRDefault="009524B5" w:rsidP="009524B5">
      <w:pPr>
        <w:pStyle w:val="BulletListLevel1"/>
      </w:pPr>
      <w:r w:rsidRPr="009524B5">
        <w:t>increasing employee understanding of protocols involving Acknowledgement of Country and Welcome to Country ceremonies.</w:t>
      </w:r>
    </w:p>
    <w:p w14:paraId="08E2DC72" w14:textId="61B72286" w:rsidR="00E22526" w:rsidRDefault="00E22526">
      <w:pPr>
        <w:keepLines w:val="0"/>
        <w:spacing w:after="0" w:line="240" w:lineRule="auto"/>
      </w:pPr>
      <w:bookmarkStart w:id="419" w:name="_Toc399317013"/>
      <w:r>
        <w:br w:type="page"/>
      </w:r>
    </w:p>
    <w:p w14:paraId="1A0F17E6" w14:textId="13E04469" w:rsidR="003C0D28" w:rsidRDefault="003C0D28" w:rsidP="00A07B0E">
      <w:pPr>
        <w:pStyle w:val="Heading1nonumber"/>
      </w:pPr>
      <w:bookmarkStart w:id="420" w:name="_Toc426617551"/>
      <w:bookmarkStart w:id="421" w:name="_Toc430091280"/>
      <w:r>
        <w:lastRenderedPageBreak/>
        <w:t>Safety, health and wellbeing</w:t>
      </w:r>
      <w:bookmarkEnd w:id="419"/>
      <w:bookmarkEnd w:id="420"/>
      <w:bookmarkEnd w:id="421"/>
    </w:p>
    <w:tbl>
      <w:tblPr>
        <w:tblW w:w="0" w:type="auto"/>
        <w:tblInd w:w="-5" w:type="dxa"/>
        <w:tblBorders>
          <w:top w:val="single" w:sz="2" w:space="0" w:color="897719" w:themeColor="accent3"/>
          <w:left w:val="single" w:sz="2" w:space="0" w:color="897719" w:themeColor="accent3"/>
          <w:bottom w:val="single" w:sz="2" w:space="0" w:color="897719" w:themeColor="accent3"/>
          <w:right w:val="single" w:sz="2" w:space="0" w:color="897719" w:themeColor="accent3"/>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4480"/>
        <w:gridCol w:w="4252"/>
      </w:tblGrid>
      <w:tr w:rsidR="00D92E03" w:rsidRPr="00630BE0" w14:paraId="2463F824" w14:textId="77777777" w:rsidTr="00816D5B">
        <w:trPr>
          <w:trHeight w:val="60"/>
        </w:trPr>
        <w:tc>
          <w:tcPr>
            <w:tcW w:w="4480" w:type="dxa"/>
            <w:vMerge w:val="restart"/>
            <w:shd w:val="clear" w:color="auto" w:fill="897719" w:themeFill="accent3"/>
            <w:tcMar>
              <w:top w:w="113" w:type="dxa"/>
              <w:left w:w="80" w:type="dxa"/>
              <w:bottom w:w="113" w:type="dxa"/>
              <w:right w:w="80" w:type="dxa"/>
            </w:tcMar>
          </w:tcPr>
          <w:p w14:paraId="5014855B" w14:textId="77777777" w:rsidR="00D92E03" w:rsidRPr="00D92E03" w:rsidRDefault="00D92E03" w:rsidP="00D31603">
            <w:pPr>
              <w:rPr>
                <w:rStyle w:val="Strong"/>
              </w:rPr>
            </w:pPr>
            <w:r w:rsidRPr="00D92E03">
              <w:rPr>
                <w:rFonts w:cs="Arial"/>
                <w:b/>
                <w:bCs/>
                <w:szCs w:val="22"/>
                <w:lang w:val="en-GB" w:eastAsia="en-AU"/>
              </w:rPr>
              <w:t>The following initiatives are aligned with, and contribute to:</w:t>
            </w:r>
          </w:p>
        </w:tc>
        <w:tc>
          <w:tcPr>
            <w:tcW w:w="4252" w:type="dxa"/>
            <w:shd w:val="clear" w:color="auto" w:fill="897719" w:themeFill="accent3"/>
            <w:tcMar>
              <w:top w:w="113" w:type="dxa"/>
              <w:left w:w="80" w:type="dxa"/>
              <w:bottom w:w="113" w:type="dxa"/>
              <w:right w:w="80" w:type="dxa"/>
            </w:tcMar>
          </w:tcPr>
          <w:p w14:paraId="3E4CD3BE" w14:textId="3613D9DC" w:rsidR="00D92E03" w:rsidRPr="00E760E8" w:rsidRDefault="00C726B0" w:rsidP="00D31603">
            <w:pPr>
              <w:rPr>
                <w:rStyle w:val="Strong"/>
              </w:rPr>
            </w:pPr>
            <w:r>
              <w:rPr>
                <w:rStyle w:val="Strong"/>
              </w:rPr>
              <w:t>WorkCover WA</w:t>
            </w:r>
            <w:r w:rsidR="00E760E8" w:rsidRPr="00E760E8">
              <w:rPr>
                <w:rStyle w:val="Strong"/>
              </w:rPr>
              <w:t xml:space="preserve"> Strategic Goal</w:t>
            </w:r>
          </w:p>
        </w:tc>
      </w:tr>
      <w:tr w:rsidR="00D92E03" w:rsidRPr="005D768A" w14:paraId="28A19041" w14:textId="77777777" w:rsidTr="00816D5B">
        <w:trPr>
          <w:trHeight w:val="593"/>
        </w:trPr>
        <w:tc>
          <w:tcPr>
            <w:tcW w:w="4480" w:type="dxa"/>
            <w:vMerge/>
          </w:tcPr>
          <w:p w14:paraId="2A3347EF" w14:textId="77777777" w:rsidR="00D92E03" w:rsidRPr="005D768A" w:rsidRDefault="00D92E03" w:rsidP="00D31603">
            <w:pPr>
              <w:rPr>
                <w:lang w:eastAsia="en-AU"/>
              </w:rPr>
            </w:pPr>
          </w:p>
        </w:tc>
        <w:tc>
          <w:tcPr>
            <w:tcW w:w="4252" w:type="dxa"/>
            <w:tcMar>
              <w:top w:w="113" w:type="dxa"/>
              <w:left w:w="80" w:type="dxa"/>
              <w:bottom w:w="113" w:type="dxa"/>
              <w:right w:w="80" w:type="dxa"/>
            </w:tcMar>
          </w:tcPr>
          <w:p w14:paraId="0C5B60E9" w14:textId="77777777" w:rsidR="00D92E03" w:rsidRPr="005D768A" w:rsidRDefault="00291093" w:rsidP="00D31603">
            <w:pPr>
              <w:rPr>
                <w:lang w:val="en-GB" w:eastAsia="en-AU"/>
              </w:rPr>
            </w:pPr>
            <w:r w:rsidRPr="00291093">
              <w:rPr>
                <w:rStyle w:val="Strong"/>
              </w:rPr>
              <w:t>4 – Organisational Excellence</w:t>
            </w:r>
          </w:p>
        </w:tc>
      </w:tr>
    </w:tbl>
    <w:p w14:paraId="696E8FC0" w14:textId="77777777" w:rsidR="003C0D28" w:rsidRDefault="003C0D28" w:rsidP="006F2F0B">
      <w:pPr>
        <w:pStyle w:val="Heading2nonumber"/>
      </w:pPr>
      <w:bookmarkStart w:id="422" w:name="_Toc426617552"/>
      <w:bookmarkStart w:id="423" w:name="_Toc430091281"/>
      <w:r>
        <w:t>Occupational Safety and Health Management Plan</w:t>
      </w:r>
      <w:bookmarkEnd w:id="422"/>
      <w:bookmarkEnd w:id="423"/>
    </w:p>
    <w:p w14:paraId="4E7874FC" w14:textId="77777777" w:rsidR="00574A60" w:rsidRDefault="00574A60" w:rsidP="00574A60">
      <w:r w:rsidRPr="009524B5">
        <w:t xml:space="preserve">The </w:t>
      </w:r>
      <w:r>
        <w:t>WorkCover WA</w:t>
      </w:r>
      <w:r w:rsidRPr="009524B5">
        <w:t xml:space="preserve"> Board and Corporate Executive are committed to ensuring all employees are able to perform their duties in a safe working environment. </w:t>
      </w:r>
    </w:p>
    <w:p w14:paraId="7E2CB578" w14:textId="77777777" w:rsidR="00574A60" w:rsidRPr="004904AF" w:rsidRDefault="00574A60" w:rsidP="00574A60">
      <w:r w:rsidRPr="009524B5">
        <w:t xml:space="preserve">In accordance with the </w:t>
      </w:r>
      <w:r w:rsidRPr="009524B5">
        <w:rPr>
          <w:i/>
        </w:rPr>
        <w:t>Occupational Safety and Health Act 1984</w:t>
      </w:r>
      <w:r w:rsidRPr="009524B5">
        <w:t xml:space="preserve"> (OSH Act 1984), the </w:t>
      </w:r>
      <w:r w:rsidRPr="009524B5">
        <w:rPr>
          <w:i/>
        </w:rPr>
        <w:t>Occupational Safety and Health Regulations 1996</w:t>
      </w:r>
      <w:r w:rsidRPr="009524B5">
        <w:t xml:space="preserve">, the </w:t>
      </w:r>
      <w:r w:rsidRPr="009524B5">
        <w:rPr>
          <w:i/>
        </w:rPr>
        <w:t>Public Sector Occupational Safety and Health Code of Practice 2007</w:t>
      </w:r>
      <w:r w:rsidRPr="009524B5">
        <w:t xml:space="preserve"> and the WorkSafe Plan 2010, </w:t>
      </w:r>
      <w:r>
        <w:t>WorkCover WA</w:t>
      </w:r>
      <w:r w:rsidRPr="009524B5">
        <w:t>’s OSH Management Plan ensures the Agency maintains a systematic and consistent approach to OSH management.</w:t>
      </w:r>
      <w:r>
        <w:t xml:space="preserve"> </w:t>
      </w:r>
      <w:r w:rsidRPr="004904AF">
        <w:t>During 2014/15, initiatives implemented from the OSH Management Plan included:</w:t>
      </w:r>
    </w:p>
    <w:p w14:paraId="143AB934" w14:textId="77777777" w:rsidR="00574A60" w:rsidRPr="004904AF" w:rsidRDefault="00574A60" w:rsidP="00574A60">
      <w:pPr>
        <w:pStyle w:val="BulletListLevel1"/>
      </w:pPr>
      <w:r w:rsidRPr="004904AF">
        <w:t xml:space="preserve">review of the </w:t>
      </w:r>
      <w:r>
        <w:t>WorkCover WA</w:t>
      </w:r>
      <w:r w:rsidRPr="004904AF">
        <w:t xml:space="preserve"> OSH Policy</w:t>
      </w:r>
    </w:p>
    <w:p w14:paraId="2BDFB611" w14:textId="77777777" w:rsidR="00574A60" w:rsidRPr="004904AF" w:rsidRDefault="00574A60" w:rsidP="00574A60">
      <w:pPr>
        <w:pStyle w:val="BulletListLevel1"/>
      </w:pPr>
      <w:r w:rsidRPr="004904AF">
        <w:t xml:space="preserve">review of the </w:t>
      </w:r>
      <w:r>
        <w:t>WorkCover WA</w:t>
      </w:r>
      <w:r w:rsidRPr="004904AF">
        <w:t xml:space="preserve"> OSH Risk Register</w:t>
      </w:r>
    </w:p>
    <w:p w14:paraId="40586A2A" w14:textId="77777777" w:rsidR="00574A60" w:rsidRPr="004904AF" w:rsidRDefault="00574A60" w:rsidP="00574A60">
      <w:pPr>
        <w:pStyle w:val="BulletListLevel1"/>
      </w:pPr>
      <w:r w:rsidRPr="004904AF">
        <w:t xml:space="preserve">re-training of </w:t>
      </w:r>
      <w:r>
        <w:t xml:space="preserve">two </w:t>
      </w:r>
      <w:r w:rsidRPr="004904AF">
        <w:t>First Aid Officers</w:t>
      </w:r>
    </w:p>
    <w:p w14:paraId="1AEDABBF" w14:textId="77777777" w:rsidR="00574A60" w:rsidRPr="004904AF" w:rsidRDefault="00574A60" w:rsidP="00574A60">
      <w:pPr>
        <w:pStyle w:val="BulletListLevel1"/>
      </w:pPr>
      <w:r>
        <w:t>re-</w:t>
      </w:r>
      <w:r w:rsidRPr="004904AF">
        <w:t xml:space="preserve">training of </w:t>
      </w:r>
      <w:r>
        <w:t xml:space="preserve">nine </w:t>
      </w:r>
      <w:r w:rsidRPr="004904AF">
        <w:t>Fire Wardens</w:t>
      </w:r>
    </w:p>
    <w:p w14:paraId="2AE273BD" w14:textId="7E4D7A2C" w:rsidR="00574A60" w:rsidRPr="004904AF" w:rsidRDefault="00574A60" w:rsidP="00574A60">
      <w:pPr>
        <w:pStyle w:val="BulletListLevel1"/>
      </w:pPr>
      <w:r>
        <w:t xml:space="preserve">the election of </w:t>
      </w:r>
      <w:r w:rsidRPr="004904AF">
        <w:t xml:space="preserve">new </w:t>
      </w:r>
      <w:r w:rsidR="00B517E8">
        <w:t>Safety and Health</w:t>
      </w:r>
      <w:r w:rsidRPr="004904AF">
        <w:t xml:space="preserve"> representatives</w:t>
      </w:r>
    </w:p>
    <w:p w14:paraId="4C7ED9B9" w14:textId="77777777" w:rsidR="00574A60" w:rsidRPr="004904AF" w:rsidRDefault="00574A60" w:rsidP="00574A60">
      <w:pPr>
        <w:pStyle w:val="BulletListLevel1"/>
      </w:pPr>
      <w:r>
        <w:t xml:space="preserve">upgrades to the </w:t>
      </w:r>
      <w:r w:rsidRPr="004904AF">
        <w:t xml:space="preserve">functionality of the Hazard and Incident Reporting system </w:t>
      </w:r>
      <w:r>
        <w:t xml:space="preserve"> to allow for easier reporting of incidents and accidents</w:t>
      </w:r>
    </w:p>
    <w:p w14:paraId="397373A9" w14:textId="059F45DD" w:rsidR="00574A60" w:rsidRPr="004904AF" w:rsidRDefault="00574A60" w:rsidP="00574A60">
      <w:pPr>
        <w:pStyle w:val="BulletListLevel1"/>
      </w:pPr>
      <w:r>
        <w:t xml:space="preserve">all </w:t>
      </w:r>
      <w:r w:rsidRPr="004904AF">
        <w:t>new star</w:t>
      </w:r>
      <w:r w:rsidR="000247D1">
        <w:t>ters completing</w:t>
      </w:r>
      <w:r w:rsidRPr="004904AF">
        <w:t xml:space="preserve"> online OSH induction training. </w:t>
      </w:r>
    </w:p>
    <w:p w14:paraId="1D28F1FD" w14:textId="2D17D9C6" w:rsidR="00574A60" w:rsidRDefault="00574A60" w:rsidP="00574A60">
      <w:r w:rsidRPr="009524B5">
        <w:t xml:space="preserve">The </w:t>
      </w:r>
      <w:r>
        <w:t xml:space="preserve">WorkCover WA </w:t>
      </w:r>
      <w:r w:rsidRPr="009524B5">
        <w:t>OSH Committee facilitates consultation and cooperation</w:t>
      </w:r>
      <w:r>
        <w:t xml:space="preserve"> across the Agency </w:t>
      </w:r>
      <w:r w:rsidRPr="009524B5">
        <w:t xml:space="preserve">by collaboratively examining issues affecting the health and wellbeing of staff, and developing and implementing measures to prevent workplace accidents and injuries. The Committee’s members and activities are outlined in detail on </w:t>
      </w:r>
      <w:r w:rsidRPr="00D945EE">
        <w:t>page </w:t>
      </w:r>
      <w:r w:rsidR="00D945EE" w:rsidRPr="00D945EE">
        <w:t>40</w:t>
      </w:r>
      <w:r w:rsidRPr="00D945EE">
        <w:t xml:space="preserve"> </w:t>
      </w:r>
      <w:r w:rsidRPr="009524B5">
        <w:t xml:space="preserve">under ‘Workplace consultation’ in </w:t>
      </w:r>
      <w:r w:rsidRPr="001D494F">
        <w:rPr>
          <w:i/>
        </w:rPr>
        <w:t>Section 1: Agency in focus.</w:t>
      </w:r>
    </w:p>
    <w:p w14:paraId="46D83759" w14:textId="77777777" w:rsidR="00574A60" w:rsidRDefault="00574A60" w:rsidP="00574A60">
      <w:r w:rsidRPr="00FA30FB">
        <w:lastRenderedPageBreak/>
        <w:t xml:space="preserve">Each year the OSH and injury management policies, practices and initiatives are regularly promoted throughout the organisation via intranet articles, posters and signage, and a range of staff training opportunities. In this way the programs delivered in 2014/15 have all contributed to heightened staff awareness regarding OSH responsibilities and health issues, creating a safer and healthier working environment for </w:t>
      </w:r>
      <w:r>
        <w:t>WorkCover WA</w:t>
      </w:r>
      <w:r w:rsidRPr="00FA30FB">
        <w:t xml:space="preserve"> employees.</w:t>
      </w:r>
    </w:p>
    <w:p w14:paraId="6FD03343" w14:textId="3074091A" w:rsidR="00574A60" w:rsidRDefault="00574A60" w:rsidP="00574A60">
      <w:r w:rsidRPr="009524B5">
        <w:t xml:space="preserve">Management of workplace injuries and rehabilitation solutions, including return to work plans, are undertaken in accordance with the </w:t>
      </w:r>
      <w:r w:rsidRPr="007E0E46">
        <w:t xml:space="preserve">provisions of the </w:t>
      </w:r>
      <w:r w:rsidRPr="007E0E46">
        <w:rPr>
          <w:i/>
        </w:rPr>
        <w:t>Workers’ Compensation and Injury Management Act 1981</w:t>
      </w:r>
      <w:r>
        <w:t xml:space="preserve"> (the Act).</w:t>
      </w:r>
    </w:p>
    <w:p w14:paraId="214B7AB1" w14:textId="77777777" w:rsidR="00574A60" w:rsidRDefault="00574A60" w:rsidP="00574A60">
      <w:r w:rsidRPr="009524B5">
        <w:t xml:space="preserve">A report on occupational safety and health (OSH) matters is referred to the Corporate Executive on a quarterly basis. </w:t>
      </w:r>
      <w:r w:rsidRPr="0054418A">
        <w:t>OSH is also a standing item at all WorkCover WA Board and Corporate Executive meetings.</w:t>
      </w:r>
    </w:p>
    <w:p w14:paraId="66C792DE" w14:textId="77777777" w:rsidR="003C0D28" w:rsidRDefault="003C0D28" w:rsidP="006F2F0B">
      <w:pPr>
        <w:pStyle w:val="Heading2nonumber"/>
      </w:pPr>
      <w:bookmarkStart w:id="424" w:name="_Toc426617553"/>
      <w:bookmarkStart w:id="425" w:name="_Toc430091282"/>
      <w:r w:rsidRPr="00630BE0">
        <w:t>Occupational Safety and Health Audit Action Plan</w:t>
      </w:r>
      <w:bookmarkEnd w:id="424"/>
      <w:bookmarkEnd w:id="425"/>
    </w:p>
    <w:p w14:paraId="05C74065" w14:textId="6E8DF140" w:rsidR="00E94A92" w:rsidRDefault="00C726B0" w:rsidP="0034427A">
      <w:r>
        <w:t>WorkCover WA</w:t>
      </w:r>
      <w:r w:rsidR="00E94A92">
        <w:t xml:space="preserve"> continued to monitor and implement elements of the</w:t>
      </w:r>
      <w:r w:rsidR="00574A60">
        <w:t xml:space="preserve"> WorkSafe</w:t>
      </w:r>
      <w:r w:rsidR="00E94A92">
        <w:t xml:space="preserve"> OSH Audit Action Plan in 2014/15 to ensure the gold accreditation was maintained.</w:t>
      </w:r>
    </w:p>
    <w:p w14:paraId="6FD47A50" w14:textId="775E84CB" w:rsidR="00E94A92" w:rsidRPr="00E94A92" w:rsidRDefault="00E94A92" w:rsidP="0034427A">
      <w:r>
        <w:t xml:space="preserve">The next audit against the WorkSafe Plan assessment tool </w:t>
      </w:r>
      <w:r w:rsidR="00D4100B">
        <w:t>is set for 2017.</w:t>
      </w:r>
    </w:p>
    <w:p w14:paraId="63243BB6" w14:textId="77777777" w:rsidR="00DF6A56" w:rsidRDefault="00DF6A56" w:rsidP="006F2F0B">
      <w:pPr>
        <w:pStyle w:val="Heading2nonumber"/>
      </w:pPr>
      <w:bookmarkStart w:id="426" w:name="_Toc426617554"/>
      <w:bookmarkStart w:id="427" w:name="_Toc430091283"/>
      <w:r>
        <w:t xml:space="preserve">Occupational </w:t>
      </w:r>
      <w:r w:rsidR="00906BAA">
        <w:t>s</w:t>
      </w:r>
      <w:r>
        <w:t xml:space="preserve">afety and </w:t>
      </w:r>
      <w:r w:rsidR="00906BAA">
        <w:t>h</w:t>
      </w:r>
      <w:r>
        <w:t xml:space="preserve">ealth </w:t>
      </w:r>
      <w:r w:rsidR="00906BAA">
        <w:t>r</w:t>
      </w:r>
      <w:r>
        <w:t>epresentatives</w:t>
      </w:r>
      <w:bookmarkEnd w:id="426"/>
      <w:bookmarkEnd w:id="427"/>
      <w:r>
        <w:t xml:space="preserve"> </w:t>
      </w:r>
    </w:p>
    <w:p w14:paraId="0E2E6754" w14:textId="21C0F36D" w:rsidR="0034427A" w:rsidRPr="0004074C" w:rsidRDefault="0034427A" w:rsidP="0034427A">
      <w:pPr>
        <w:rPr>
          <w:i/>
        </w:rPr>
      </w:pPr>
      <w:r w:rsidRPr="0004074C">
        <w:t xml:space="preserve">The </w:t>
      </w:r>
      <w:r w:rsidR="00BD48C0" w:rsidRPr="0004074C">
        <w:t>OSH</w:t>
      </w:r>
      <w:r w:rsidRPr="0004074C">
        <w:t xml:space="preserve"> Committee comprises elected employer and </w:t>
      </w:r>
      <w:r w:rsidR="00574A60">
        <w:t>staff</w:t>
      </w:r>
      <w:r w:rsidRPr="0004074C">
        <w:t xml:space="preserve"> representatives. It is constituted to examine issues affecting the health and wellbeing of staff, and to advise management on strategies to prevent workplace accidents and injuries.</w:t>
      </w:r>
      <w:r w:rsidR="000A4A3B" w:rsidRPr="0004074C">
        <w:t xml:space="preserve"> For more information refer to ‘</w:t>
      </w:r>
      <w:r w:rsidRPr="0004074C">
        <w:t xml:space="preserve">Workplace </w:t>
      </w:r>
      <w:r w:rsidR="000A4A3B" w:rsidRPr="0004074C">
        <w:t xml:space="preserve">consultation: OSH Committee’ on </w:t>
      </w:r>
      <w:r w:rsidR="000A4A3B" w:rsidRPr="00D945EE">
        <w:t xml:space="preserve">page </w:t>
      </w:r>
      <w:r w:rsidR="00D945EE" w:rsidRPr="00D945EE">
        <w:t>43</w:t>
      </w:r>
      <w:r w:rsidR="000A4A3B" w:rsidRPr="00D945EE">
        <w:t xml:space="preserve"> </w:t>
      </w:r>
      <w:r w:rsidR="000A4A3B" w:rsidRPr="0004074C">
        <w:t xml:space="preserve">in </w:t>
      </w:r>
      <w:r w:rsidR="000A4A3B" w:rsidRPr="0004074C">
        <w:rPr>
          <w:i/>
        </w:rPr>
        <w:t xml:space="preserve">Section 1: Agency in Focus. </w:t>
      </w:r>
      <w:r w:rsidRPr="0004074C">
        <w:rPr>
          <w:i/>
        </w:rPr>
        <w:t xml:space="preserve"> </w:t>
      </w:r>
    </w:p>
    <w:p w14:paraId="253EB572" w14:textId="3B1E79AB" w:rsidR="0034427A" w:rsidRPr="0004074C" w:rsidRDefault="0034427A" w:rsidP="0034427A">
      <w:r w:rsidRPr="0004074C">
        <w:t>The</w:t>
      </w:r>
      <w:r w:rsidR="00821ADB">
        <w:t xml:space="preserve"> staff</w:t>
      </w:r>
      <w:r w:rsidRPr="0004074C">
        <w:t xml:space="preserve"> representatives have functions in addition to their normal ‘work duties’ including monitoring discrete work areas on a monthly basis. These functions </w:t>
      </w:r>
      <w:r w:rsidR="00DD3621">
        <w:t xml:space="preserve">align with </w:t>
      </w:r>
      <w:r w:rsidRPr="0004074C">
        <w:t xml:space="preserve">the </w:t>
      </w:r>
      <w:r w:rsidR="000668BF" w:rsidRPr="0004074C">
        <w:rPr>
          <w:rStyle w:val="Emphasis"/>
        </w:rPr>
        <w:t>OSH Act</w:t>
      </w:r>
      <w:r w:rsidR="00DD3621">
        <w:rPr>
          <w:rStyle w:val="Emphasis"/>
        </w:rPr>
        <w:t xml:space="preserve"> 1984.</w:t>
      </w:r>
    </w:p>
    <w:p w14:paraId="71C392D3" w14:textId="6DD86B28" w:rsidR="001944D6" w:rsidRDefault="0004074C" w:rsidP="001944D6">
      <w:r w:rsidRPr="00514E88">
        <w:t>In 2014/15</w:t>
      </w:r>
      <w:r w:rsidR="001944D6" w:rsidRPr="00514E88">
        <w:t xml:space="preserve"> </w:t>
      </w:r>
      <w:r w:rsidRPr="00514E88">
        <w:t xml:space="preserve">five OSH representatives were </w:t>
      </w:r>
      <w:r w:rsidR="001D494F" w:rsidRPr="001D494F">
        <w:t xml:space="preserve">on the OSH Committee </w:t>
      </w:r>
      <w:r w:rsidRPr="00514E88">
        <w:t xml:space="preserve">including two new representatives elected in February 2015. One new OSH representative completed the Safety and Health Representatives course, with the other scheduled to complete the training in </w:t>
      </w:r>
      <w:r w:rsidR="004020BA">
        <w:t>August 2015.</w:t>
      </w:r>
      <w:r w:rsidRPr="00514E88">
        <w:t xml:space="preserve"> </w:t>
      </w:r>
    </w:p>
    <w:p w14:paraId="098D96FB" w14:textId="3A4CC119" w:rsidR="0004074C" w:rsidRDefault="004020BA" w:rsidP="001944D6">
      <w:r>
        <w:lastRenderedPageBreak/>
        <w:t>Last financial year</w:t>
      </w:r>
      <w:r w:rsidR="00514E88">
        <w:t xml:space="preserve"> OSH representatives initiated a review of sedentary work practices. Feedback on the trial of standing workstations was delivered in 2014/15 indicating the stations were beneficial to staff posture and promoted a reduction in sedentary behaviour during the working day. However</w:t>
      </w:r>
      <w:r w:rsidR="00034707">
        <w:t>,</w:t>
      </w:r>
      <w:r w:rsidR="00514E88">
        <w:t xml:space="preserve"> a number of logistical issues limit their suitabilit</w:t>
      </w:r>
      <w:r w:rsidR="00D4100B">
        <w:t>y for use in the workplace. O</w:t>
      </w:r>
      <w:r w:rsidR="00514E88">
        <w:t>ther initiatives to reduce sedentary behaviour are being explored</w:t>
      </w:r>
      <w:r w:rsidR="00D4100B">
        <w:t>.</w:t>
      </w:r>
    </w:p>
    <w:p w14:paraId="38914062" w14:textId="5F2D9E29" w:rsidR="00DF6A56" w:rsidRDefault="00371FCA" w:rsidP="006F2F0B">
      <w:pPr>
        <w:pStyle w:val="Heading2nonumber"/>
      </w:pPr>
      <w:bookmarkStart w:id="428" w:name="_Toc426617555"/>
      <w:bookmarkStart w:id="429" w:name="_Toc430091284"/>
      <w:r w:rsidRPr="00074072">
        <w:t xml:space="preserve">Health and </w:t>
      </w:r>
      <w:r w:rsidR="002F30AF" w:rsidRPr="00074072">
        <w:t>w</w:t>
      </w:r>
      <w:r w:rsidRPr="00074072">
        <w:t>ellness</w:t>
      </w:r>
      <w:r w:rsidR="00B27D15" w:rsidRPr="00074072">
        <w:t xml:space="preserve"> </w:t>
      </w:r>
      <w:r w:rsidR="00514E88">
        <w:t>s</w:t>
      </w:r>
      <w:r w:rsidR="00B27D15" w:rsidRPr="00074072">
        <w:t>urvey</w:t>
      </w:r>
      <w:bookmarkEnd w:id="428"/>
      <w:bookmarkEnd w:id="429"/>
    </w:p>
    <w:p w14:paraId="43A8C686" w14:textId="78678D33" w:rsidR="00514E88" w:rsidRPr="00514E88" w:rsidRDefault="00C726B0" w:rsidP="00E767BD">
      <w:r>
        <w:t>WorkCover WA</w:t>
      </w:r>
      <w:r w:rsidR="00514E88" w:rsidRPr="00514E88">
        <w:t xml:space="preserve"> conducted an internal survey regarding health and wellness initiatives. The results of the survey have shaped the health and wellness programs included in the Agency’s 2015/16 Health and Wellness Plan.</w:t>
      </w:r>
    </w:p>
    <w:p w14:paraId="5FCFA9C6" w14:textId="77777777" w:rsidR="00371FCA" w:rsidRDefault="00371FCA" w:rsidP="006F2F0B">
      <w:pPr>
        <w:pStyle w:val="Heading1nonumber"/>
      </w:pPr>
      <w:bookmarkStart w:id="430" w:name="_Toc399317014"/>
      <w:bookmarkStart w:id="431" w:name="_Toc426617556"/>
      <w:bookmarkStart w:id="432" w:name="_Toc430091285"/>
      <w:r>
        <w:t xml:space="preserve">Agency </w:t>
      </w:r>
      <w:r w:rsidR="002F30AF">
        <w:t>c</w:t>
      </w:r>
      <w:r>
        <w:t>hallenges</w:t>
      </w:r>
      <w:bookmarkEnd w:id="430"/>
      <w:bookmarkEnd w:id="431"/>
      <w:bookmarkEnd w:id="432"/>
      <w:r>
        <w:t xml:space="preserve"> </w:t>
      </w:r>
    </w:p>
    <w:p w14:paraId="3CB0F69C" w14:textId="251E2FF4" w:rsidR="00021EE0" w:rsidRDefault="00021EE0" w:rsidP="006F2F0B">
      <w:pPr>
        <w:pStyle w:val="Heading2nonumber"/>
      </w:pPr>
      <w:bookmarkStart w:id="433" w:name="_Toc399317015"/>
      <w:bookmarkStart w:id="434" w:name="_Toc426617557"/>
      <w:bookmarkStart w:id="435" w:name="_Toc430091286"/>
      <w:r>
        <w:t xml:space="preserve">Electronic Document </w:t>
      </w:r>
      <w:r w:rsidR="002138EB">
        <w:t>&amp;</w:t>
      </w:r>
      <w:r>
        <w:t xml:space="preserve"> Records Management System</w:t>
      </w:r>
      <w:bookmarkEnd w:id="433"/>
      <w:bookmarkEnd w:id="434"/>
      <w:bookmarkEnd w:id="435"/>
    </w:p>
    <w:p w14:paraId="4162B0D9" w14:textId="0015531C" w:rsidR="003653C1" w:rsidRPr="00E21FBC" w:rsidRDefault="003653C1" w:rsidP="003653C1">
      <w:r w:rsidRPr="00E21FBC">
        <w:t xml:space="preserve">One of the key recommendations of the </w:t>
      </w:r>
      <w:r w:rsidR="001D494F" w:rsidRPr="001D494F">
        <w:rPr>
          <w:i/>
        </w:rPr>
        <w:t>IT Strategic Plan 2012–2015</w:t>
      </w:r>
      <w:r w:rsidR="001D494F" w:rsidRPr="001D494F">
        <w:t xml:space="preserve"> </w:t>
      </w:r>
      <w:r w:rsidRPr="00E21FBC">
        <w:t xml:space="preserve">was the implementation of an Electronic Document </w:t>
      </w:r>
      <w:r w:rsidR="00D73A20">
        <w:t xml:space="preserve">and Records </w:t>
      </w:r>
      <w:r w:rsidRPr="00E21FBC">
        <w:t>Management System (</w:t>
      </w:r>
      <w:r w:rsidR="005B5996">
        <w:t>EDRMS</w:t>
      </w:r>
      <w:r w:rsidRPr="00E21FBC">
        <w:t>).</w:t>
      </w:r>
    </w:p>
    <w:p w14:paraId="36B4A8AB" w14:textId="704E9222" w:rsidR="003653C1" w:rsidRPr="0034427A" w:rsidRDefault="003653C1" w:rsidP="003653C1">
      <w:r>
        <w:t xml:space="preserve">The project was addressed as a Strategic Initiative in 2014/15 and outcomes are reported on </w:t>
      </w:r>
      <w:r w:rsidRPr="00D945EE">
        <w:t xml:space="preserve">page </w:t>
      </w:r>
      <w:r w:rsidR="00D945EE" w:rsidRPr="00D945EE">
        <w:t>102</w:t>
      </w:r>
      <w:r w:rsidRPr="00D945EE">
        <w:t xml:space="preserve"> </w:t>
      </w:r>
      <w:r>
        <w:t>under Report against 2014/15 Strategic Initiatives.</w:t>
      </w:r>
    </w:p>
    <w:p w14:paraId="17B70DB8" w14:textId="77777777" w:rsidR="00AF108F" w:rsidRDefault="00AF108F" w:rsidP="00AF108F">
      <w:pPr>
        <w:pStyle w:val="Heading2nonumber"/>
        <w:jc w:val="left"/>
      </w:pPr>
      <w:bookmarkStart w:id="436" w:name="_Toc426617558"/>
      <w:bookmarkStart w:id="437" w:name="_Toc430091287"/>
      <w:r>
        <w:t>Review of Risk Management Framework</w:t>
      </w:r>
      <w:bookmarkEnd w:id="436"/>
      <w:bookmarkEnd w:id="437"/>
    </w:p>
    <w:p w14:paraId="108FE8B4" w14:textId="4CAEE412" w:rsidR="00A90CA0" w:rsidRDefault="00A90CA0" w:rsidP="00A90CA0">
      <w:r w:rsidRPr="00CE1C6E">
        <w:rPr>
          <w:lang w:eastAsia="en-AU"/>
        </w:rPr>
        <w:t>In accordance with the P</w:t>
      </w:r>
      <w:r>
        <w:rPr>
          <w:lang w:eastAsia="en-AU"/>
        </w:rPr>
        <w:t xml:space="preserve">ublic </w:t>
      </w:r>
      <w:r w:rsidRPr="00CE1C6E">
        <w:rPr>
          <w:lang w:eastAsia="en-AU"/>
        </w:rPr>
        <w:t>S</w:t>
      </w:r>
      <w:r>
        <w:rPr>
          <w:lang w:eastAsia="en-AU"/>
        </w:rPr>
        <w:t xml:space="preserve">ector </w:t>
      </w:r>
      <w:r w:rsidRPr="00CE1C6E">
        <w:rPr>
          <w:lang w:eastAsia="en-AU"/>
        </w:rPr>
        <w:t>C</w:t>
      </w:r>
      <w:r>
        <w:rPr>
          <w:lang w:eastAsia="en-AU"/>
        </w:rPr>
        <w:t xml:space="preserve">ommissioners (PSC) </w:t>
      </w:r>
      <w:r w:rsidRPr="00CE1C6E">
        <w:rPr>
          <w:lang w:eastAsia="en-AU"/>
        </w:rPr>
        <w:t xml:space="preserve">Circular </w:t>
      </w:r>
      <w:r>
        <w:rPr>
          <w:lang w:eastAsia="en-AU"/>
        </w:rPr>
        <w:t>2015-03</w:t>
      </w:r>
      <w:r w:rsidRPr="00CE1C6E">
        <w:rPr>
          <w:lang w:eastAsia="en-AU"/>
        </w:rPr>
        <w:t xml:space="preserve"> and T</w:t>
      </w:r>
      <w:r>
        <w:rPr>
          <w:lang w:eastAsia="en-AU"/>
        </w:rPr>
        <w:t xml:space="preserve">reasurers </w:t>
      </w:r>
      <w:r w:rsidRPr="00CE1C6E">
        <w:rPr>
          <w:lang w:eastAsia="en-AU"/>
        </w:rPr>
        <w:t>I</w:t>
      </w:r>
      <w:r w:rsidR="00FE45FB">
        <w:rPr>
          <w:lang w:eastAsia="en-AU"/>
        </w:rPr>
        <w:t>nstruction</w:t>
      </w:r>
      <w:r>
        <w:rPr>
          <w:lang w:eastAsia="en-AU"/>
        </w:rPr>
        <w:t xml:space="preserve"> </w:t>
      </w:r>
      <w:r w:rsidRPr="00CE1C6E">
        <w:rPr>
          <w:lang w:eastAsia="en-AU"/>
        </w:rPr>
        <w:t>825,</w:t>
      </w:r>
      <w:r>
        <w:rPr>
          <w:lang w:eastAsia="en-AU"/>
        </w:rPr>
        <w:t xml:space="preserve"> all public sector bodies must practice </w:t>
      </w:r>
      <w:r w:rsidRPr="00AA3183">
        <w:rPr>
          <w:lang w:eastAsia="en-AU"/>
        </w:rPr>
        <w:t xml:space="preserve">risk </w:t>
      </w:r>
      <w:r>
        <w:rPr>
          <w:lang w:eastAsia="en-AU"/>
        </w:rPr>
        <w:t>m</w:t>
      </w:r>
      <w:r w:rsidRPr="00AA3183">
        <w:rPr>
          <w:lang w:eastAsia="en-AU"/>
        </w:rPr>
        <w:t xml:space="preserve">anagement; regularly undertake a structured risk assessment process to identify the risks facing the organisation; be able to demonstrate the management of risks; and </w:t>
      </w:r>
      <w:r w:rsidRPr="002E6A8C">
        <w:rPr>
          <w:lang w:eastAsia="en-AU"/>
        </w:rPr>
        <w:t>where appropriate, have business continuity plans to ensure they can respond to and recover from any business disruption.</w:t>
      </w:r>
    </w:p>
    <w:p w14:paraId="7BDF0679" w14:textId="77777777" w:rsidR="00A90CA0" w:rsidRDefault="00A90CA0" w:rsidP="00A90CA0">
      <w:r>
        <w:t>In 2014/15 the Agency completed a major project to:</w:t>
      </w:r>
    </w:p>
    <w:p w14:paraId="36083BEE" w14:textId="06BADEB1" w:rsidR="00A90CA0" w:rsidRPr="00F275EC" w:rsidRDefault="00A90CA0" w:rsidP="00A90CA0">
      <w:pPr>
        <w:pStyle w:val="BulletListLevel1"/>
      </w:pPr>
      <w:r w:rsidRPr="00F275EC">
        <w:t>identif</w:t>
      </w:r>
      <w:r>
        <w:t>y</w:t>
      </w:r>
      <w:r w:rsidRPr="00F275EC">
        <w:t xml:space="preserve"> and implement a new cloud </w:t>
      </w:r>
      <w:r>
        <w:t>based</w:t>
      </w:r>
      <w:r w:rsidRPr="00F275EC">
        <w:t xml:space="preserve"> risk manage</w:t>
      </w:r>
      <w:r>
        <w:t>ment support system</w:t>
      </w:r>
    </w:p>
    <w:p w14:paraId="74EFE98E" w14:textId="2D6D10B9" w:rsidR="00A90CA0" w:rsidRPr="00F275EC" w:rsidRDefault="00A90CA0" w:rsidP="00A90CA0">
      <w:pPr>
        <w:pStyle w:val="BulletListLevel1"/>
      </w:pPr>
      <w:r>
        <w:t>implement</w:t>
      </w:r>
      <w:r w:rsidRPr="00F275EC">
        <w:t xml:space="preserve"> a revised hierarchical risk management framework link</w:t>
      </w:r>
      <w:r>
        <w:t>ing</w:t>
      </w:r>
      <w:r w:rsidRPr="00F275EC">
        <w:t xml:space="preserve"> planning outcomes and viability elements of the Western Australian w</w:t>
      </w:r>
      <w:r>
        <w:t>orkers’ compensation scheme to A</w:t>
      </w:r>
      <w:r w:rsidRPr="00F275EC">
        <w:t>gency risks</w:t>
      </w:r>
      <w:r w:rsidR="004020BA">
        <w:t xml:space="preserve"> both strategic and operational</w:t>
      </w:r>
    </w:p>
    <w:p w14:paraId="32DFF375" w14:textId="3854752A" w:rsidR="00A90CA0" w:rsidRPr="00F275EC" w:rsidRDefault="00FE45FB" w:rsidP="00A90CA0">
      <w:pPr>
        <w:pStyle w:val="BulletListLevel1"/>
      </w:pPr>
      <w:r>
        <w:lastRenderedPageBreak/>
        <w:t>review</w:t>
      </w:r>
      <w:r w:rsidR="00A90CA0">
        <w:t xml:space="preserve"> all A</w:t>
      </w:r>
      <w:r w:rsidR="00A90CA0" w:rsidRPr="00F275EC">
        <w:t xml:space="preserve">gency strategic and </w:t>
      </w:r>
      <w:r w:rsidR="004020BA">
        <w:t xml:space="preserve">operational risks and realign </w:t>
      </w:r>
      <w:r w:rsidR="00A90CA0" w:rsidRPr="00F275EC">
        <w:t>them to a structured set of spec</w:t>
      </w:r>
      <w:r w:rsidR="004020BA">
        <w:t>ific guidelines</w:t>
      </w:r>
    </w:p>
    <w:p w14:paraId="548BA78B" w14:textId="656D22B0" w:rsidR="00A90CA0" w:rsidRDefault="004020BA" w:rsidP="00A90CA0">
      <w:pPr>
        <w:pStyle w:val="BulletListLevel1"/>
      </w:pPr>
      <w:r>
        <w:t>review</w:t>
      </w:r>
      <w:r w:rsidR="00A90CA0" w:rsidRPr="00F275EC">
        <w:t xml:space="preserve"> </w:t>
      </w:r>
      <w:r w:rsidR="00A90CA0">
        <w:t>the Terms of Reference for the A</w:t>
      </w:r>
      <w:r w:rsidR="00A90CA0" w:rsidRPr="00F275EC">
        <w:t>gency’s risk management oversight group.</w:t>
      </w:r>
    </w:p>
    <w:p w14:paraId="35871B06" w14:textId="6EA810C0" w:rsidR="00AF108F" w:rsidRDefault="00AF108F" w:rsidP="00AF108F">
      <w:pPr>
        <w:pStyle w:val="Heading2nonumber"/>
        <w:jc w:val="left"/>
      </w:pPr>
      <w:bookmarkStart w:id="438" w:name="_Toc426617559"/>
      <w:bookmarkStart w:id="439" w:name="_Toc430091288"/>
      <w:r>
        <w:t>Review of Freedom of Information policy</w:t>
      </w:r>
      <w:bookmarkEnd w:id="438"/>
      <w:bookmarkEnd w:id="439"/>
    </w:p>
    <w:p w14:paraId="58AE1F67" w14:textId="77777777" w:rsidR="0032386F" w:rsidRDefault="0032386F" w:rsidP="0032386F">
      <w:r>
        <w:t>A review of the Agency’s Freedom of Information (FOI) policy, procedures and processes was conducted in 2014/15 to:</w:t>
      </w:r>
    </w:p>
    <w:p w14:paraId="2AF791A7" w14:textId="28483D40" w:rsidR="0032386F" w:rsidRDefault="0032386F" w:rsidP="0032386F">
      <w:pPr>
        <w:pStyle w:val="BulletListLevel1"/>
      </w:pPr>
      <w:r>
        <w:t xml:space="preserve">ensure the current WorkCover WA FOI Policy and FOI Information Statement comply with the </w:t>
      </w:r>
      <w:r>
        <w:rPr>
          <w:i/>
        </w:rPr>
        <w:t>Freedom of Information Act 1992</w:t>
      </w:r>
      <w:r>
        <w:t xml:space="preserve"> and the Act</w:t>
      </w:r>
    </w:p>
    <w:p w14:paraId="769B8855" w14:textId="77777777" w:rsidR="0032386F" w:rsidRDefault="0032386F" w:rsidP="0032386F">
      <w:pPr>
        <w:pStyle w:val="BulletListLevel1"/>
      </w:pPr>
      <w:r>
        <w:t>ensure internal processes are consistent with legislative requirements</w:t>
      </w:r>
    </w:p>
    <w:p w14:paraId="32731791" w14:textId="77777777" w:rsidR="0032386F" w:rsidRDefault="0032386F" w:rsidP="0032386F">
      <w:pPr>
        <w:pStyle w:val="BulletListLevel1"/>
      </w:pPr>
      <w:r>
        <w:t>examine online opportunities for work processes.</w:t>
      </w:r>
    </w:p>
    <w:p w14:paraId="045BD106" w14:textId="40977FB3" w:rsidR="0032386F" w:rsidRDefault="0032386F" w:rsidP="0032386F">
      <w:r>
        <w:t xml:space="preserve">The review was successfully completed, resulting in our internal processes being strengthened and outlined in a new FOI Procedure Manual. New online opportunities identified will assist </w:t>
      </w:r>
      <w:r w:rsidRPr="00266F69">
        <w:rPr>
          <w:rFonts w:cs="Arial"/>
          <w:lang w:eastAsia="en-AU"/>
        </w:rPr>
        <w:t xml:space="preserve">WorkCover </w:t>
      </w:r>
      <w:r>
        <w:rPr>
          <w:rFonts w:cs="Arial"/>
          <w:lang w:eastAsia="en-AU"/>
        </w:rPr>
        <w:t xml:space="preserve">staff </w:t>
      </w:r>
      <w:r w:rsidRPr="00266F69">
        <w:rPr>
          <w:rFonts w:cs="Arial"/>
          <w:lang w:eastAsia="en-AU"/>
        </w:rPr>
        <w:t>and external</w:t>
      </w:r>
      <w:r>
        <w:rPr>
          <w:rFonts w:cs="Arial"/>
          <w:lang w:eastAsia="en-AU"/>
        </w:rPr>
        <w:t xml:space="preserve"> </w:t>
      </w:r>
      <w:r w:rsidRPr="00266F69">
        <w:rPr>
          <w:rFonts w:cs="Arial"/>
          <w:lang w:eastAsia="en-AU"/>
        </w:rPr>
        <w:t>applicants</w:t>
      </w:r>
      <w:r w:rsidR="00117E2D">
        <w:rPr>
          <w:rFonts w:cs="Arial"/>
          <w:lang w:eastAsia="en-AU"/>
        </w:rPr>
        <w:t xml:space="preserve"> to</w:t>
      </w:r>
      <w:r w:rsidRPr="00266F69">
        <w:rPr>
          <w:rFonts w:cs="Arial"/>
          <w:lang w:eastAsia="en-AU"/>
        </w:rPr>
        <w:t xml:space="preserve"> deal with FOI related matters in the most efficient and effective manner</w:t>
      </w:r>
      <w:r>
        <w:rPr>
          <w:rFonts w:cs="Arial"/>
          <w:lang w:eastAsia="en-AU"/>
        </w:rPr>
        <w:t>.</w:t>
      </w:r>
      <w:r w:rsidDel="00266F69">
        <w:t xml:space="preserve"> </w:t>
      </w:r>
    </w:p>
    <w:p w14:paraId="0C153604" w14:textId="3913F2F2" w:rsidR="00AF108F" w:rsidRDefault="00AF108F" w:rsidP="00AF108F">
      <w:pPr>
        <w:pStyle w:val="Heading2nonumber"/>
        <w:jc w:val="left"/>
      </w:pPr>
      <w:bookmarkStart w:id="440" w:name="_Toc426617560"/>
      <w:bookmarkStart w:id="441" w:name="_Toc430091289"/>
      <w:r>
        <w:t xml:space="preserve">Review of </w:t>
      </w:r>
      <w:r w:rsidR="00034707">
        <w:t>c</w:t>
      </w:r>
      <w:r>
        <w:t>orporate policies and procedures</w:t>
      </w:r>
      <w:bookmarkEnd w:id="440"/>
      <w:bookmarkEnd w:id="441"/>
    </w:p>
    <w:p w14:paraId="3D51C841" w14:textId="77777777" w:rsidR="00A90CA0" w:rsidRDefault="00A90CA0" w:rsidP="007D395C">
      <w:bookmarkStart w:id="442" w:name="_Toc399317016"/>
      <w:r w:rsidRPr="00A90CA0">
        <w:t>In 2014/15 the Agency reviewed all corporate policies and procedures in order to minimise and simplify necessary policies and procedures, and remove policies and procedures considered redundant.</w:t>
      </w:r>
    </w:p>
    <w:p w14:paraId="753BC5D6" w14:textId="77777777" w:rsidR="00E22526" w:rsidRDefault="00E22526">
      <w:pPr>
        <w:keepLines w:val="0"/>
        <w:spacing w:after="0" w:line="240" w:lineRule="auto"/>
        <w:rPr>
          <w:rFonts w:eastAsiaTheme="majorEastAsia" w:cs="Arial"/>
          <w:b/>
          <w:bCs/>
          <w:color w:val="86731E" w:themeColor="text1"/>
          <w:kern w:val="32"/>
          <w:sz w:val="36"/>
        </w:rPr>
      </w:pPr>
      <w:bookmarkStart w:id="443" w:name="_Toc426617561"/>
      <w:r>
        <w:br w:type="page"/>
      </w:r>
    </w:p>
    <w:p w14:paraId="464E0518" w14:textId="1140925D" w:rsidR="009C0C76" w:rsidRDefault="009C0C76" w:rsidP="006F2F0B">
      <w:pPr>
        <w:pStyle w:val="Heading1nonumber"/>
      </w:pPr>
      <w:bookmarkStart w:id="444" w:name="_Toc430091290"/>
      <w:r>
        <w:lastRenderedPageBreak/>
        <w:t>IT initiatives</w:t>
      </w:r>
      <w:bookmarkEnd w:id="442"/>
      <w:bookmarkEnd w:id="443"/>
      <w:bookmarkEnd w:id="444"/>
    </w:p>
    <w:p w14:paraId="3A264415" w14:textId="77777777" w:rsidR="009C0C76" w:rsidRDefault="00FF4FB4" w:rsidP="006F2F0B">
      <w:pPr>
        <w:pStyle w:val="Heading2nonumber"/>
      </w:pPr>
      <w:bookmarkStart w:id="445" w:name="_Toc399317017"/>
      <w:bookmarkStart w:id="446" w:name="_Toc426617562"/>
      <w:bookmarkStart w:id="447" w:name="_Toc430091291"/>
      <w:r>
        <w:t>IT Strategic Plan</w:t>
      </w:r>
      <w:bookmarkEnd w:id="445"/>
      <w:bookmarkEnd w:id="446"/>
      <w:bookmarkEnd w:id="447"/>
    </w:p>
    <w:p w14:paraId="745E1062" w14:textId="1400B3C5" w:rsidR="0034427A" w:rsidRDefault="0034427A" w:rsidP="0034427A">
      <w:r w:rsidRPr="005D6176">
        <w:t xml:space="preserve">Supporting </w:t>
      </w:r>
      <w:r w:rsidR="00C726B0">
        <w:t>WorkCover WA</w:t>
      </w:r>
      <w:r w:rsidRPr="005D6176">
        <w:t>’s strategic planning proc</w:t>
      </w:r>
      <w:r w:rsidR="0086290A">
        <w:t xml:space="preserve">ess, the IT </w:t>
      </w:r>
      <w:r w:rsidR="0086290A" w:rsidRPr="004020BA">
        <w:rPr>
          <w:i/>
        </w:rPr>
        <w:t xml:space="preserve">Strategic Plan 2012 – </w:t>
      </w:r>
      <w:r w:rsidRPr="004020BA">
        <w:rPr>
          <w:i/>
        </w:rPr>
        <w:t xml:space="preserve">2015 </w:t>
      </w:r>
      <w:r w:rsidRPr="005D6176">
        <w:t>defines IT strategies to ensure the Agency is appropriately supported by technology.</w:t>
      </w:r>
    </w:p>
    <w:p w14:paraId="13AF1A48" w14:textId="77777777" w:rsidR="0086290A" w:rsidRDefault="008F1091" w:rsidP="0034427A">
      <w:r w:rsidRPr="008F1091">
        <w:t>Two strategic initiatives commenced in 2014/15</w:t>
      </w:r>
      <w:r w:rsidR="0086290A">
        <w:t>:</w:t>
      </w:r>
    </w:p>
    <w:p w14:paraId="31AC68CE" w14:textId="120547AC" w:rsidR="0086290A" w:rsidRDefault="0086290A" w:rsidP="0086290A">
      <w:pPr>
        <w:pStyle w:val="BulletListLevel1"/>
      </w:pPr>
      <w:r>
        <w:t>the</w:t>
      </w:r>
      <w:r w:rsidR="008F1091" w:rsidRPr="008F1091">
        <w:t xml:space="preserve"> Stan</w:t>
      </w:r>
      <w:r w:rsidR="00FE45FB">
        <w:t>dard Operating Environment</w:t>
      </w:r>
      <w:r w:rsidR="008F1091" w:rsidRPr="008F1091">
        <w:t xml:space="preserve"> Desktop</w:t>
      </w:r>
      <w:r>
        <w:t xml:space="preserve"> and Laptop Replacement Project</w:t>
      </w:r>
    </w:p>
    <w:p w14:paraId="165A3EA7" w14:textId="307E0163" w:rsidR="0086290A" w:rsidRDefault="006E145A" w:rsidP="0086290A">
      <w:pPr>
        <w:pStyle w:val="BulletListLevel1"/>
      </w:pPr>
      <w:r>
        <w:t xml:space="preserve">an </w:t>
      </w:r>
      <w:r w:rsidR="008F1091" w:rsidRPr="008F1091">
        <w:t xml:space="preserve">IT </w:t>
      </w:r>
      <w:r w:rsidR="00A90CA0">
        <w:t>Infrastructure Upgrade Project.</w:t>
      </w:r>
    </w:p>
    <w:p w14:paraId="24D9A671" w14:textId="286E1E0C" w:rsidR="008F1091" w:rsidRDefault="008F1091" w:rsidP="0034427A">
      <w:r w:rsidRPr="008F1091">
        <w:t>The two initiatives have since been combined into one project to reduce the overall capital costs by leveraging the right mix of technology to meet business needs.</w:t>
      </w:r>
    </w:p>
    <w:p w14:paraId="6A30E119" w14:textId="2AFCC4E8" w:rsidR="000E62CA" w:rsidRPr="000E62CA" w:rsidRDefault="007C45D2" w:rsidP="00C634BC">
      <w:pPr>
        <w:rPr>
          <w:rFonts w:cs="Arial"/>
          <w:bCs/>
          <w:szCs w:val="22"/>
          <w:lang w:val="en-US"/>
        </w:rPr>
        <w:sectPr w:rsidR="000E62CA" w:rsidRPr="000E62CA" w:rsidSect="00184DF0">
          <w:headerReference w:type="default" r:id="rId29"/>
          <w:pgSz w:w="11906" w:h="16838" w:code="9"/>
          <w:pgMar w:top="1440" w:right="1440" w:bottom="1440" w:left="1440" w:header="624" w:footer="0" w:gutter="0"/>
          <w:cols w:space="708"/>
          <w:docGrid w:linePitch="360"/>
        </w:sectPr>
      </w:pPr>
      <w:r>
        <w:rPr>
          <w:noProof/>
          <w:lang w:eastAsia="en-AU"/>
        </w:rPr>
        <w:drawing>
          <wp:anchor distT="0" distB="0" distL="114300" distR="114300" simplePos="0" relativeHeight="251727872" behindDoc="0" locked="0" layoutInCell="1" allowOverlap="1" wp14:anchorId="27314A96" wp14:editId="7329F083">
            <wp:simplePos x="0" y="0"/>
            <wp:positionH relativeFrom="column">
              <wp:posOffset>-1708670</wp:posOffset>
            </wp:positionH>
            <wp:positionV relativeFrom="page">
              <wp:posOffset>6550272</wp:posOffset>
            </wp:positionV>
            <wp:extent cx="6416040" cy="2842260"/>
            <wp:effectExtent l="0" t="0" r="3810" b="0"/>
            <wp:wrapSquare wrapText="bothSides"/>
            <wp:docPr id="20" name="Picture 20"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17" cstate="print">
                      <a:extLst>
                        <a:ext uri="{28A0092B-C50C-407E-A947-70E740481C1C}">
                          <a14:useLocalDpi xmlns:a14="http://schemas.microsoft.com/office/drawing/2010/main" val="0"/>
                        </a:ext>
                      </a:extLst>
                    </a:blip>
                    <a:srcRect t="39269" b="29401"/>
                    <a:stretch/>
                  </pic:blipFill>
                  <pic:spPr bwMode="auto">
                    <a:xfrm>
                      <a:off x="0" y="0"/>
                      <a:ext cx="6416040"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86F">
        <w:rPr>
          <w:rFonts w:cs="Arial"/>
          <w:bCs/>
          <w:szCs w:val="22"/>
          <w:lang w:val="en-US"/>
        </w:rPr>
        <w:t xml:space="preserve">In the last financial year </w:t>
      </w:r>
      <w:r w:rsidR="0032386F" w:rsidRPr="0078057B">
        <w:rPr>
          <w:rFonts w:cs="Arial"/>
          <w:bCs/>
          <w:szCs w:val="22"/>
          <w:lang w:val="en-US"/>
        </w:rPr>
        <w:t xml:space="preserve">a detailed technical design requirements document </w:t>
      </w:r>
      <w:r w:rsidR="0032386F">
        <w:rPr>
          <w:rFonts w:cs="Arial"/>
          <w:bCs/>
          <w:szCs w:val="22"/>
          <w:lang w:val="en-US"/>
        </w:rPr>
        <w:t xml:space="preserve">was developed </w:t>
      </w:r>
      <w:r w:rsidR="0032386F" w:rsidRPr="0078057B">
        <w:rPr>
          <w:rFonts w:cs="Arial"/>
          <w:bCs/>
          <w:szCs w:val="22"/>
          <w:lang w:val="en-US"/>
        </w:rPr>
        <w:t>to inform the procurement process</w:t>
      </w:r>
      <w:r w:rsidR="000E62CA">
        <w:rPr>
          <w:rFonts w:cs="Arial"/>
          <w:bCs/>
          <w:szCs w:val="22"/>
          <w:lang w:val="en-US"/>
        </w:rPr>
        <w:t>.</w:t>
      </w:r>
      <w:bookmarkStart w:id="448" w:name="_Toc399317021"/>
      <w:r w:rsidR="00F56A0A" w:rsidRPr="00F56A0A">
        <w:rPr>
          <w:noProof/>
          <w:lang w:eastAsia="en-AU"/>
        </w:rPr>
        <w:t xml:space="preserve"> </w:t>
      </w:r>
    </w:p>
    <w:p w14:paraId="19CBFC9F" w14:textId="686AFC70" w:rsidR="0064173F" w:rsidRPr="00AB4A73" w:rsidRDefault="0064173F" w:rsidP="00345BF2">
      <w:pPr>
        <w:pStyle w:val="Heading1nonumber"/>
        <w:rPr>
          <w:color w:val="808080" w:themeColor="background1" w:themeShade="80"/>
          <w:sz w:val="40"/>
        </w:rPr>
      </w:pPr>
      <w:bookmarkStart w:id="449" w:name="_Toc430091292"/>
      <w:r w:rsidRPr="00AB4A73">
        <w:rPr>
          <w:color w:val="808080" w:themeColor="background1" w:themeShade="80"/>
          <w:sz w:val="40"/>
        </w:rPr>
        <w:lastRenderedPageBreak/>
        <w:t>Section 5: Disclosure</w:t>
      </w:r>
      <w:r w:rsidR="00C466F7" w:rsidRPr="00AB4A73">
        <w:rPr>
          <w:color w:val="808080" w:themeColor="background1" w:themeShade="80"/>
          <w:sz w:val="40"/>
        </w:rPr>
        <w:t>s</w:t>
      </w:r>
      <w:r w:rsidRPr="00AB4A73">
        <w:rPr>
          <w:color w:val="808080" w:themeColor="background1" w:themeShade="80"/>
          <w:sz w:val="40"/>
        </w:rPr>
        <w:t xml:space="preserve"> and Legal Compliance</w:t>
      </w:r>
      <w:bookmarkEnd w:id="448"/>
      <w:bookmarkEnd w:id="449"/>
    </w:p>
    <w:p w14:paraId="41A715C9" w14:textId="6B634A19" w:rsidR="00BB6183" w:rsidRDefault="00BB6183" w:rsidP="00E27DE7">
      <w:pPr>
        <w:pStyle w:val="Heading1nonumber"/>
      </w:pPr>
      <w:bookmarkStart w:id="450" w:name="_Toc399317022"/>
      <w:bookmarkStart w:id="451" w:name="_Toc426617563"/>
      <w:bookmarkStart w:id="452" w:name="_Toc430091293"/>
      <w:r>
        <w:t>Report on funds management</w:t>
      </w:r>
      <w:bookmarkEnd w:id="450"/>
      <w:bookmarkEnd w:id="451"/>
      <w:bookmarkEnd w:id="452"/>
    </w:p>
    <w:p w14:paraId="41FB986F" w14:textId="3127FF33" w:rsidR="00BB6183" w:rsidRDefault="00AA76C0" w:rsidP="00E22526">
      <w:pPr>
        <w:pStyle w:val="Heading2nonumber"/>
        <w:jc w:val="left"/>
      </w:pPr>
      <w:bookmarkStart w:id="453" w:name="_Toc399317023"/>
      <w:bookmarkStart w:id="454" w:name="_Toc426617564"/>
      <w:bookmarkStart w:id="455" w:name="_Toc430091294"/>
      <w:r>
        <w:t xml:space="preserve">Workers’ Compensation </w:t>
      </w:r>
      <w:r w:rsidR="00DC4150">
        <w:t>&amp;</w:t>
      </w:r>
      <w:r>
        <w:t xml:space="preserve"> Injury Management Trust Account</w:t>
      </w:r>
      <w:bookmarkEnd w:id="453"/>
      <w:bookmarkEnd w:id="454"/>
      <w:bookmarkEnd w:id="455"/>
    </w:p>
    <w:p w14:paraId="7B28030C" w14:textId="77777777" w:rsidR="003635D5" w:rsidRPr="00897BF6" w:rsidRDefault="003635D5" w:rsidP="003635D5">
      <w:bookmarkStart w:id="456" w:name="_Toc399317024"/>
      <w:bookmarkStart w:id="457" w:name="_Toc426617565"/>
      <w:r w:rsidRPr="00897BF6">
        <w:t xml:space="preserve">The Workers’ Compensation and Injury Management Trust Account is maintained in accordance with section 110 of the </w:t>
      </w:r>
      <w:r w:rsidRPr="00897BF6">
        <w:rPr>
          <w:i/>
          <w:iCs/>
        </w:rPr>
        <w:t>Workers' Compensation and Injury Management Act 1981</w:t>
      </w:r>
      <w:r w:rsidRPr="00897BF6">
        <w:t xml:space="preserve"> (the Act). WorkCover WA seeks to optimise returns and security of funds invested for the benefit of the dependants of deceased workers.</w:t>
      </w:r>
    </w:p>
    <w:p w14:paraId="4909D9AC" w14:textId="77777777" w:rsidR="003635D5" w:rsidRPr="00897BF6" w:rsidRDefault="003635D5" w:rsidP="003635D5">
      <w:r w:rsidRPr="00897BF6">
        <w:t>Section 218 of the Act empowers an Arbitrator to order compensation to be paid in trust to WorkCover WA when it cannot immediately be paid to a person under a legal disability or the dependants of a deceased worker. These funds are invested in accordance with Treasurer’s guidelines.</w:t>
      </w:r>
    </w:p>
    <w:p w14:paraId="19F06E22" w14:textId="77777777" w:rsidR="003635D5" w:rsidRPr="00897BF6" w:rsidRDefault="003635D5" w:rsidP="003635D5">
      <w:r w:rsidRPr="00897BF6">
        <w:t xml:space="preserve">Investment strategies employed provided an average yield for the year of </w:t>
      </w:r>
      <w:r>
        <w:t>2.75</w:t>
      </w:r>
      <w:r w:rsidRPr="00897BF6">
        <w:t xml:space="preserve"> per cent for all trust accounts.</w:t>
      </w:r>
    </w:p>
    <w:p w14:paraId="4CDB236E" w14:textId="0ED5980E" w:rsidR="002223B8" w:rsidRDefault="00AA76C0" w:rsidP="002223B8">
      <w:pPr>
        <w:pStyle w:val="Heading2nonumber"/>
      </w:pPr>
      <w:bookmarkStart w:id="458" w:name="_Toc430091295"/>
      <w:r w:rsidRPr="00074072">
        <w:t xml:space="preserve">Uninsured </w:t>
      </w:r>
      <w:r w:rsidR="00180DE3" w:rsidRPr="00074072">
        <w:t>c</w:t>
      </w:r>
      <w:r w:rsidRPr="00074072">
        <w:t xml:space="preserve">laims </w:t>
      </w:r>
      <w:r w:rsidR="00180DE3" w:rsidRPr="00074072">
        <w:t>m</w:t>
      </w:r>
      <w:r w:rsidRPr="00074072">
        <w:t>anagement</w:t>
      </w:r>
      <w:bookmarkStart w:id="459" w:name="_Toc399317025"/>
      <w:bookmarkStart w:id="460" w:name="_Toc426617566"/>
      <w:bookmarkEnd w:id="456"/>
      <w:bookmarkEnd w:id="457"/>
      <w:bookmarkEnd w:id="458"/>
    </w:p>
    <w:p w14:paraId="2C67B90A" w14:textId="77777777" w:rsidR="003635D5" w:rsidRPr="003635D5" w:rsidRDefault="003635D5" w:rsidP="003635D5">
      <w:r w:rsidRPr="003635D5">
        <w:t xml:space="preserve">WorkCover WA manages specific funds to provide a source of compensation for workers of uninsured employers, pursuant to section 174 of the </w:t>
      </w:r>
      <w:r w:rsidRPr="003635D5">
        <w:rPr>
          <w:rStyle w:val="Emphasis"/>
          <w:rFonts w:eastAsiaTheme="majorEastAsia"/>
        </w:rPr>
        <w:t xml:space="preserve">Workers' Compensation and Injury Management Act 1981 </w:t>
      </w:r>
      <w:r w:rsidRPr="003635D5">
        <w:t xml:space="preserve">(the Act). Funds paid to workers from the General Account are recovered from uninsured employers by WorkCover WA. </w:t>
      </w:r>
    </w:p>
    <w:p w14:paraId="22326FD4" w14:textId="77777777" w:rsidR="003635D5" w:rsidRPr="003635D5" w:rsidRDefault="003635D5" w:rsidP="003635D5">
      <w:r w:rsidRPr="003635D5">
        <w:t>As part of its operations, the compliance activity establishes an employer’s insurance status to ensure monies released from the General Account are in accordance with the provisions of the Act. This year, the compliance activity investigated 30 potential claims on the General Account pursuant to section 174, compared with 23 last year. There were four new claims this year and 26 continuing claims from previous financial years. The cost of new claims was $374,329.34</w:t>
      </w:r>
      <w:r w:rsidRPr="003635D5">
        <w:rPr>
          <w:rFonts w:cs="Arial"/>
          <w:sz w:val="22"/>
          <w:szCs w:val="22"/>
        </w:rPr>
        <w:t xml:space="preserve"> </w:t>
      </w:r>
      <w:r w:rsidRPr="003635D5">
        <w:t xml:space="preserve">and ongoing claims amounted to </w:t>
      </w:r>
      <w:r w:rsidRPr="003635D5">
        <w:rPr>
          <w:rFonts w:cs="Arial"/>
          <w:sz w:val="22"/>
          <w:szCs w:val="22"/>
        </w:rPr>
        <w:t>$1,543,135.05</w:t>
      </w:r>
      <w:r w:rsidRPr="003635D5">
        <w:t xml:space="preserve"> </w:t>
      </w:r>
    </w:p>
    <w:p w14:paraId="03F8DE87" w14:textId="77777777" w:rsidR="003635D5" w:rsidRPr="003635D5" w:rsidRDefault="003635D5" w:rsidP="003635D5">
      <w:r w:rsidRPr="003635D5">
        <w:t xml:space="preserve">At 30 June 2015, the total outstanding debt from uninsured employers was approximately </w:t>
      </w:r>
      <w:r w:rsidRPr="003635D5">
        <w:rPr>
          <w:rFonts w:cs="Arial"/>
          <w:sz w:val="22"/>
          <w:szCs w:val="22"/>
        </w:rPr>
        <w:t xml:space="preserve">$1,917,464.39. </w:t>
      </w:r>
      <w:r w:rsidRPr="003635D5">
        <w:t>Recovery action against these employers is ongoing.</w:t>
      </w:r>
    </w:p>
    <w:p w14:paraId="0BD0F8CE" w14:textId="1A243F9C" w:rsidR="00AA76C0" w:rsidRDefault="00180DE3" w:rsidP="00825D77">
      <w:pPr>
        <w:pStyle w:val="Heading2nonumber"/>
      </w:pPr>
      <w:bookmarkStart w:id="461" w:name="_Toc430091296"/>
      <w:r>
        <w:lastRenderedPageBreak/>
        <w:t>Employer’s</w:t>
      </w:r>
      <w:r w:rsidR="00AA76C0">
        <w:t xml:space="preserve"> </w:t>
      </w:r>
      <w:r>
        <w:t>i</w:t>
      </w:r>
      <w:r w:rsidR="00AA76C0">
        <w:t xml:space="preserve">ndemnity </w:t>
      </w:r>
      <w:r>
        <w:t>s</w:t>
      </w:r>
      <w:r w:rsidR="00AA76C0">
        <w:t xml:space="preserve">upplementation </w:t>
      </w:r>
      <w:r>
        <w:t>f</w:t>
      </w:r>
      <w:r w:rsidR="00AA76C0">
        <w:t>und</w:t>
      </w:r>
      <w:bookmarkEnd w:id="459"/>
      <w:bookmarkEnd w:id="460"/>
      <w:bookmarkEnd w:id="461"/>
      <w:r w:rsidR="00AA76C0">
        <w:tab/>
      </w:r>
    </w:p>
    <w:p w14:paraId="4E95524C" w14:textId="77777777" w:rsidR="003635D5" w:rsidRPr="005C5E6F" w:rsidRDefault="003635D5" w:rsidP="00EB6F91">
      <w:pPr>
        <w:jc w:val="both"/>
      </w:pPr>
      <w:r w:rsidRPr="005C5E6F">
        <w:t xml:space="preserve">The Employers’ Indemnity Supplementation Fund was established under the provisions of the </w:t>
      </w:r>
      <w:r w:rsidRPr="005C5E6F">
        <w:rPr>
          <w:i/>
          <w:iCs/>
        </w:rPr>
        <w:t>Employers’ Indemnity Supplementation Fund Act 1980</w:t>
      </w:r>
      <w:r w:rsidRPr="005C5E6F">
        <w:t xml:space="preserve"> and exists to guard against the collapse of an insurer.</w:t>
      </w:r>
    </w:p>
    <w:p w14:paraId="518301FA" w14:textId="037A1991" w:rsidR="003635D5" w:rsidRPr="005C5E6F" w:rsidRDefault="003635D5" w:rsidP="00EB6F91">
      <w:pPr>
        <w:jc w:val="both"/>
      </w:pPr>
      <w:r w:rsidRPr="005C5E6F">
        <w:t xml:space="preserve">The Employers’ Indemnity Supplementation Fund also pays claims under the </w:t>
      </w:r>
      <w:r w:rsidRPr="005C5E6F">
        <w:rPr>
          <w:i/>
          <w:iCs/>
        </w:rPr>
        <w:t>Waterfront Workers’ (Compensation for Asbestos Related Disease) Act 1986</w:t>
      </w:r>
      <w:r w:rsidRPr="005C5E6F">
        <w:t xml:space="preserve"> and the </w:t>
      </w:r>
      <w:r w:rsidRPr="005C5E6F">
        <w:rPr>
          <w:i/>
          <w:iCs/>
        </w:rPr>
        <w:t>Workers’ Compensation and Injury Management (Acts of Terrorism) Act 2001</w:t>
      </w:r>
      <w:r w:rsidR="00A06678">
        <w:rPr>
          <w:iCs/>
        </w:rPr>
        <w:t xml:space="preserve"> (Acts of Terrorism Act)</w:t>
      </w:r>
      <w:r w:rsidRPr="005C5E6F">
        <w:t xml:space="preserve">. </w:t>
      </w:r>
    </w:p>
    <w:p w14:paraId="29EFC1E4" w14:textId="77777777" w:rsidR="003635D5" w:rsidRPr="005C5E6F" w:rsidRDefault="003635D5" w:rsidP="00EB6F91">
      <w:pPr>
        <w:jc w:val="both"/>
      </w:pPr>
      <w:r w:rsidRPr="005C5E6F">
        <w:t xml:space="preserve">Payments for claims under the </w:t>
      </w:r>
      <w:r w:rsidRPr="005C5E6F">
        <w:rPr>
          <w:i/>
          <w:iCs/>
        </w:rPr>
        <w:t>Waterfront Workers’ (Compensation for Asbestos Related Disease) Act 1986</w:t>
      </w:r>
      <w:r w:rsidRPr="005C5E6F">
        <w:t xml:space="preserve"> for </w:t>
      </w:r>
      <w:r>
        <w:t>2014/15</w:t>
      </w:r>
      <w:r w:rsidRPr="005C5E6F">
        <w:t xml:space="preserve"> were nil. Since its inception (February 1987), a total of $2,800,507 has been paid.</w:t>
      </w:r>
    </w:p>
    <w:p w14:paraId="6DEE1B25" w14:textId="01418259" w:rsidR="003635D5" w:rsidRPr="005C5E6F" w:rsidRDefault="003635D5" w:rsidP="003635D5">
      <w:pPr>
        <w:jc w:val="both"/>
      </w:pPr>
      <w:r w:rsidRPr="005C5E6F">
        <w:t xml:space="preserve">Payments for claims under the </w:t>
      </w:r>
      <w:r w:rsidR="00A06678" w:rsidRPr="00A06678">
        <w:rPr>
          <w:iCs/>
        </w:rPr>
        <w:t>Acts of Terrorism Act</w:t>
      </w:r>
      <w:r w:rsidRPr="005C5E6F">
        <w:t xml:space="preserve"> for </w:t>
      </w:r>
      <w:r>
        <w:t>2014/15</w:t>
      </w:r>
      <w:r w:rsidRPr="005C5E6F">
        <w:t xml:space="preserve"> were nil. The </w:t>
      </w:r>
      <w:r w:rsidRPr="005C5E6F">
        <w:rPr>
          <w:iCs/>
        </w:rPr>
        <w:t>Acts of Terrorism</w:t>
      </w:r>
      <w:r w:rsidR="00A06678">
        <w:rPr>
          <w:iCs/>
        </w:rPr>
        <w:t xml:space="preserve"> Act</w:t>
      </w:r>
      <w:r w:rsidRPr="005C5E6F">
        <w:t xml:space="preserve"> came into effect in 2001, but the first claim payment was not received until December 200</w:t>
      </w:r>
      <w:r w:rsidRPr="003635D5">
        <w:t>5.</w:t>
      </w:r>
    </w:p>
    <w:tbl>
      <w:tblPr>
        <w:tblStyle w:val="TableGrid1"/>
        <w:tblW w:w="0" w:type="auto"/>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29 Claim payments and receipts for insurers"/>
        <w:tblDescription w:val="Table 29 details claim payments and receipts for insurers"/>
      </w:tblPr>
      <w:tblGrid>
        <w:gridCol w:w="3016"/>
        <w:gridCol w:w="2989"/>
        <w:gridCol w:w="3011"/>
      </w:tblGrid>
      <w:tr w:rsidR="00884996" w:rsidRPr="00544634" w14:paraId="6B8F5161" w14:textId="77777777" w:rsidTr="005E3D56">
        <w:trPr>
          <w:tblHeader/>
        </w:trPr>
        <w:tc>
          <w:tcPr>
            <w:tcW w:w="9016" w:type="dxa"/>
            <w:gridSpan w:val="3"/>
            <w:shd w:val="clear" w:color="auto" w:fill="2D4541" w:themeFill="accent2"/>
          </w:tcPr>
          <w:p w14:paraId="02D975F8" w14:textId="7A73C016" w:rsidR="00884996" w:rsidRPr="00544634" w:rsidRDefault="009A4532" w:rsidP="009E75E3">
            <w:pPr>
              <w:rPr>
                <w:rStyle w:val="Strong"/>
              </w:rPr>
            </w:pPr>
            <w:r>
              <w:br w:type="page"/>
            </w:r>
            <w:r w:rsidR="00884996" w:rsidRPr="00544634">
              <w:rPr>
                <w:rStyle w:val="Strong"/>
                <w:color w:val="FFFFFF" w:themeColor="background1"/>
              </w:rPr>
              <w:t xml:space="preserve">Table </w:t>
            </w:r>
            <w:r w:rsidR="009E75E3">
              <w:rPr>
                <w:rStyle w:val="Strong"/>
                <w:color w:val="FFFFFF" w:themeColor="background1"/>
              </w:rPr>
              <w:t>29</w:t>
            </w:r>
            <w:r w:rsidR="00884996" w:rsidRPr="00544634">
              <w:rPr>
                <w:rStyle w:val="Strong"/>
                <w:color w:val="FFFFFF" w:themeColor="background1"/>
              </w:rPr>
              <w:t xml:space="preserve">: </w:t>
            </w:r>
            <w:r w:rsidR="00884996">
              <w:rPr>
                <w:rStyle w:val="Strong"/>
                <w:color w:val="FFFFFF" w:themeColor="background1"/>
              </w:rPr>
              <w:t xml:space="preserve">Claim payments and receipts for insurers </w:t>
            </w:r>
            <w:r w:rsidR="00884996" w:rsidRPr="00544634">
              <w:rPr>
                <w:rStyle w:val="Strong"/>
                <w:color w:val="FFFFFF" w:themeColor="background1"/>
              </w:rPr>
              <w:t xml:space="preserve">  </w:t>
            </w:r>
          </w:p>
        </w:tc>
      </w:tr>
      <w:tr w:rsidR="00884996" w:rsidRPr="00544634" w14:paraId="08D37726" w14:textId="77777777" w:rsidTr="005E152A">
        <w:tc>
          <w:tcPr>
            <w:tcW w:w="3016" w:type="dxa"/>
            <w:shd w:val="clear" w:color="auto" w:fill="D4E2E0" w:themeFill="accent5"/>
            <w:vAlign w:val="center"/>
          </w:tcPr>
          <w:p w14:paraId="7431EF79" w14:textId="77777777" w:rsidR="00884996" w:rsidRPr="00544634" w:rsidRDefault="00884996" w:rsidP="00884996">
            <w:pPr>
              <w:rPr>
                <w:rStyle w:val="Strong"/>
              </w:rPr>
            </w:pPr>
            <w:r>
              <w:rPr>
                <w:rStyle w:val="Strong"/>
              </w:rPr>
              <w:t>Item</w:t>
            </w:r>
          </w:p>
        </w:tc>
        <w:tc>
          <w:tcPr>
            <w:tcW w:w="2989" w:type="dxa"/>
            <w:shd w:val="clear" w:color="auto" w:fill="D4E2E0" w:themeFill="accent5"/>
            <w:vAlign w:val="center"/>
          </w:tcPr>
          <w:p w14:paraId="3ABCE1D4" w14:textId="77777777" w:rsidR="00884996" w:rsidRPr="00544634" w:rsidRDefault="00884996" w:rsidP="005E152A">
            <w:pPr>
              <w:rPr>
                <w:rStyle w:val="Strong"/>
              </w:rPr>
            </w:pPr>
            <w:r>
              <w:rPr>
                <w:rStyle w:val="Strong"/>
              </w:rPr>
              <w:t>HIH Insurance ($)</w:t>
            </w:r>
          </w:p>
        </w:tc>
        <w:tc>
          <w:tcPr>
            <w:tcW w:w="3011" w:type="dxa"/>
            <w:shd w:val="clear" w:color="auto" w:fill="D4E2E0" w:themeFill="accent5"/>
            <w:vAlign w:val="center"/>
          </w:tcPr>
          <w:p w14:paraId="7B305901" w14:textId="77777777" w:rsidR="00884996" w:rsidRPr="00544634" w:rsidRDefault="00884996" w:rsidP="005E152A">
            <w:pPr>
              <w:rPr>
                <w:rStyle w:val="Strong"/>
              </w:rPr>
            </w:pPr>
            <w:r>
              <w:rPr>
                <w:rStyle w:val="Strong"/>
              </w:rPr>
              <w:t>National Employers’ Mutual General Insurance Co. ($)</w:t>
            </w:r>
          </w:p>
        </w:tc>
      </w:tr>
      <w:tr w:rsidR="00831207" w:rsidRPr="00B05450" w14:paraId="3741E44F" w14:textId="77777777" w:rsidTr="00514CFE">
        <w:tc>
          <w:tcPr>
            <w:tcW w:w="3016" w:type="dxa"/>
            <w:shd w:val="clear" w:color="auto" w:fill="D4E2E0" w:themeFill="accent5"/>
            <w:vAlign w:val="center"/>
          </w:tcPr>
          <w:p w14:paraId="338EA2FB" w14:textId="77777777" w:rsidR="00831207" w:rsidRPr="00B05450" w:rsidRDefault="00831207" w:rsidP="00831207">
            <w:pPr>
              <w:rPr>
                <w:lang w:val="en-GB" w:eastAsia="en-AU"/>
              </w:rPr>
            </w:pPr>
            <w:r w:rsidRPr="00A90667">
              <w:rPr>
                <w:rFonts w:cs="Arial"/>
                <w:color w:val="000000"/>
                <w:lang w:val="en-GB"/>
              </w:rPr>
              <w:t>Value of outstanding claims in Western Australia</w:t>
            </w:r>
          </w:p>
        </w:tc>
        <w:tc>
          <w:tcPr>
            <w:tcW w:w="2989" w:type="dxa"/>
          </w:tcPr>
          <w:p w14:paraId="020F372D" w14:textId="3ABED9BF" w:rsidR="00831207" w:rsidRPr="00A07B0E" w:rsidRDefault="003635D5" w:rsidP="00E50698">
            <w:pPr>
              <w:jc w:val="right"/>
              <w:rPr>
                <w:color w:val="FF0000"/>
                <w:highlight w:val="yellow"/>
              </w:rPr>
            </w:pPr>
            <w:r w:rsidRPr="00EA50EB">
              <w:t>1,016,457</w:t>
            </w:r>
          </w:p>
        </w:tc>
        <w:tc>
          <w:tcPr>
            <w:tcW w:w="3011" w:type="dxa"/>
          </w:tcPr>
          <w:p w14:paraId="1CC47179" w14:textId="63C9898D" w:rsidR="00831207" w:rsidRPr="00A07B0E" w:rsidRDefault="003635D5" w:rsidP="00E50698">
            <w:pPr>
              <w:jc w:val="right"/>
              <w:rPr>
                <w:color w:val="FF0000"/>
                <w:highlight w:val="yellow"/>
              </w:rPr>
            </w:pPr>
            <w:r w:rsidRPr="00EA50EB">
              <w:t>615,255</w:t>
            </w:r>
          </w:p>
        </w:tc>
      </w:tr>
      <w:tr w:rsidR="00A07B0E" w:rsidRPr="00B05450" w14:paraId="46D4EAAA" w14:textId="77777777" w:rsidTr="00514CFE">
        <w:tc>
          <w:tcPr>
            <w:tcW w:w="3016" w:type="dxa"/>
            <w:shd w:val="clear" w:color="auto" w:fill="D4E2E0" w:themeFill="accent5"/>
            <w:vAlign w:val="center"/>
          </w:tcPr>
          <w:p w14:paraId="75E081C3" w14:textId="77777777" w:rsidR="00A07B0E" w:rsidRPr="00B05450" w:rsidRDefault="00A07B0E" w:rsidP="00A07B0E">
            <w:r w:rsidRPr="00A90667">
              <w:rPr>
                <w:rFonts w:cs="Arial"/>
                <w:color w:val="000000"/>
                <w:lang w:val="en-GB"/>
              </w:rPr>
              <w:t>Received from liquidators in 201</w:t>
            </w:r>
            <w:r>
              <w:rPr>
                <w:rFonts w:cs="Arial"/>
                <w:color w:val="000000"/>
                <w:lang w:val="en-GB"/>
              </w:rPr>
              <w:t>4</w:t>
            </w:r>
            <w:r w:rsidRPr="00A90667">
              <w:rPr>
                <w:rFonts w:cs="Arial"/>
                <w:color w:val="000000"/>
                <w:lang w:val="en-GB"/>
              </w:rPr>
              <w:t>/1</w:t>
            </w:r>
            <w:r>
              <w:rPr>
                <w:rFonts w:cs="Arial"/>
                <w:color w:val="000000"/>
                <w:lang w:val="en-GB"/>
              </w:rPr>
              <w:t>5</w:t>
            </w:r>
          </w:p>
        </w:tc>
        <w:tc>
          <w:tcPr>
            <w:tcW w:w="2989" w:type="dxa"/>
          </w:tcPr>
          <w:p w14:paraId="40DF1897" w14:textId="6877F225" w:rsidR="00A07B0E" w:rsidRPr="00A07B0E" w:rsidRDefault="003635D5" w:rsidP="00E50698">
            <w:pPr>
              <w:jc w:val="right"/>
              <w:rPr>
                <w:color w:val="FF0000"/>
                <w:highlight w:val="yellow"/>
              </w:rPr>
            </w:pPr>
            <w:r w:rsidRPr="00EA50EB">
              <w:t>9,491,977</w:t>
            </w:r>
          </w:p>
        </w:tc>
        <w:tc>
          <w:tcPr>
            <w:tcW w:w="3011" w:type="dxa"/>
          </w:tcPr>
          <w:p w14:paraId="49BF3158" w14:textId="78641FD7" w:rsidR="00A07B0E" w:rsidRPr="00A07B0E" w:rsidRDefault="003635D5" w:rsidP="00E50698">
            <w:pPr>
              <w:jc w:val="right"/>
              <w:rPr>
                <w:color w:val="FF0000"/>
                <w:highlight w:val="yellow"/>
              </w:rPr>
            </w:pPr>
            <w:r w:rsidRPr="00EA50EB">
              <w:t>2,400</w:t>
            </w:r>
          </w:p>
        </w:tc>
      </w:tr>
      <w:tr w:rsidR="00A07B0E" w:rsidRPr="00B05450" w14:paraId="1C69A739" w14:textId="77777777" w:rsidTr="00514CFE">
        <w:tc>
          <w:tcPr>
            <w:tcW w:w="3016" w:type="dxa"/>
            <w:shd w:val="clear" w:color="auto" w:fill="D4E2E0" w:themeFill="accent5"/>
            <w:vAlign w:val="center"/>
          </w:tcPr>
          <w:p w14:paraId="713B5299" w14:textId="77777777" w:rsidR="00A07B0E" w:rsidRPr="00B05450" w:rsidRDefault="00A07B0E" w:rsidP="00A07B0E">
            <w:r w:rsidRPr="00A90667">
              <w:rPr>
                <w:rFonts w:cs="Arial"/>
                <w:color w:val="000000"/>
                <w:lang w:val="en-GB"/>
              </w:rPr>
              <w:t>Claim payments for 201</w:t>
            </w:r>
            <w:r>
              <w:rPr>
                <w:rFonts w:cs="Arial"/>
                <w:color w:val="000000"/>
                <w:lang w:val="en-GB"/>
              </w:rPr>
              <w:t>4</w:t>
            </w:r>
            <w:r w:rsidRPr="00A90667">
              <w:rPr>
                <w:rFonts w:cs="Arial"/>
                <w:color w:val="000000"/>
                <w:lang w:val="en-GB"/>
              </w:rPr>
              <w:t>/1</w:t>
            </w:r>
            <w:r>
              <w:rPr>
                <w:rFonts w:cs="Arial"/>
                <w:color w:val="000000"/>
                <w:lang w:val="en-GB"/>
              </w:rPr>
              <w:t>5</w:t>
            </w:r>
          </w:p>
        </w:tc>
        <w:tc>
          <w:tcPr>
            <w:tcW w:w="2989" w:type="dxa"/>
          </w:tcPr>
          <w:p w14:paraId="0BDCA56E" w14:textId="0818EB78" w:rsidR="00A07B0E" w:rsidRPr="00A07B0E" w:rsidRDefault="003635D5" w:rsidP="00E50698">
            <w:pPr>
              <w:jc w:val="right"/>
              <w:rPr>
                <w:color w:val="FF0000"/>
                <w:highlight w:val="yellow"/>
              </w:rPr>
            </w:pPr>
            <w:r w:rsidRPr="00EA50EB">
              <w:t>675,168</w:t>
            </w:r>
          </w:p>
        </w:tc>
        <w:tc>
          <w:tcPr>
            <w:tcW w:w="3011" w:type="dxa"/>
          </w:tcPr>
          <w:p w14:paraId="2AC32B87" w14:textId="1A9F8D06" w:rsidR="00A07B0E" w:rsidRPr="00A07B0E" w:rsidRDefault="003635D5" w:rsidP="00E50698">
            <w:pPr>
              <w:jc w:val="right"/>
              <w:rPr>
                <w:color w:val="FF0000"/>
                <w:highlight w:val="yellow"/>
              </w:rPr>
            </w:pPr>
            <w:r w:rsidRPr="00EA50EB">
              <w:t>178,631</w:t>
            </w:r>
          </w:p>
        </w:tc>
      </w:tr>
      <w:tr w:rsidR="00A07B0E" w:rsidRPr="00B05450" w14:paraId="1711EADA" w14:textId="77777777" w:rsidTr="00514CFE">
        <w:tc>
          <w:tcPr>
            <w:tcW w:w="3016" w:type="dxa"/>
            <w:shd w:val="clear" w:color="auto" w:fill="D4E2E0" w:themeFill="accent5"/>
            <w:vAlign w:val="center"/>
          </w:tcPr>
          <w:p w14:paraId="1C40ECA2" w14:textId="77777777" w:rsidR="00A07B0E" w:rsidRPr="00B05450" w:rsidRDefault="00A07B0E" w:rsidP="00A07B0E">
            <w:pPr>
              <w:rPr>
                <w:lang w:val="en-GB" w:eastAsia="en-AU"/>
              </w:rPr>
            </w:pPr>
            <w:r w:rsidRPr="00A90667">
              <w:rPr>
                <w:rFonts w:cs="Arial"/>
                <w:color w:val="000000"/>
                <w:lang w:val="en-GB"/>
              </w:rPr>
              <w:t>Claim payments since liquidation commenced</w:t>
            </w:r>
          </w:p>
        </w:tc>
        <w:tc>
          <w:tcPr>
            <w:tcW w:w="2989" w:type="dxa"/>
          </w:tcPr>
          <w:p w14:paraId="01C2BBCD" w14:textId="05FF6CE5" w:rsidR="00A07B0E" w:rsidRPr="00A07B0E" w:rsidRDefault="003635D5" w:rsidP="00E50698">
            <w:pPr>
              <w:jc w:val="right"/>
              <w:rPr>
                <w:color w:val="FF0000"/>
                <w:highlight w:val="yellow"/>
              </w:rPr>
            </w:pPr>
            <w:r w:rsidRPr="00EA50EB">
              <w:t>76,240,365</w:t>
            </w:r>
          </w:p>
        </w:tc>
        <w:tc>
          <w:tcPr>
            <w:tcW w:w="3011" w:type="dxa"/>
          </w:tcPr>
          <w:p w14:paraId="26AB5CC0" w14:textId="389DECED" w:rsidR="00A07B0E" w:rsidRPr="00A07B0E" w:rsidRDefault="003635D5" w:rsidP="00E50698">
            <w:pPr>
              <w:jc w:val="right"/>
              <w:rPr>
                <w:color w:val="FF0000"/>
                <w:highlight w:val="yellow"/>
              </w:rPr>
            </w:pPr>
            <w:r w:rsidRPr="00EA50EB">
              <w:t>6,632,107</w:t>
            </w:r>
          </w:p>
        </w:tc>
      </w:tr>
    </w:tbl>
    <w:p w14:paraId="2376D783" w14:textId="77777777" w:rsidR="009A4532" w:rsidRDefault="009A4532">
      <w:pPr>
        <w:keepLines w:val="0"/>
        <w:spacing w:after="0" w:line="240" w:lineRule="auto"/>
        <w:rPr>
          <w:rFonts w:ascii="Verdana" w:hAnsi="Verdana" w:cs="Arial"/>
          <w:b/>
          <w:bCs/>
          <w:color w:val="86731E" w:themeColor="text1"/>
          <w:szCs w:val="20"/>
        </w:rPr>
      </w:pPr>
      <w:r>
        <w:br w:type="page"/>
      </w:r>
    </w:p>
    <w:p w14:paraId="21368160" w14:textId="77777777" w:rsidR="00AA76C0" w:rsidRDefault="00AA76C0" w:rsidP="00E27DE7">
      <w:pPr>
        <w:pStyle w:val="Heading2nonumber"/>
      </w:pPr>
      <w:bookmarkStart w:id="462" w:name="_Toc399317026"/>
      <w:bookmarkStart w:id="463" w:name="_Toc426617567"/>
      <w:bookmarkStart w:id="464" w:name="_Toc430091297"/>
      <w:r>
        <w:lastRenderedPageBreak/>
        <w:t xml:space="preserve">Debts and </w:t>
      </w:r>
      <w:r w:rsidR="00180DE3">
        <w:t>i</w:t>
      </w:r>
      <w:r>
        <w:t>nvestments</w:t>
      </w:r>
      <w:bookmarkEnd w:id="462"/>
      <w:bookmarkEnd w:id="463"/>
      <w:bookmarkEnd w:id="464"/>
    </w:p>
    <w:p w14:paraId="35ADFA68" w14:textId="77777777" w:rsidR="003635D5" w:rsidRPr="003635D5" w:rsidRDefault="003635D5" w:rsidP="003635D5">
      <w:r w:rsidRPr="003635D5">
        <w:t xml:space="preserve">At 30 June 2015, there were 77 outstanding debtors resulting from fines and penalties awarded under section 170 of the Act, with debts outstanding of </w:t>
      </w:r>
      <w:r w:rsidRPr="00D945EE">
        <w:t>$</w:t>
      </w:r>
      <w:r w:rsidRPr="003635D5">
        <w:t>535,518. In 2014/15, the weighted average rate of return on General Account investments was 3.31 per cent.</w:t>
      </w:r>
    </w:p>
    <w:tbl>
      <w:tblPr>
        <w:tblStyle w:val="TableGrid1"/>
        <w:tblW w:w="0" w:type="auto"/>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30 Actual results versus budget results"/>
        <w:tblDescription w:val="Table 30 details what the Agency budgeted and what the agency spent"/>
      </w:tblPr>
      <w:tblGrid>
        <w:gridCol w:w="2388"/>
        <w:gridCol w:w="2412"/>
        <w:gridCol w:w="2379"/>
        <w:gridCol w:w="1837"/>
      </w:tblGrid>
      <w:tr w:rsidR="00884996" w:rsidRPr="00544634" w14:paraId="429EF9D1" w14:textId="77777777" w:rsidTr="005E3D56">
        <w:trPr>
          <w:tblHeader/>
        </w:trPr>
        <w:tc>
          <w:tcPr>
            <w:tcW w:w="9016" w:type="dxa"/>
            <w:gridSpan w:val="4"/>
            <w:shd w:val="clear" w:color="auto" w:fill="2D4541" w:themeFill="accent2"/>
          </w:tcPr>
          <w:p w14:paraId="27AA12C6" w14:textId="34BE8DC7" w:rsidR="00884996" w:rsidRPr="00544634" w:rsidRDefault="00884996" w:rsidP="00F65E4D">
            <w:pPr>
              <w:rPr>
                <w:rStyle w:val="Strong"/>
                <w:color w:val="FFFFFF" w:themeColor="background1"/>
              </w:rPr>
            </w:pPr>
            <w:r w:rsidRPr="00544634">
              <w:rPr>
                <w:rStyle w:val="Strong"/>
                <w:color w:val="FFFFFF" w:themeColor="background1"/>
              </w:rPr>
              <w:t xml:space="preserve">Table </w:t>
            </w:r>
            <w:r w:rsidR="00F73A0E">
              <w:rPr>
                <w:rStyle w:val="Strong"/>
                <w:color w:val="FFFFFF" w:themeColor="background1"/>
              </w:rPr>
              <w:t>3</w:t>
            </w:r>
            <w:r w:rsidR="009E75E3">
              <w:rPr>
                <w:rStyle w:val="Strong"/>
                <w:color w:val="FFFFFF" w:themeColor="background1"/>
              </w:rPr>
              <w:t>0</w:t>
            </w:r>
            <w:r w:rsidRPr="00544634">
              <w:rPr>
                <w:rStyle w:val="Strong"/>
                <w:color w:val="FFFFFF" w:themeColor="background1"/>
              </w:rPr>
              <w:t xml:space="preserve">: </w:t>
            </w:r>
            <w:r>
              <w:rPr>
                <w:rStyle w:val="Strong"/>
                <w:color w:val="FFFFFF" w:themeColor="background1"/>
              </w:rPr>
              <w:t xml:space="preserve">Actual results vs budget results </w:t>
            </w:r>
            <w:r w:rsidRPr="00544634">
              <w:rPr>
                <w:rStyle w:val="Strong"/>
                <w:color w:val="FFFFFF" w:themeColor="background1"/>
              </w:rPr>
              <w:t xml:space="preserve">  </w:t>
            </w:r>
          </w:p>
        </w:tc>
      </w:tr>
      <w:tr w:rsidR="00884996" w:rsidRPr="00544634" w14:paraId="3A1086AB" w14:textId="77777777" w:rsidTr="00884996">
        <w:tc>
          <w:tcPr>
            <w:tcW w:w="2388" w:type="dxa"/>
            <w:shd w:val="clear" w:color="auto" w:fill="D4E2E0" w:themeFill="accent5"/>
            <w:vAlign w:val="center"/>
          </w:tcPr>
          <w:p w14:paraId="67E29021" w14:textId="77777777" w:rsidR="00884996" w:rsidRPr="00544634" w:rsidRDefault="00884996" w:rsidP="005E152A">
            <w:pPr>
              <w:rPr>
                <w:rStyle w:val="Strong"/>
              </w:rPr>
            </w:pPr>
            <w:r>
              <w:rPr>
                <w:rStyle w:val="Strong"/>
              </w:rPr>
              <w:t>Item</w:t>
            </w:r>
          </w:p>
        </w:tc>
        <w:tc>
          <w:tcPr>
            <w:tcW w:w="2412" w:type="dxa"/>
            <w:shd w:val="clear" w:color="auto" w:fill="D4E2E0" w:themeFill="accent5"/>
            <w:vAlign w:val="center"/>
          </w:tcPr>
          <w:p w14:paraId="79C02D95" w14:textId="77777777" w:rsidR="00884996" w:rsidRPr="00544634" w:rsidRDefault="00884996" w:rsidP="006F2F0B">
            <w:pPr>
              <w:rPr>
                <w:rStyle w:val="Strong"/>
              </w:rPr>
            </w:pPr>
            <w:r>
              <w:rPr>
                <w:rStyle w:val="Strong"/>
              </w:rPr>
              <w:t>201</w:t>
            </w:r>
            <w:r w:rsidR="006F2F0B">
              <w:rPr>
                <w:rStyle w:val="Strong"/>
              </w:rPr>
              <w:t>4/15</w:t>
            </w:r>
            <w:r>
              <w:rPr>
                <w:rStyle w:val="Strong"/>
              </w:rPr>
              <w:t xml:space="preserve"> Target $000</w:t>
            </w:r>
          </w:p>
        </w:tc>
        <w:tc>
          <w:tcPr>
            <w:tcW w:w="2379" w:type="dxa"/>
            <w:shd w:val="clear" w:color="auto" w:fill="D4E2E0" w:themeFill="accent5"/>
            <w:vAlign w:val="center"/>
          </w:tcPr>
          <w:p w14:paraId="5CA1A709" w14:textId="77777777" w:rsidR="00884996" w:rsidRPr="00544634" w:rsidRDefault="006F2F0B" w:rsidP="005E152A">
            <w:pPr>
              <w:rPr>
                <w:rStyle w:val="Strong"/>
              </w:rPr>
            </w:pPr>
            <w:r>
              <w:rPr>
                <w:rStyle w:val="Strong"/>
              </w:rPr>
              <w:t>2014/15</w:t>
            </w:r>
            <w:r w:rsidR="00884996">
              <w:rPr>
                <w:rStyle w:val="Strong"/>
              </w:rPr>
              <w:t xml:space="preserve"> Actual $000</w:t>
            </w:r>
          </w:p>
        </w:tc>
        <w:tc>
          <w:tcPr>
            <w:tcW w:w="1837" w:type="dxa"/>
            <w:shd w:val="clear" w:color="auto" w:fill="D4E2E0" w:themeFill="accent5"/>
          </w:tcPr>
          <w:p w14:paraId="4091F27D" w14:textId="77777777" w:rsidR="00884996" w:rsidRDefault="00884996" w:rsidP="005E152A">
            <w:pPr>
              <w:rPr>
                <w:rStyle w:val="Strong"/>
              </w:rPr>
            </w:pPr>
            <w:r>
              <w:rPr>
                <w:rStyle w:val="Strong"/>
              </w:rPr>
              <w:t>Variation $000</w:t>
            </w:r>
          </w:p>
        </w:tc>
      </w:tr>
      <w:tr w:rsidR="003635D5" w:rsidRPr="00884996" w14:paraId="62602EAD" w14:textId="77777777" w:rsidTr="00A07B0E">
        <w:tc>
          <w:tcPr>
            <w:tcW w:w="2388" w:type="dxa"/>
            <w:shd w:val="clear" w:color="auto" w:fill="D4E2E0" w:themeFill="accent5"/>
            <w:vAlign w:val="center"/>
          </w:tcPr>
          <w:p w14:paraId="270B1F1F" w14:textId="77777777" w:rsidR="003635D5" w:rsidRPr="00A90667" w:rsidRDefault="003635D5" w:rsidP="003635D5">
            <w:pPr>
              <w:suppressAutoHyphens/>
              <w:autoSpaceDE w:val="0"/>
              <w:autoSpaceDN w:val="0"/>
              <w:adjustRightInd w:val="0"/>
              <w:spacing w:after="0" w:line="288" w:lineRule="auto"/>
              <w:textAlignment w:val="center"/>
              <w:rPr>
                <w:rFonts w:cs="Arial"/>
                <w:color w:val="000000"/>
                <w:lang w:val="en-GB"/>
              </w:rPr>
            </w:pPr>
            <w:r w:rsidRPr="00A90667">
              <w:rPr>
                <w:rFonts w:cs="Arial"/>
                <w:color w:val="000000"/>
                <w:lang w:val="en-GB"/>
              </w:rPr>
              <w:t>Total Revenue</w:t>
            </w:r>
          </w:p>
          <w:p w14:paraId="70B5A94C" w14:textId="77777777" w:rsidR="003635D5" w:rsidRPr="00B05450" w:rsidRDefault="003635D5" w:rsidP="003635D5">
            <w:pPr>
              <w:rPr>
                <w:lang w:val="en-GB" w:eastAsia="en-AU"/>
              </w:rPr>
            </w:pPr>
            <w:r w:rsidRPr="00A90667">
              <w:rPr>
                <w:rFonts w:cs="Arial"/>
                <w:color w:val="000000"/>
                <w:lang w:val="en-GB"/>
              </w:rPr>
              <w:t>(sourced from Statement of Comprehensive Income)</w:t>
            </w:r>
          </w:p>
        </w:tc>
        <w:tc>
          <w:tcPr>
            <w:tcW w:w="2412" w:type="dxa"/>
          </w:tcPr>
          <w:p w14:paraId="042CBBEE" w14:textId="1B0602AD" w:rsidR="003635D5" w:rsidRPr="00831207" w:rsidRDefault="003635D5" w:rsidP="00882097">
            <w:pPr>
              <w:jc w:val="right"/>
              <w:rPr>
                <w:color w:val="FF0000"/>
              </w:rPr>
            </w:pPr>
            <w:r w:rsidRPr="00B85479">
              <w:t>32,281</w:t>
            </w:r>
          </w:p>
        </w:tc>
        <w:tc>
          <w:tcPr>
            <w:tcW w:w="2379" w:type="dxa"/>
          </w:tcPr>
          <w:p w14:paraId="43323B8E" w14:textId="5A40C63E" w:rsidR="003635D5" w:rsidRPr="00884996" w:rsidRDefault="003635D5" w:rsidP="00882097">
            <w:pPr>
              <w:jc w:val="right"/>
            </w:pPr>
            <w:r w:rsidRPr="00B85479">
              <w:t>34,854</w:t>
            </w:r>
          </w:p>
        </w:tc>
        <w:tc>
          <w:tcPr>
            <w:tcW w:w="1837" w:type="dxa"/>
          </w:tcPr>
          <w:p w14:paraId="792382DC" w14:textId="289ABC83" w:rsidR="003635D5" w:rsidRPr="00884996" w:rsidRDefault="003635D5" w:rsidP="00882097">
            <w:pPr>
              <w:jc w:val="right"/>
              <w:rPr>
                <w:rFonts w:cs="Arial"/>
                <w:bCs/>
                <w:lang w:val="en-GB"/>
              </w:rPr>
            </w:pPr>
            <w:r w:rsidRPr="00B85479">
              <w:t>2,573</w:t>
            </w:r>
          </w:p>
        </w:tc>
      </w:tr>
      <w:tr w:rsidR="003635D5" w:rsidRPr="00884996" w14:paraId="253DA92D" w14:textId="77777777" w:rsidTr="00A07B0E">
        <w:tc>
          <w:tcPr>
            <w:tcW w:w="2388" w:type="dxa"/>
            <w:shd w:val="clear" w:color="auto" w:fill="D4E2E0" w:themeFill="accent5"/>
            <w:vAlign w:val="center"/>
          </w:tcPr>
          <w:p w14:paraId="1EEB8D53" w14:textId="77777777" w:rsidR="003635D5" w:rsidRPr="00A90667" w:rsidRDefault="003635D5" w:rsidP="003635D5">
            <w:pPr>
              <w:suppressAutoHyphens/>
              <w:autoSpaceDE w:val="0"/>
              <w:autoSpaceDN w:val="0"/>
              <w:adjustRightInd w:val="0"/>
              <w:spacing w:after="0" w:line="288" w:lineRule="auto"/>
              <w:textAlignment w:val="center"/>
              <w:rPr>
                <w:rFonts w:cs="Arial"/>
                <w:color w:val="000000"/>
                <w:lang w:val="en-GB"/>
              </w:rPr>
            </w:pPr>
            <w:r w:rsidRPr="00A90667">
              <w:rPr>
                <w:rFonts w:cs="Arial"/>
                <w:color w:val="000000"/>
                <w:lang w:val="en-GB"/>
              </w:rPr>
              <w:t>Total Expenses</w:t>
            </w:r>
          </w:p>
          <w:p w14:paraId="4D9960E6" w14:textId="77777777" w:rsidR="003635D5" w:rsidRPr="00B05450" w:rsidRDefault="003635D5" w:rsidP="003635D5">
            <w:r w:rsidRPr="00A90667">
              <w:rPr>
                <w:rFonts w:cs="Arial"/>
                <w:color w:val="000000"/>
                <w:lang w:val="en-GB"/>
              </w:rPr>
              <w:t>(sourced from Statement of Comprehensive Income)</w:t>
            </w:r>
          </w:p>
        </w:tc>
        <w:tc>
          <w:tcPr>
            <w:tcW w:w="2412" w:type="dxa"/>
          </w:tcPr>
          <w:p w14:paraId="102736CB" w14:textId="2A6D1006" w:rsidR="003635D5" w:rsidRPr="00884996" w:rsidRDefault="003635D5" w:rsidP="00882097">
            <w:pPr>
              <w:jc w:val="right"/>
            </w:pPr>
            <w:r w:rsidRPr="00B85479">
              <w:t>26,665</w:t>
            </w:r>
          </w:p>
        </w:tc>
        <w:tc>
          <w:tcPr>
            <w:tcW w:w="2379" w:type="dxa"/>
          </w:tcPr>
          <w:p w14:paraId="4B6DB80D" w14:textId="3E6B1C93" w:rsidR="003635D5" w:rsidRPr="00884996" w:rsidRDefault="003635D5" w:rsidP="00882097">
            <w:pPr>
              <w:jc w:val="right"/>
            </w:pPr>
            <w:r w:rsidRPr="00B85479">
              <w:t>21,566</w:t>
            </w:r>
          </w:p>
        </w:tc>
        <w:tc>
          <w:tcPr>
            <w:tcW w:w="1837" w:type="dxa"/>
          </w:tcPr>
          <w:p w14:paraId="4B3AAE4D" w14:textId="1D62DB68" w:rsidR="003635D5" w:rsidRPr="00884996" w:rsidRDefault="003635D5" w:rsidP="00882097">
            <w:pPr>
              <w:jc w:val="right"/>
              <w:rPr>
                <w:rFonts w:cs="Arial"/>
                <w:bCs/>
                <w:lang w:val="en-GB"/>
              </w:rPr>
            </w:pPr>
            <w:r w:rsidRPr="00B85479">
              <w:t>5,096</w:t>
            </w:r>
          </w:p>
        </w:tc>
      </w:tr>
      <w:tr w:rsidR="003635D5" w:rsidRPr="00884996" w14:paraId="147DED3A" w14:textId="77777777" w:rsidTr="00A07B0E">
        <w:tc>
          <w:tcPr>
            <w:tcW w:w="2388" w:type="dxa"/>
            <w:shd w:val="clear" w:color="auto" w:fill="D4E2E0" w:themeFill="accent5"/>
            <w:vAlign w:val="center"/>
          </w:tcPr>
          <w:p w14:paraId="498FD7B9" w14:textId="77777777" w:rsidR="003635D5" w:rsidRPr="00A90667" w:rsidRDefault="003635D5" w:rsidP="003635D5">
            <w:pPr>
              <w:suppressAutoHyphens/>
              <w:autoSpaceDE w:val="0"/>
              <w:autoSpaceDN w:val="0"/>
              <w:adjustRightInd w:val="0"/>
              <w:spacing w:after="0" w:line="288" w:lineRule="auto"/>
              <w:textAlignment w:val="center"/>
              <w:rPr>
                <w:rFonts w:cs="Arial"/>
                <w:color w:val="000000"/>
                <w:lang w:val="en-GB"/>
              </w:rPr>
            </w:pPr>
            <w:r w:rsidRPr="00A90667">
              <w:rPr>
                <w:rFonts w:cs="Arial"/>
                <w:color w:val="000000"/>
                <w:lang w:val="en-GB"/>
              </w:rPr>
              <w:t>Total Equity</w:t>
            </w:r>
          </w:p>
          <w:p w14:paraId="2E53ACC6" w14:textId="77777777" w:rsidR="003635D5" w:rsidRPr="00B05450" w:rsidRDefault="003635D5" w:rsidP="003635D5">
            <w:r w:rsidRPr="00A90667">
              <w:rPr>
                <w:rFonts w:cs="Arial"/>
                <w:color w:val="000000"/>
                <w:lang w:val="en-GB"/>
              </w:rPr>
              <w:t>(sourced from Statement of Financial Position)</w:t>
            </w:r>
          </w:p>
        </w:tc>
        <w:tc>
          <w:tcPr>
            <w:tcW w:w="2412" w:type="dxa"/>
          </w:tcPr>
          <w:p w14:paraId="5B17F63A" w14:textId="1B54E415" w:rsidR="003635D5" w:rsidRPr="00884996" w:rsidRDefault="003635D5" w:rsidP="00882097">
            <w:pPr>
              <w:jc w:val="right"/>
            </w:pPr>
            <w:r w:rsidRPr="00B85479">
              <w:t>83,481</w:t>
            </w:r>
          </w:p>
        </w:tc>
        <w:tc>
          <w:tcPr>
            <w:tcW w:w="2379" w:type="dxa"/>
          </w:tcPr>
          <w:p w14:paraId="414E0828" w14:textId="083D33E6" w:rsidR="003635D5" w:rsidRPr="00884996" w:rsidRDefault="003635D5" w:rsidP="00882097">
            <w:pPr>
              <w:jc w:val="right"/>
            </w:pPr>
            <w:r w:rsidRPr="00B85479">
              <w:t>92,716</w:t>
            </w:r>
          </w:p>
        </w:tc>
        <w:tc>
          <w:tcPr>
            <w:tcW w:w="1837" w:type="dxa"/>
          </w:tcPr>
          <w:p w14:paraId="699BAE63" w14:textId="2E5AF92F" w:rsidR="003635D5" w:rsidRPr="00884996" w:rsidRDefault="003635D5" w:rsidP="00882097">
            <w:pPr>
              <w:jc w:val="right"/>
              <w:rPr>
                <w:rFonts w:cs="Arial"/>
                <w:bCs/>
                <w:lang w:val="en-GB"/>
              </w:rPr>
            </w:pPr>
            <w:r w:rsidRPr="00B85479">
              <w:t>9,235</w:t>
            </w:r>
          </w:p>
        </w:tc>
      </w:tr>
      <w:tr w:rsidR="003635D5" w:rsidRPr="00884996" w14:paraId="0A2B726B" w14:textId="77777777" w:rsidTr="00A07B0E">
        <w:trPr>
          <w:trHeight w:val="2020"/>
        </w:trPr>
        <w:tc>
          <w:tcPr>
            <w:tcW w:w="2388" w:type="dxa"/>
            <w:shd w:val="clear" w:color="auto" w:fill="D4E2E0" w:themeFill="accent5"/>
            <w:vAlign w:val="center"/>
          </w:tcPr>
          <w:p w14:paraId="3E0274B4" w14:textId="77777777" w:rsidR="003635D5" w:rsidRPr="00A90667" w:rsidRDefault="003635D5" w:rsidP="003635D5">
            <w:pPr>
              <w:suppressAutoHyphens/>
              <w:autoSpaceDE w:val="0"/>
              <w:autoSpaceDN w:val="0"/>
              <w:adjustRightInd w:val="0"/>
              <w:spacing w:after="0" w:line="288" w:lineRule="auto"/>
              <w:textAlignment w:val="center"/>
              <w:rPr>
                <w:rFonts w:cs="Arial"/>
                <w:color w:val="000000"/>
                <w:lang w:val="en-GB"/>
              </w:rPr>
            </w:pPr>
            <w:r w:rsidRPr="00A90667">
              <w:rPr>
                <w:rFonts w:cs="Arial"/>
                <w:color w:val="000000"/>
                <w:lang w:val="en-GB"/>
              </w:rPr>
              <w:t>Net increase/(decrease) in cash held</w:t>
            </w:r>
          </w:p>
          <w:p w14:paraId="7F4404CA" w14:textId="77777777" w:rsidR="003635D5" w:rsidRPr="00B05450" w:rsidRDefault="003635D5" w:rsidP="003635D5">
            <w:pPr>
              <w:rPr>
                <w:lang w:val="en-GB" w:eastAsia="en-AU"/>
              </w:rPr>
            </w:pPr>
            <w:r w:rsidRPr="00A90667">
              <w:rPr>
                <w:rFonts w:cs="Arial"/>
                <w:color w:val="000000"/>
                <w:lang w:val="en-GB"/>
              </w:rPr>
              <w:t>(sourced from Statement of Cash Flows)</w:t>
            </w:r>
          </w:p>
        </w:tc>
        <w:tc>
          <w:tcPr>
            <w:tcW w:w="2412" w:type="dxa"/>
          </w:tcPr>
          <w:p w14:paraId="6F78ACB2" w14:textId="3A594521" w:rsidR="003635D5" w:rsidRPr="00884996" w:rsidRDefault="003635D5" w:rsidP="00882097">
            <w:pPr>
              <w:jc w:val="right"/>
            </w:pPr>
            <w:r w:rsidRPr="00B85479">
              <w:t>7,273</w:t>
            </w:r>
          </w:p>
        </w:tc>
        <w:tc>
          <w:tcPr>
            <w:tcW w:w="2379" w:type="dxa"/>
          </w:tcPr>
          <w:p w14:paraId="0386177D" w14:textId="48BEF7D3" w:rsidR="003635D5" w:rsidRPr="00884996" w:rsidRDefault="003635D5" w:rsidP="00882097">
            <w:pPr>
              <w:jc w:val="right"/>
            </w:pPr>
            <w:r w:rsidRPr="00B85479">
              <w:t>10,858</w:t>
            </w:r>
          </w:p>
        </w:tc>
        <w:tc>
          <w:tcPr>
            <w:tcW w:w="1837" w:type="dxa"/>
          </w:tcPr>
          <w:p w14:paraId="4A3FBC66" w14:textId="772E7CC5" w:rsidR="003635D5" w:rsidRPr="00884996" w:rsidRDefault="003635D5" w:rsidP="00882097">
            <w:pPr>
              <w:jc w:val="right"/>
              <w:rPr>
                <w:rFonts w:cs="Arial"/>
                <w:bCs/>
                <w:lang w:val="en-GB"/>
              </w:rPr>
            </w:pPr>
            <w:r w:rsidRPr="00B85479">
              <w:t>3,585</w:t>
            </w:r>
          </w:p>
        </w:tc>
      </w:tr>
      <w:tr w:rsidR="003635D5" w:rsidRPr="00884996" w14:paraId="7C6E139C" w14:textId="77777777" w:rsidTr="00A07B0E">
        <w:tc>
          <w:tcPr>
            <w:tcW w:w="2388" w:type="dxa"/>
            <w:shd w:val="clear" w:color="auto" w:fill="D4E2E0" w:themeFill="accent5"/>
            <w:vAlign w:val="center"/>
          </w:tcPr>
          <w:p w14:paraId="3FD132C9" w14:textId="77777777" w:rsidR="003635D5" w:rsidRPr="00A90667" w:rsidRDefault="003635D5" w:rsidP="003635D5">
            <w:pPr>
              <w:rPr>
                <w:rFonts w:cs="Arial"/>
                <w:color w:val="000000"/>
                <w:lang w:val="en-GB"/>
              </w:rPr>
            </w:pPr>
            <w:r w:rsidRPr="00A90667">
              <w:rPr>
                <w:rFonts w:cs="Arial"/>
                <w:color w:val="000000"/>
                <w:lang w:val="en-GB"/>
              </w:rPr>
              <w:t>Approved full-time equivalent (FTE) staff level</w:t>
            </w:r>
          </w:p>
        </w:tc>
        <w:tc>
          <w:tcPr>
            <w:tcW w:w="2412" w:type="dxa"/>
          </w:tcPr>
          <w:p w14:paraId="57962089" w14:textId="31F3097D" w:rsidR="003635D5" w:rsidRPr="00884996" w:rsidRDefault="003635D5" w:rsidP="00882097">
            <w:pPr>
              <w:jc w:val="right"/>
              <w:rPr>
                <w:rFonts w:cs="Arial"/>
                <w:bCs/>
                <w:color w:val="000000"/>
                <w:lang w:val="en-GB"/>
              </w:rPr>
            </w:pPr>
            <w:r w:rsidRPr="00B85479">
              <w:t>137.4</w:t>
            </w:r>
          </w:p>
        </w:tc>
        <w:tc>
          <w:tcPr>
            <w:tcW w:w="2379" w:type="dxa"/>
          </w:tcPr>
          <w:p w14:paraId="356B079B" w14:textId="7F13DE39" w:rsidR="003635D5" w:rsidRPr="00884996" w:rsidRDefault="003635D5" w:rsidP="00882097">
            <w:pPr>
              <w:jc w:val="right"/>
              <w:rPr>
                <w:rFonts w:cs="Arial"/>
                <w:bCs/>
                <w:color w:val="000000"/>
                <w:lang w:val="en-GB"/>
              </w:rPr>
            </w:pPr>
            <w:r w:rsidRPr="00B85479">
              <w:t>135.4</w:t>
            </w:r>
          </w:p>
        </w:tc>
        <w:tc>
          <w:tcPr>
            <w:tcW w:w="1837" w:type="dxa"/>
          </w:tcPr>
          <w:p w14:paraId="660F84FF" w14:textId="39CCF77F" w:rsidR="003635D5" w:rsidRPr="00884996" w:rsidRDefault="003635D5" w:rsidP="00882097">
            <w:pPr>
              <w:jc w:val="right"/>
              <w:rPr>
                <w:rFonts w:cs="Arial"/>
                <w:bCs/>
                <w:color w:val="000000"/>
                <w:lang w:val="en-GB"/>
              </w:rPr>
            </w:pPr>
            <w:r w:rsidRPr="00B85479">
              <w:t>2</w:t>
            </w:r>
          </w:p>
        </w:tc>
      </w:tr>
    </w:tbl>
    <w:p w14:paraId="25F333DF" w14:textId="77777777" w:rsidR="00884996" w:rsidRDefault="00884996" w:rsidP="00CB1EEC"/>
    <w:p w14:paraId="23D4041C" w14:textId="77777777" w:rsidR="003635D5" w:rsidRPr="0087485D" w:rsidRDefault="009A4532" w:rsidP="003635D5">
      <w:r>
        <w:br w:type="page"/>
      </w:r>
      <w:r w:rsidR="003635D5" w:rsidRPr="0087485D">
        <w:lastRenderedPageBreak/>
        <w:t>Further explanations are also contained in Note 34 ‘Explanatory statement’ to the financial statements.</w:t>
      </w:r>
    </w:p>
    <w:p w14:paraId="17AE656A" w14:textId="77777777" w:rsidR="003635D5" w:rsidRPr="0087485D" w:rsidRDefault="003635D5" w:rsidP="003635D5">
      <w:pPr>
        <w:pStyle w:val="ListParagraph"/>
        <w:numPr>
          <w:ilvl w:val="0"/>
          <w:numId w:val="7"/>
        </w:numPr>
        <w:jc w:val="both"/>
      </w:pPr>
      <w:r>
        <w:t>Higher</w:t>
      </w:r>
      <w:r w:rsidRPr="0087485D">
        <w:t xml:space="preserve"> than anticipated revenue was the result of additional recoveries in the Supplementation Fund, due to the liquidation of HIH Insurance.</w:t>
      </w:r>
    </w:p>
    <w:p w14:paraId="187552AD" w14:textId="77777777" w:rsidR="003635D5" w:rsidRPr="0087485D" w:rsidRDefault="003635D5" w:rsidP="003635D5">
      <w:pPr>
        <w:pStyle w:val="BasicParagraph"/>
        <w:suppressAutoHyphens/>
        <w:ind w:left="113" w:right="227"/>
        <w:rPr>
          <w:rFonts w:ascii="Arial" w:hAnsi="Arial" w:cs="Arial"/>
          <w:color w:val="auto"/>
          <w:sz w:val="22"/>
        </w:rPr>
      </w:pPr>
    </w:p>
    <w:p w14:paraId="67F16F0B" w14:textId="77777777" w:rsidR="003635D5" w:rsidRPr="0087485D" w:rsidRDefault="003635D5" w:rsidP="003635D5">
      <w:pPr>
        <w:pStyle w:val="ListParagraph"/>
        <w:numPr>
          <w:ilvl w:val="0"/>
          <w:numId w:val="7"/>
        </w:numPr>
        <w:jc w:val="both"/>
      </w:pPr>
      <w:r w:rsidRPr="0087485D">
        <w:t xml:space="preserve">The variance is the result of </w:t>
      </w:r>
      <w:r>
        <w:t>a decrease</w:t>
      </w:r>
      <w:r w:rsidRPr="0087485D">
        <w:t xml:space="preserve"> in claims expense, due to </w:t>
      </w:r>
      <w:r>
        <w:t>a reduction</w:t>
      </w:r>
      <w:r w:rsidRPr="0087485D">
        <w:t xml:space="preserve"> in the actuarial assessed claims liability for the Uninsured and Employer’s Indemnity Supplementation Fund.</w:t>
      </w:r>
    </w:p>
    <w:p w14:paraId="343DDBAD" w14:textId="77777777" w:rsidR="003635D5" w:rsidRPr="0087485D" w:rsidRDefault="003635D5" w:rsidP="003635D5">
      <w:pPr>
        <w:pStyle w:val="BasicParagraph"/>
        <w:suppressAutoHyphens/>
        <w:ind w:left="113" w:right="227"/>
        <w:rPr>
          <w:rFonts w:ascii="Arial" w:hAnsi="Arial" w:cs="Arial"/>
          <w:color w:val="auto"/>
          <w:sz w:val="22"/>
        </w:rPr>
      </w:pPr>
    </w:p>
    <w:p w14:paraId="44215E27" w14:textId="77777777" w:rsidR="003635D5" w:rsidRDefault="003635D5" w:rsidP="003635D5">
      <w:pPr>
        <w:pStyle w:val="ListParagraph"/>
        <w:numPr>
          <w:ilvl w:val="0"/>
          <w:numId w:val="7"/>
        </w:numPr>
        <w:jc w:val="both"/>
      </w:pPr>
      <w:r w:rsidRPr="0087485D">
        <w:t>The variation is a result of a combination of factors including increased cash reserves from higher than expected HIH Insurance liquidation recoveri</w:t>
      </w:r>
      <w:r>
        <w:t xml:space="preserve">es for the Supplementation Fund and </w:t>
      </w:r>
      <w:r w:rsidRPr="0087485D">
        <w:t>higher than expected cash surplus from op</w:t>
      </w:r>
      <w:r>
        <w:t>erational savings.</w:t>
      </w:r>
    </w:p>
    <w:p w14:paraId="4F25E3FF" w14:textId="77777777" w:rsidR="003635D5" w:rsidRDefault="003635D5" w:rsidP="003635D5">
      <w:pPr>
        <w:pStyle w:val="ListParagraph"/>
      </w:pPr>
    </w:p>
    <w:p w14:paraId="7BA881B4" w14:textId="77777777" w:rsidR="003635D5" w:rsidRPr="0087485D" w:rsidRDefault="003635D5" w:rsidP="003635D5">
      <w:pPr>
        <w:pStyle w:val="ListParagraph"/>
        <w:numPr>
          <w:ilvl w:val="0"/>
          <w:numId w:val="7"/>
        </w:numPr>
        <w:jc w:val="both"/>
      </w:pPr>
      <w:r w:rsidRPr="0087485D">
        <w:t>The variance is due to increased cash receipts resulting from higher than expected HIH Insurance liquidation recoveries for the Supplementation Fund and a higher than expected cash surplus from operational savings.</w:t>
      </w:r>
    </w:p>
    <w:p w14:paraId="53AA19C4" w14:textId="11707F65" w:rsidR="00E22526" w:rsidRDefault="00E22526" w:rsidP="003635D5">
      <w:pPr>
        <w:keepLines w:val="0"/>
        <w:spacing w:after="0" w:line="240" w:lineRule="auto"/>
        <w:rPr>
          <w:rFonts w:eastAsiaTheme="majorEastAsia" w:cs="Arial"/>
          <w:b/>
          <w:bCs/>
          <w:iCs/>
          <w:color w:val="205352"/>
          <w:sz w:val="30"/>
          <w:szCs w:val="30"/>
        </w:rPr>
      </w:pPr>
      <w:r>
        <w:rPr>
          <w:rFonts w:eastAsiaTheme="majorEastAsia" w:cs="Arial"/>
          <w:b/>
          <w:bCs/>
          <w:iCs/>
          <w:color w:val="205352"/>
          <w:sz w:val="30"/>
          <w:szCs w:val="30"/>
        </w:rPr>
        <w:br w:type="page"/>
      </w:r>
    </w:p>
    <w:p w14:paraId="3FAB5935" w14:textId="54563B4F" w:rsidR="00F72B56" w:rsidRDefault="006B24B7" w:rsidP="00E27DE7">
      <w:pPr>
        <w:pStyle w:val="Heading1nonumber"/>
      </w:pPr>
      <w:bookmarkStart w:id="465" w:name="_Toc399317027"/>
      <w:bookmarkStart w:id="466" w:name="_Toc426617568"/>
      <w:bookmarkStart w:id="467" w:name="_Toc430091298"/>
      <w:r>
        <w:lastRenderedPageBreak/>
        <w:t xml:space="preserve">Other </w:t>
      </w:r>
      <w:r w:rsidR="00F72B56">
        <w:t>financial disclosures</w:t>
      </w:r>
      <w:bookmarkEnd w:id="465"/>
      <w:bookmarkEnd w:id="466"/>
      <w:bookmarkEnd w:id="467"/>
      <w:r w:rsidR="00F72B56">
        <w:t xml:space="preserve"> </w:t>
      </w:r>
    </w:p>
    <w:p w14:paraId="2B8A1A66" w14:textId="77777777" w:rsidR="00A1308E" w:rsidRDefault="00A1308E" w:rsidP="00E27DE7">
      <w:pPr>
        <w:pStyle w:val="Heading2nonumber"/>
      </w:pPr>
      <w:bookmarkStart w:id="468" w:name="_Toc399317028"/>
      <w:bookmarkStart w:id="469" w:name="_Toc426617569"/>
      <w:bookmarkStart w:id="470" w:name="_Toc430091299"/>
      <w:r>
        <w:t>Employment and industrial relations</w:t>
      </w:r>
      <w:bookmarkEnd w:id="468"/>
      <w:bookmarkEnd w:id="469"/>
      <w:bookmarkEnd w:id="470"/>
      <w:r>
        <w:t xml:space="preserve"> </w:t>
      </w:r>
    </w:p>
    <w:p w14:paraId="6C239438" w14:textId="3E0802A8" w:rsidR="009A4532" w:rsidRDefault="001A4B16" w:rsidP="001A4B16">
      <w:pPr>
        <w:rPr>
          <w:i/>
          <w:iCs/>
        </w:rPr>
      </w:pPr>
      <w:r w:rsidRPr="000B6EA4">
        <w:t xml:space="preserve">Employees at </w:t>
      </w:r>
      <w:r w:rsidR="00C726B0">
        <w:t>WorkCover WA</w:t>
      </w:r>
      <w:r w:rsidRPr="001A4B16">
        <w:t xml:space="preserve"> are employed under the provisions of the </w:t>
      </w:r>
      <w:r w:rsidRPr="00BD48C0">
        <w:rPr>
          <w:rStyle w:val="Emphasis"/>
        </w:rPr>
        <w:t>Public Service Award 1992</w:t>
      </w:r>
      <w:r w:rsidRPr="001A4B16">
        <w:t xml:space="preserve"> and the </w:t>
      </w:r>
      <w:r w:rsidRPr="001A4B16">
        <w:rPr>
          <w:i/>
          <w:iCs/>
        </w:rPr>
        <w:t>Public Service and Government Officers General Agreement 201</w:t>
      </w:r>
      <w:r w:rsidR="00587D30">
        <w:rPr>
          <w:i/>
          <w:iCs/>
        </w:rPr>
        <w:t>4</w:t>
      </w:r>
      <w:r w:rsidRPr="001A4B16">
        <w:rPr>
          <w:i/>
          <w:iCs/>
        </w:rPr>
        <w:t>.</w:t>
      </w:r>
    </w:p>
    <w:p w14:paraId="3212CCBC" w14:textId="77777777" w:rsidR="001A4B16" w:rsidRPr="001A4B16" w:rsidRDefault="001A4B16" w:rsidP="009A4532">
      <w:pPr>
        <w:keepLines w:val="0"/>
        <w:spacing w:after="0" w:line="240" w:lineRule="auto"/>
        <w:rPr>
          <w:i/>
          <w:iCs/>
        </w:rPr>
      </w:pPr>
    </w:p>
    <w:tbl>
      <w:tblPr>
        <w:tblW w:w="8339"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A0" w:firstRow="1" w:lastRow="0" w:firstColumn="1" w:lastColumn="0" w:noHBand="0" w:noVBand="0"/>
        <w:tblCaption w:val="Table 31 WorkCover WA FTE status"/>
        <w:tblDescription w:val="Table 31 details employment type at WorkCover WA during the financial year"/>
      </w:tblPr>
      <w:tblGrid>
        <w:gridCol w:w="2953"/>
        <w:gridCol w:w="1276"/>
        <w:gridCol w:w="1276"/>
        <w:gridCol w:w="1417"/>
        <w:gridCol w:w="1417"/>
      </w:tblGrid>
      <w:tr w:rsidR="00EF5BD2" w:rsidRPr="007B4A5F" w14:paraId="7407D839" w14:textId="77777777" w:rsidTr="00E76895">
        <w:trPr>
          <w:trHeight w:val="789"/>
        </w:trPr>
        <w:tc>
          <w:tcPr>
            <w:tcW w:w="8339" w:type="dxa"/>
            <w:gridSpan w:val="5"/>
            <w:tcBorders>
              <w:top w:val="nil"/>
              <w:left w:val="nil"/>
              <w:bottom w:val="nil"/>
              <w:right w:val="nil"/>
            </w:tcBorders>
            <w:shd w:val="clear" w:color="auto" w:fill="2D4541" w:themeFill="accent2"/>
            <w:tcMar>
              <w:top w:w="170" w:type="dxa"/>
              <w:left w:w="113" w:type="dxa"/>
              <w:bottom w:w="170" w:type="dxa"/>
              <w:right w:w="113" w:type="dxa"/>
            </w:tcMar>
            <w:vAlign w:val="center"/>
          </w:tcPr>
          <w:p w14:paraId="16451A1F" w14:textId="1782D58A" w:rsidR="00EF5BD2" w:rsidRPr="00F84279" w:rsidRDefault="00EF5BD2" w:rsidP="00F65E4D">
            <w:pPr>
              <w:keepLines w:val="0"/>
              <w:suppressAutoHyphens/>
              <w:autoSpaceDE w:val="0"/>
              <w:autoSpaceDN w:val="0"/>
              <w:adjustRightInd w:val="0"/>
              <w:spacing w:after="0" w:line="288" w:lineRule="auto"/>
              <w:textAlignment w:val="center"/>
              <w:rPr>
                <w:rFonts w:cs="Arial"/>
                <w:b/>
                <w:bCs/>
                <w:color w:val="FFFFFF" w:themeColor="background1"/>
                <w:lang w:val="en-GB" w:eastAsia="en-AU"/>
              </w:rPr>
            </w:pPr>
            <w:r w:rsidRPr="00F84279">
              <w:rPr>
                <w:rFonts w:cs="Arial"/>
                <w:b/>
                <w:bCs/>
                <w:color w:val="FFFFFF" w:themeColor="background1"/>
                <w:szCs w:val="22"/>
                <w:lang w:val="en-GB" w:eastAsia="en-AU"/>
              </w:rPr>
              <w:t xml:space="preserve">Table </w:t>
            </w:r>
            <w:r>
              <w:rPr>
                <w:rFonts w:cs="Arial"/>
                <w:b/>
                <w:bCs/>
                <w:color w:val="FFFFFF" w:themeColor="background1"/>
                <w:szCs w:val="22"/>
                <w:lang w:val="en-GB" w:eastAsia="en-AU"/>
              </w:rPr>
              <w:t>3</w:t>
            </w:r>
            <w:r w:rsidR="009E75E3">
              <w:rPr>
                <w:rFonts w:cs="Arial"/>
                <w:b/>
                <w:bCs/>
                <w:color w:val="FFFFFF" w:themeColor="background1"/>
                <w:szCs w:val="22"/>
                <w:lang w:val="en-GB" w:eastAsia="en-AU"/>
              </w:rPr>
              <w:t>1</w:t>
            </w:r>
            <w:r w:rsidRPr="00F84279">
              <w:rPr>
                <w:rFonts w:cs="Arial"/>
                <w:b/>
                <w:bCs/>
                <w:color w:val="FFFFFF" w:themeColor="background1"/>
                <w:szCs w:val="22"/>
                <w:lang w:val="en-GB" w:eastAsia="en-AU"/>
              </w:rPr>
              <w:t xml:space="preserve">: </w:t>
            </w:r>
            <w:r w:rsidR="00C726B0">
              <w:rPr>
                <w:rFonts w:cs="Arial"/>
                <w:b/>
                <w:bCs/>
                <w:color w:val="FFFFFF" w:themeColor="background1"/>
                <w:szCs w:val="22"/>
                <w:lang w:val="en-GB" w:eastAsia="en-AU"/>
              </w:rPr>
              <w:t>WorkCover WA</w:t>
            </w:r>
            <w:r w:rsidRPr="00C84CBA">
              <w:rPr>
                <w:rFonts w:cs="Arial"/>
                <w:b/>
                <w:bCs/>
                <w:color w:val="FFFFFF" w:themeColor="background1"/>
                <w:szCs w:val="22"/>
                <w:lang w:val="en-GB" w:eastAsia="en-AU"/>
              </w:rPr>
              <w:t xml:space="preserve"> FTE Status</w:t>
            </w:r>
          </w:p>
        </w:tc>
      </w:tr>
      <w:tr w:rsidR="00EF5BD2" w:rsidRPr="007B4A5F" w14:paraId="60AB3F43" w14:textId="77777777" w:rsidTr="00CF6395">
        <w:trPr>
          <w:trHeight w:val="15"/>
        </w:trPr>
        <w:tc>
          <w:tcPr>
            <w:tcW w:w="2953" w:type="dxa"/>
            <w:tcBorders>
              <w:top w:val="nil"/>
              <w:left w:val="single" w:sz="4" w:space="0" w:color="BAD0CD" w:themeColor="accent5" w:themeShade="E6"/>
              <w:bottom w:val="nil"/>
            </w:tcBorders>
            <w:shd w:val="clear" w:color="auto" w:fill="CEDFDC" w:themeFill="accent2" w:themeFillTint="33"/>
            <w:tcMar>
              <w:top w:w="170" w:type="dxa"/>
              <w:left w:w="113" w:type="dxa"/>
              <w:bottom w:w="170" w:type="dxa"/>
              <w:right w:w="113" w:type="dxa"/>
            </w:tcMar>
            <w:vAlign w:val="center"/>
          </w:tcPr>
          <w:p w14:paraId="6BFEEF0D" w14:textId="77777777" w:rsidR="00EF5BD2" w:rsidRPr="00CF6395" w:rsidRDefault="00EF5BD2" w:rsidP="00CF6395">
            <w:pPr>
              <w:rPr>
                <w:rStyle w:val="Strong"/>
              </w:rPr>
            </w:pPr>
            <w:r w:rsidRPr="00CF6395">
              <w:rPr>
                <w:rStyle w:val="Strong"/>
              </w:rPr>
              <w:t>Employment type</w:t>
            </w:r>
          </w:p>
        </w:tc>
        <w:tc>
          <w:tcPr>
            <w:tcW w:w="1276" w:type="dxa"/>
            <w:tcBorders>
              <w:top w:val="nil"/>
              <w:bottom w:val="nil"/>
            </w:tcBorders>
            <w:shd w:val="clear" w:color="auto" w:fill="CEDFDC" w:themeFill="accent2" w:themeFillTint="33"/>
            <w:vAlign w:val="center"/>
          </w:tcPr>
          <w:p w14:paraId="2E25B8BD" w14:textId="77777777" w:rsidR="00EF5BD2" w:rsidRPr="00CF6395" w:rsidRDefault="00EF5BD2" w:rsidP="00C477E8">
            <w:pPr>
              <w:jc w:val="right"/>
              <w:rPr>
                <w:rStyle w:val="Strong"/>
              </w:rPr>
            </w:pPr>
            <w:r w:rsidRPr="00CF6395">
              <w:rPr>
                <w:rStyle w:val="Strong"/>
              </w:rPr>
              <w:t>2012</w:t>
            </w:r>
          </w:p>
        </w:tc>
        <w:tc>
          <w:tcPr>
            <w:tcW w:w="1276" w:type="dxa"/>
            <w:tcBorders>
              <w:top w:val="nil"/>
              <w:bottom w:val="nil"/>
            </w:tcBorders>
            <w:shd w:val="clear" w:color="auto" w:fill="CEDFDC" w:themeFill="accent2" w:themeFillTint="33"/>
            <w:tcMar>
              <w:top w:w="170" w:type="dxa"/>
              <w:left w:w="113" w:type="dxa"/>
              <w:bottom w:w="170" w:type="dxa"/>
              <w:right w:w="113" w:type="dxa"/>
            </w:tcMar>
            <w:vAlign w:val="center"/>
          </w:tcPr>
          <w:p w14:paraId="782CFD9A" w14:textId="77777777" w:rsidR="00EF5BD2" w:rsidRPr="00CF6395" w:rsidRDefault="00EF5BD2" w:rsidP="00C477E8">
            <w:pPr>
              <w:jc w:val="right"/>
              <w:rPr>
                <w:rStyle w:val="Strong"/>
              </w:rPr>
            </w:pPr>
            <w:r w:rsidRPr="00CF6395">
              <w:rPr>
                <w:rStyle w:val="Strong"/>
              </w:rPr>
              <w:t>2013</w:t>
            </w:r>
          </w:p>
        </w:tc>
        <w:tc>
          <w:tcPr>
            <w:tcW w:w="1417" w:type="dxa"/>
            <w:tcBorders>
              <w:top w:val="nil"/>
              <w:bottom w:val="nil"/>
              <w:right w:val="single" w:sz="4" w:space="0" w:color="BAD0CD" w:themeColor="accent5" w:themeShade="E6"/>
            </w:tcBorders>
            <w:shd w:val="clear" w:color="auto" w:fill="CEDFDC" w:themeFill="accent2" w:themeFillTint="33"/>
            <w:vAlign w:val="center"/>
          </w:tcPr>
          <w:p w14:paraId="710A0011" w14:textId="77777777" w:rsidR="00EF5BD2" w:rsidRPr="00CF6395" w:rsidRDefault="00EF5BD2" w:rsidP="00C477E8">
            <w:pPr>
              <w:jc w:val="right"/>
              <w:rPr>
                <w:rStyle w:val="Strong"/>
              </w:rPr>
            </w:pPr>
            <w:r w:rsidRPr="00CF6395">
              <w:rPr>
                <w:rStyle w:val="Strong"/>
              </w:rPr>
              <w:t>2014</w:t>
            </w:r>
          </w:p>
        </w:tc>
        <w:tc>
          <w:tcPr>
            <w:tcW w:w="1417" w:type="dxa"/>
            <w:tcBorders>
              <w:top w:val="nil"/>
              <w:bottom w:val="nil"/>
              <w:right w:val="single" w:sz="4" w:space="0" w:color="BAD0CD" w:themeColor="accent5" w:themeShade="E6"/>
            </w:tcBorders>
            <w:shd w:val="clear" w:color="auto" w:fill="CEDFDC" w:themeFill="accent2" w:themeFillTint="33"/>
            <w:vAlign w:val="center"/>
          </w:tcPr>
          <w:p w14:paraId="27B18796" w14:textId="77777777" w:rsidR="00EF5BD2" w:rsidRPr="00CF6395" w:rsidRDefault="00EF5BD2" w:rsidP="00C477E8">
            <w:pPr>
              <w:jc w:val="right"/>
              <w:rPr>
                <w:rStyle w:val="Strong"/>
              </w:rPr>
            </w:pPr>
            <w:r w:rsidRPr="00CF6395">
              <w:rPr>
                <w:rStyle w:val="Strong"/>
              </w:rPr>
              <w:t>2015</w:t>
            </w:r>
          </w:p>
        </w:tc>
      </w:tr>
      <w:tr w:rsidR="00D13185" w:rsidRPr="0028351D" w14:paraId="567C2596" w14:textId="77777777" w:rsidTr="00D13185">
        <w:trPr>
          <w:trHeight w:val="60"/>
        </w:trPr>
        <w:tc>
          <w:tcPr>
            <w:tcW w:w="2953" w:type="dxa"/>
            <w:tcBorders>
              <w:top w:val="nil"/>
            </w:tcBorders>
            <w:shd w:val="clear" w:color="auto" w:fill="auto"/>
            <w:tcMar>
              <w:top w:w="113" w:type="dxa"/>
              <w:left w:w="113" w:type="dxa"/>
              <w:bottom w:w="113" w:type="dxa"/>
              <w:right w:w="113" w:type="dxa"/>
            </w:tcMar>
            <w:vAlign w:val="center"/>
          </w:tcPr>
          <w:p w14:paraId="24A6C8E7" w14:textId="77777777" w:rsidR="00D13185" w:rsidRPr="007B4A5F" w:rsidRDefault="00D13185" w:rsidP="00D13185">
            <w:pPr>
              <w:keepLines w:val="0"/>
              <w:suppressAutoHyphens/>
              <w:autoSpaceDE w:val="0"/>
              <w:autoSpaceDN w:val="0"/>
              <w:adjustRightInd w:val="0"/>
              <w:spacing w:after="0" w:line="240" w:lineRule="auto"/>
              <w:contextualSpacing/>
              <w:textAlignment w:val="center"/>
              <w:rPr>
                <w:rFonts w:cs="Arial"/>
                <w:color w:val="000000"/>
                <w:lang w:val="en-GB" w:eastAsia="en-AU"/>
              </w:rPr>
            </w:pPr>
            <w:r w:rsidRPr="007B4A5F">
              <w:rPr>
                <w:rFonts w:cs="Arial"/>
                <w:color w:val="000000"/>
                <w:szCs w:val="22"/>
                <w:lang w:val="en-GB" w:eastAsia="en-AU"/>
              </w:rPr>
              <w:t>Full-time permanent</w:t>
            </w:r>
          </w:p>
        </w:tc>
        <w:tc>
          <w:tcPr>
            <w:tcW w:w="1276" w:type="dxa"/>
            <w:tcBorders>
              <w:top w:val="nil"/>
            </w:tcBorders>
            <w:vAlign w:val="center"/>
          </w:tcPr>
          <w:p w14:paraId="2D761E69" w14:textId="77777777" w:rsidR="00D13185" w:rsidRPr="0044251E" w:rsidRDefault="00D13185" w:rsidP="00C477E8">
            <w:pPr>
              <w:jc w:val="right"/>
            </w:pPr>
            <w:r w:rsidRPr="0044251E">
              <w:t>115</w:t>
            </w:r>
          </w:p>
        </w:tc>
        <w:tc>
          <w:tcPr>
            <w:tcW w:w="1276" w:type="dxa"/>
            <w:tcBorders>
              <w:top w:val="nil"/>
            </w:tcBorders>
            <w:shd w:val="clear" w:color="auto" w:fill="auto"/>
            <w:tcMar>
              <w:top w:w="113" w:type="dxa"/>
              <w:left w:w="113" w:type="dxa"/>
              <w:bottom w:w="113" w:type="dxa"/>
              <w:right w:w="113" w:type="dxa"/>
            </w:tcMar>
            <w:vAlign w:val="center"/>
          </w:tcPr>
          <w:p w14:paraId="2779697A" w14:textId="77777777" w:rsidR="00D13185" w:rsidRPr="0044251E" w:rsidRDefault="00D13185" w:rsidP="00C477E8">
            <w:pPr>
              <w:jc w:val="right"/>
            </w:pPr>
            <w:r w:rsidRPr="0044251E">
              <w:t>109</w:t>
            </w:r>
          </w:p>
        </w:tc>
        <w:tc>
          <w:tcPr>
            <w:tcW w:w="1417" w:type="dxa"/>
            <w:tcBorders>
              <w:top w:val="nil"/>
            </w:tcBorders>
            <w:vAlign w:val="center"/>
          </w:tcPr>
          <w:p w14:paraId="77D04429" w14:textId="77777777" w:rsidR="00D13185" w:rsidRPr="0044251E" w:rsidRDefault="00D13185" w:rsidP="00C477E8">
            <w:pPr>
              <w:jc w:val="right"/>
            </w:pPr>
            <w:r w:rsidRPr="0044251E">
              <w:t>109</w:t>
            </w:r>
          </w:p>
        </w:tc>
        <w:tc>
          <w:tcPr>
            <w:tcW w:w="1417" w:type="dxa"/>
            <w:tcBorders>
              <w:top w:val="nil"/>
            </w:tcBorders>
            <w:vAlign w:val="center"/>
          </w:tcPr>
          <w:p w14:paraId="0BD3C6BE" w14:textId="7A2F997C" w:rsidR="00D13185" w:rsidRPr="00831207" w:rsidRDefault="00D13185" w:rsidP="00C477E8">
            <w:pPr>
              <w:jc w:val="right"/>
              <w:rPr>
                <w:color w:val="FF0000"/>
              </w:rPr>
            </w:pPr>
            <w:r w:rsidRPr="00A830C4">
              <w:t>112</w:t>
            </w:r>
          </w:p>
        </w:tc>
      </w:tr>
      <w:tr w:rsidR="00D13185" w:rsidRPr="0028351D" w14:paraId="634505CE" w14:textId="77777777" w:rsidTr="00D13185">
        <w:trPr>
          <w:trHeight w:val="662"/>
        </w:trPr>
        <w:tc>
          <w:tcPr>
            <w:tcW w:w="2953" w:type="dxa"/>
            <w:shd w:val="clear" w:color="auto" w:fill="auto"/>
            <w:tcMar>
              <w:top w:w="113" w:type="dxa"/>
              <w:left w:w="113" w:type="dxa"/>
              <w:bottom w:w="113" w:type="dxa"/>
              <w:right w:w="113" w:type="dxa"/>
            </w:tcMar>
            <w:vAlign w:val="center"/>
          </w:tcPr>
          <w:p w14:paraId="73BADF07" w14:textId="77777777" w:rsidR="00D13185" w:rsidRPr="007B4A5F" w:rsidRDefault="00D13185" w:rsidP="00D13185">
            <w:pPr>
              <w:keepLines w:val="0"/>
              <w:suppressAutoHyphens/>
              <w:autoSpaceDE w:val="0"/>
              <w:autoSpaceDN w:val="0"/>
              <w:adjustRightInd w:val="0"/>
              <w:spacing w:after="0" w:line="240" w:lineRule="auto"/>
              <w:contextualSpacing/>
              <w:textAlignment w:val="center"/>
              <w:rPr>
                <w:rFonts w:cs="Arial"/>
                <w:color w:val="000000"/>
                <w:lang w:val="en-GB" w:eastAsia="en-AU"/>
              </w:rPr>
            </w:pPr>
            <w:r w:rsidRPr="007B4A5F">
              <w:rPr>
                <w:rFonts w:cs="Arial"/>
                <w:color w:val="000000"/>
                <w:szCs w:val="22"/>
                <w:lang w:val="en-GB" w:eastAsia="en-AU"/>
              </w:rPr>
              <w:t>Full-time contract</w:t>
            </w:r>
          </w:p>
        </w:tc>
        <w:tc>
          <w:tcPr>
            <w:tcW w:w="1276" w:type="dxa"/>
            <w:vAlign w:val="center"/>
          </w:tcPr>
          <w:p w14:paraId="630B1331" w14:textId="77777777" w:rsidR="00D13185" w:rsidRPr="0044251E" w:rsidRDefault="00D13185" w:rsidP="00C477E8">
            <w:pPr>
              <w:jc w:val="right"/>
            </w:pPr>
            <w:r w:rsidRPr="0044251E">
              <w:t>14</w:t>
            </w:r>
          </w:p>
        </w:tc>
        <w:tc>
          <w:tcPr>
            <w:tcW w:w="1276" w:type="dxa"/>
            <w:shd w:val="clear" w:color="auto" w:fill="auto"/>
            <w:tcMar>
              <w:top w:w="113" w:type="dxa"/>
              <w:left w:w="113" w:type="dxa"/>
              <w:bottom w:w="113" w:type="dxa"/>
              <w:right w:w="113" w:type="dxa"/>
            </w:tcMar>
            <w:vAlign w:val="center"/>
          </w:tcPr>
          <w:p w14:paraId="3AEC1E2F" w14:textId="77777777" w:rsidR="00D13185" w:rsidRPr="0044251E" w:rsidRDefault="00D13185" w:rsidP="00C477E8">
            <w:pPr>
              <w:jc w:val="right"/>
            </w:pPr>
            <w:r w:rsidRPr="0044251E">
              <w:t>15</w:t>
            </w:r>
          </w:p>
        </w:tc>
        <w:tc>
          <w:tcPr>
            <w:tcW w:w="1417" w:type="dxa"/>
            <w:vAlign w:val="center"/>
          </w:tcPr>
          <w:p w14:paraId="0F4ED3AF" w14:textId="77777777" w:rsidR="00D13185" w:rsidRPr="0044251E" w:rsidRDefault="00D13185" w:rsidP="00C477E8">
            <w:pPr>
              <w:jc w:val="right"/>
            </w:pPr>
            <w:r w:rsidRPr="0044251E">
              <w:t>14</w:t>
            </w:r>
          </w:p>
        </w:tc>
        <w:tc>
          <w:tcPr>
            <w:tcW w:w="1417" w:type="dxa"/>
            <w:vAlign w:val="center"/>
          </w:tcPr>
          <w:p w14:paraId="5E1B958C" w14:textId="5D192C6A" w:rsidR="00D13185" w:rsidRPr="0044251E" w:rsidRDefault="00D13185" w:rsidP="00C477E8">
            <w:pPr>
              <w:jc w:val="right"/>
            </w:pPr>
            <w:r w:rsidRPr="00A830C4">
              <w:t>10</w:t>
            </w:r>
          </w:p>
        </w:tc>
      </w:tr>
      <w:tr w:rsidR="00D13185" w:rsidRPr="0028351D" w14:paraId="0D9CD7F0" w14:textId="77777777" w:rsidTr="00D13185">
        <w:trPr>
          <w:trHeight w:val="60"/>
        </w:trPr>
        <w:tc>
          <w:tcPr>
            <w:tcW w:w="2953" w:type="dxa"/>
            <w:shd w:val="clear" w:color="auto" w:fill="auto"/>
            <w:tcMar>
              <w:top w:w="128" w:type="dxa"/>
              <w:left w:w="113" w:type="dxa"/>
              <w:bottom w:w="128" w:type="dxa"/>
              <w:right w:w="113" w:type="dxa"/>
            </w:tcMar>
            <w:vAlign w:val="center"/>
          </w:tcPr>
          <w:p w14:paraId="69FCA9E4" w14:textId="77777777" w:rsidR="00D13185" w:rsidRPr="007B4A5F" w:rsidRDefault="00D13185" w:rsidP="00D13185">
            <w:pPr>
              <w:keepLines w:val="0"/>
              <w:suppressAutoHyphens/>
              <w:autoSpaceDE w:val="0"/>
              <w:autoSpaceDN w:val="0"/>
              <w:adjustRightInd w:val="0"/>
              <w:spacing w:after="0" w:line="240" w:lineRule="auto"/>
              <w:contextualSpacing/>
              <w:textAlignment w:val="center"/>
              <w:rPr>
                <w:rFonts w:cs="Arial"/>
                <w:color w:val="000000"/>
                <w:lang w:val="en-GB" w:eastAsia="en-AU"/>
              </w:rPr>
            </w:pPr>
            <w:r w:rsidRPr="007B4A5F">
              <w:rPr>
                <w:rFonts w:cs="Arial"/>
                <w:color w:val="000000"/>
                <w:szCs w:val="22"/>
                <w:lang w:val="en-GB" w:eastAsia="en-AU"/>
              </w:rPr>
              <w:t>Part-time measured on an FTE basis</w:t>
            </w:r>
          </w:p>
        </w:tc>
        <w:tc>
          <w:tcPr>
            <w:tcW w:w="1276" w:type="dxa"/>
            <w:vAlign w:val="center"/>
          </w:tcPr>
          <w:p w14:paraId="1D0E8BE9" w14:textId="77777777" w:rsidR="00D13185" w:rsidRPr="0044251E" w:rsidRDefault="00D13185" w:rsidP="00C477E8">
            <w:pPr>
              <w:jc w:val="right"/>
            </w:pPr>
            <w:r w:rsidRPr="0044251E">
              <w:t>10.79</w:t>
            </w:r>
          </w:p>
        </w:tc>
        <w:tc>
          <w:tcPr>
            <w:tcW w:w="1276" w:type="dxa"/>
            <w:shd w:val="clear" w:color="auto" w:fill="auto"/>
            <w:tcMar>
              <w:top w:w="128" w:type="dxa"/>
              <w:left w:w="113" w:type="dxa"/>
              <w:bottom w:w="128" w:type="dxa"/>
              <w:right w:w="113" w:type="dxa"/>
            </w:tcMar>
            <w:vAlign w:val="center"/>
          </w:tcPr>
          <w:p w14:paraId="521A3BB1" w14:textId="77777777" w:rsidR="00D13185" w:rsidRPr="0044251E" w:rsidRDefault="00D13185" w:rsidP="00C477E8">
            <w:pPr>
              <w:jc w:val="right"/>
            </w:pPr>
            <w:r w:rsidRPr="0044251E">
              <w:t>12.09</w:t>
            </w:r>
          </w:p>
        </w:tc>
        <w:tc>
          <w:tcPr>
            <w:tcW w:w="1417" w:type="dxa"/>
            <w:vAlign w:val="center"/>
          </w:tcPr>
          <w:p w14:paraId="5370CB2B" w14:textId="77777777" w:rsidR="00D13185" w:rsidRPr="0044251E" w:rsidRDefault="00D13185" w:rsidP="00C477E8">
            <w:pPr>
              <w:jc w:val="right"/>
            </w:pPr>
            <w:r w:rsidRPr="0044251E">
              <w:t>11.2</w:t>
            </w:r>
          </w:p>
        </w:tc>
        <w:tc>
          <w:tcPr>
            <w:tcW w:w="1417" w:type="dxa"/>
            <w:vAlign w:val="center"/>
          </w:tcPr>
          <w:p w14:paraId="292F109B" w14:textId="3F5AEA56" w:rsidR="00D13185" w:rsidRPr="0044251E" w:rsidRDefault="00D13185" w:rsidP="00C477E8">
            <w:pPr>
              <w:jc w:val="right"/>
            </w:pPr>
            <w:r w:rsidRPr="00A830C4">
              <w:t>13.4</w:t>
            </w:r>
          </w:p>
        </w:tc>
      </w:tr>
      <w:tr w:rsidR="00D13185" w:rsidRPr="0028351D" w14:paraId="6B0BD6C7" w14:textId="77777777" w:rsidTr="00D13185">
        <w:trPr>
          <w:trHeight w:val="60"/>
        </w:trPr>
        <w:tc>
          <w:tcPr>
            <w:tcW w:w="2953" w:type="dxa"/>
            <w:shd w:val="clear" w:color="auto" w:fill="CEDFDC" w:themeFill="accent2" w:themeFillTint="33"/>
            <w:tcMar>
              <w:top w:w="113" w:type="dxa"/>
              <w:left w:w="113" w:type="dxa"/>
              <w:bottom w:w="113" w:type="dxa"/>
              <w:right w:w="113" w:type="dxa"/>
            </w:tcMar>
            <w:vAlign w:val="center"/>
          </w:tcPr>
          <w:p w14:paraId="5514CC8E" w14:textId="77777777" w:rsidR="00D13185" w:rsidRPr="0044251E" w:rsidRDefault="00D13185" w:rsidP="00D13185">
            <w:pPr>
              <w:rPr>
                <w:rStyle w:val="Strong"/>
              </w:rPr>
            </w:pPr>
            <w:r w:rsidRPr="0044251E">
              <w:rPr>
                <w:rStyle w:val="Strong"/>
              </w:rPr>
              <w:t>Total</w:t>
            </w:r>
          </w:p>
        </w:tc>
        <w:tc>
          <w:tcPr>
            <w:tcW w:w="1276" w:type="dxa"/>
            <w:shd w:val="clear" w:color="auto" w:fill="CEDFDC" w:themeFill="accent2" w:themeFillTint="33"/>
            <w:vAlign w:val="center"/>
          </w:tcPr>
          <w:p w14:paraId="19F85089" w14:textId="77777777" w:rsidR="00D13185" w:rsidRPr="0044251E" w:rsidRDefault="00D13185" w:rsidP="00C477E8">
            <w:pPr>
              <w:jc w:val="right"/>
              <w:rPr>
                <w:rStyle w:val="Strong"/>
              </w:rPr>
            </w:pPr>
            <w:r w:rsidRPr="0044251E">
              <w:rPr>
                <w:rStyle w:val="Strong"/>
              </w:rPr>
              <w:t>139.79</w:t>
            </w:r>
          </w:p>
        </w:tc>
        <w:tc>
          <w:tcPr>
            <w:tcW w:w="1276" w:type="dxa"/>
            <w:shd w:val="clear" w:color="auto" w:fill="CEDFDC" w:themeFill="accent2" w:themeFillTint="33"/>
            <w:tcMar>
              <w:top w:w="113" w:type="dxa"/>
              <w:left w:w="113" w:type="dxa"/>
              <w:bottom w:w="113" w:type="dxa"/>
              <w:right w:w="113" w:type="dxa"/>
            </w:tcMar>
            <w:vAlign w:val="center"/>
          </w:tcPr>
          <w:p w14:paraId="66364F4A" w14:textId="77777777" w:rsidR="00D13185" w:rsidRPr="0044251E" w:rsidRDefault="00D13185" w:rsidP="00C477E8">
            <w:pPr>
              <w:jc w:val="right"/>
              <w:rPr>
                <w:rStyle w:val="Strong"/>
              </w:rPr>
            </w:pPr>
            <w:r w:rsidRPr="0044251E">
              <w:rPr>
                <w:rStyle w:val="Strong"/>
              </w:rPr>
              <w:t>136.09</w:t>
            </w:r>
          </w:p>
        </w:tc>
        <w:tc>
          <w:tcPr>
            <w:tcW w:w="1417" w:type="dxa"/>
            <w:shd w:val="clear" w:color="auto" w:fill="CEDFDC" w:themeFill="accent2" w:themeFillTint="33"/>
            <w:vAlign w:val="center"/>
          </w:tcPr>
          <w:p w14:paraId="4C8CBA93" w14:textId="77777777" w:rsidR="00D13185" w:rsidRPr="0044251E" w:rsidRDefault="00D13185" w:rsidP="00C477E8">
            <w:pPr>
              <w:jc w:val="right"/>
              <w:rPr>
                <w:rStyle w:val="Strong"/>
              </w:rPr>
            </w:pPr>
            <w:r w:rsidRPr="000812DB">
              <w:rPr>
                <w:rStyle w:val="Strong"/>
              </w:rPr>
              <w:t>134.2</w:t>
            </w:r>
          </w:p>
        </w:tc>
        <w:tc>
          <w:tcPr>
            <w:tcW w:w="1417" w:type="dxa"/>
            <w:shd w:val="clear" w:color="auto" w:fill="CEDFDC" w:themeFill="accent2" w:themeFillTint="33"/>
            <w:vAlign w:val="center"/>
          </w:tcPr>
          <w:p w14:paraId="4DDE7A6F" w14:textId="3534617D" w:rsidR="00D13185" w:rsidRPr="00D13185" w:rsidRDefault="00D13185" w:rsidP="00C477E8">
            <w:pPr>
              <w:jc w:val="right"/>
              <w:rPr>
                <w:rStyle w:val="Strong"/>
                <w:b w:val="0"/>
              </w:rPr>
            </w:pPr>
            <w:r w:rsidRPr="00D13185">
              <w:rPr>
                <w:b/>
              </w:rPr>
              <w:t>135.4</w:t>
            </w:r>
          </w:p>
        </w:tc>
      </w:tr>
      <w:tr w:rsidR="00D13185" w:rsidRPr="0028351D" w14:paraId="1C4173A2" w14:textId="77777777" w:rsidTr="00CF6395">
        <w:trPr>
          <w:trHeight w:val="395"/>
        </w:trPr>
        <w:tc>
          <w:tcPr>
            <w:tcW w:w="2953" w:type="dxa"/>
            <w:shd w:val="clear" w:color="auto" w:fill="auto"/>
            <w:tcMar>
              <w:top w:w="113" w:type="dxa"/>
              <w:left w:w="113" w:type="dxa"/>
              <w:bottom w:w="113" w:type="dxa"/>
              <w:right w:w="113" w:type="dxa"/>
            </w:tcMar>
            <w:vAlign w:val="center"/>
          </w:tcPr>
          <w:p w14:paraId="403B840F" w14:textId="77777777" w:rsidR="00D13185" w:rsidRPr="007B4A5F" w:rsidRDefault="00D13185" w:rsidP="00D13185">
            <w:pPr>
              <w:keepLines w:val="0"/>
              <w:suppressAutoHyphens/>
              <w:autoSpaceDE w:val="0"/>
              <w:autoSpaceDN w:val="0"/>
              <w:adjustRightInd w:val="0"/>
              <w:spacing w:after="0" w:line="240" w:lineRule="auto"/>
              <w:contextualSpacing/>
              <w:textAlignment w:val="center"/>
              <w:rPr>
                <w:rFonts w:cs="Arial"/>
                <w:color w:val="000000"/>
                <w:lang w:val="en-GB" w:eastAsia="en-AU"/>
              </w:rPr>
            </w:pPr>
            <w:r w:rsidRPr="007B4A5F">
              <w:rPr>
                <w:rFonts w:cs="Arial"/>
                <w:color w:val="000000"/>
                <w:szCs w:val="22"/>
                <w:lang w:val="en-GB" w:eastAsia="en-AU"/>
              </w:rPr>
              <w:t>Staff on secondment</w:t>
            </w:r>
          </w:p>
        </w:tc>
        <w:tc>
          <w:tcPr>
            <w:tcW w:w="1276" w:type="dxa"/>
            <w:vAlign w:val="center"/>
          </w:tcPr>
          <w:p w14:paraId="4645FF5A" w14:textId="77777777" w:rsidR="00D13185" w:rsidRPr="0044251E" w:rsidRDefault="00D13185" w:rsidP="00C477E8">
            <w:pPr>
              <w:jc w:val="right"/>
            </w:pPr>
            <w:r w:rsidRPr="0044251E">
              <w:t>6</w:t>
            </w:r>
          </w:p>
        </w:tc>
        <w:tc>
          <w:tcPr>
            <w:tcW w:w="1276" w:type="dxa"/>
            <w:shd w:val="clear" w:color="auto" w:fill="auto"/>
            <w:tcMar>
              <w:top w:w="113" w:type="dxa"/>
              <w:left w:w="113" w:type="dxa"/>
              <w:bottom w:w="113" w:type="dxa"/>
              <w:right w:w="113" w:type="dxa"/>
            </w:tcMar>
            <w:vAlign w:val="center"/>
          </w:tcPr>
          <w:p w14:paraId="0661F99D" w14:textId="77777777" w:rsidR="00D13185" w:rsidRPr="0044251E" w:rsidRDefault="00D13185" w:rsidP="00C477E8">
            <w:pPr>
              <w:jc w:val="right"/>
            </w:pPr>
            <w:r w:rsidRPr="0044251E">
              <w:t>7</w:t>
            </w:r>
          </w:p>
        </w:tc>
        <w:tc>
          <w:tcPr>
            <w:tcW w:w="1417" w:type="dxa"/>
            <w:vAlign w:val="center"/>
          </w:tcPr>
          <w:p w14:paraId="77B1AE4F" w14:textId="77777777" w:rsidR="00D13185" w:rsidRPr="0044251E" w:rsidRDefault="00D13185" w:rsidP="00C477E8">
            <w:pPr>
              <w:jc w:val="right"/>
            </w:pPr>
            <w:r w:rsidRPr="0044251E">
              <w:t>5</w:t>
            </w:r>
          </w:p>
        </w:tc>
        <w:tc>
          <w:tcPr>
            <w:tcW w:w="1417" w:type="dxa"/>
            <w:vAlign w:val="center"/>
          </w:tcPr>
          <w:p w14:paraId="76790854" w14:textId="73C17192" w:rsidR="00D13185" w:rsidRPr="0044251E" w:rsidRDefault="00D13185" w:rsidP="00C477E8">
            <w:pPr>
              <w:jc w:val="right"/>
            </w:pPr>
            <w:r w:rsidRPr="00A830C4">
              <w:t>2</w:t>
            </w:r>
          </w:p>
        </w:tc>
      </w:tr>
      <w:tr w:rsidR="00D13185" w:rsidRPr="0028351D" w14:paraId="3B2D1443" w14:textId="77777777" w:rsidTr="00CF6395">
        <w:trPr>
          <w:trHeight w:val="307"/>
        </w:trPr>
        <w:tc>
          <w:tcPr>
            <w:tcW w:w="2953" w:type="dxa"/>
            <w:shd w:val="clear" w:color="auto" w:fill="auto"/>
            <w:tcMar>
              <w:top w:w="113" w:type="dxa"/>
              <w:left w:w="113" w:type="dxa"/>
              <w:bottom w:w="113" w:type="dxa"/>
              <w:right w:w="113" w:type="dxa"/>
            </w:tcMar>
            <w:vAlign w:val="center"/>
          </w:tcPr>
          <w:p w14:paraId="15FDBDBC" w14:textId="77777777" w:rsidR="00D13185" w:rsidRPr="007B4A5F" w:rsidRDefault="00D13185" w:rsidP="00D13185">
            <w:pPr>
              <w:keepLines w:val="0"/>
              <w:suppressAutoHyphens/>
              <w:autoSpaceDE w:val="0"/>
              <w:autoSpaceDN w:val="0"/>
              <w:adjustRightInd w:val="0"/>
              <w:spacing w:after="0" w:line="240" w:lineRule="auto"/>
              <w:contextualSpacing/>
              <w:textAlignment w:val="center"/>
              <w:rPr>
                <w:rFonts w:cs="Arial"/>
                <w:color w:val="000000"/>
                <w:lang w:val="en-GB" w:eastAsia="en-AU"/>
              </w:rPr>
            </w:pPr>
            <w:r w:rsidRPr="007B4A5F">
              <w:rPr>
                <w:rFonts w:cs="Arial"/>
                <w:color w:val="000000"/>
                <w:szCs w:val="22"/>
                <w:lang w:val="en-GB" w:eastAsia="en-AU"/>
              </w:rPr>
              <w:t>Staff on traineeship</w:t>
            </w:r>
          </w:p>
        </w:tc>
        <w:tc>
          <w:tcPr>
            <w:tcW w:w="1276" w:type="dxa"/>
            <w:vAlign w:val="center"/>
          </w:tcPr>
          <w:p w14:paraId="42648B65" w14:textId="77777777" w:rsidR="00D13185" w:rsidRPr="0044251E" w:rsidRDefault="00D13185" w:rsidP="00C477E8">
            <w:pPr>
              <w:jc w:val="right"/>
            </w:pPr>
            <w:r w:rsidRPr="0044251E">
              <w:t>2</w:t>
            </w:r>
          </w:p>
        </w:tc>
        <w:tc>
          <w:tcPr>
            <w:tcW w:w="1276" w:type="dxa"/>
            <w:shd w:val="clear" w:color="auto" w:fill="auto"/>
            <w:tcMar>
              <w:top w:w="113" w:type="dxa"/>
              <w:left w:w="113" w:type="dxa"/>
              <w:bottom w:w="113" w:type="dxa"/>
              <w:right w:w="113" w:type="dxa"/>
            </w:tcMar>
            <w:vAlign w:val="center"/>
          </w:tcPr>
          <w:p w14:paraId="26448114" w14:textId="77777777" w:rsidR="00D13185" w:rsidRPr="0044251E" w:rsidRDefault="00D13185" w:rsidP="00C477E8">
            <w:pPr>
              <w:jc w:val="right"/>
            </w:pPr>
            <w:r w:rsidRPr="0044251E">
              <w:t>2</w:t>
            </w:r>
          </w:p>
        </w:tc>
        <w:tc>
          <w:tcPr>
            <w:tcW w:w="1417" w:type="dxa"/>
            <w:vAlign w:val="center"/>
          </w:tcPr>
          <w:p w14:paraId="2D189882" w14:textId="77777777" w:rsidR="00D13185" w:rsidRPr="0044251E" w:rsidRDefault="00D13185" w:rsidP="00C477E8">
            <w:pPr>
              <w:jc w:val="right"/>
            </w:pPr>
            <w:r w:rsidRPr="0044251E">
              <w:t>2</w:t>
            </w:r>
          </w:p>
        </w:tc>
        <w:tc>
          <w:tcPr>
            <w:tcW w:w="1417" w:type="dxa"/>
            <w:vAlign w:val="center"/>
          </w:tcPr>
          <w:p w14:paraId="239F8E91" w14:textId="234916CC" w:rsidR="00D13185" w:rsidRPr="0044251E" w:rsidRDefault="00D13185" w:rsidP="00C477E8">
            <w:pPr>
              <w:jc w:val="right"/>
            </w:pPr>
            <w:r w:rsidRPr="00A830C4">
              <w:t>1</w:t>
            </w:r>
          </w:p>
        </w:tc>
      </w:tr>
      <w:tr w:rsidR="00D13185" w:rsidRPr="0028351D" w14:paraId="2301BD73" w14:textId="77777777" w:rsidTr="00CF6395">
        <w:trPr>
          <w:trHeight w:val="220"/>
        </w:trPr>
        <w:tc>
          <w:tcPr>
            <w:tcW w:w="2953" w:type="dxa"/>
            <w:shd w:val="clear" w:color="auto" w:fill="auto"/>
            <w:tcMar>
              <w:top w:w="113" w:type="dxa"/>
              <w:left w:w="113" w:type="dxa"/>
              <w:bottom w:w="113" w:type="dxa"/>
              <w:right w:w="113" w:type="dxa"/>
            </w:tcMar>
            <w:vAlign w:val="center"/>
          </w:tcPr>
          <w:p w14:paraId="4B6F2209" w14:textId="77777777" w:rsidR="00D13185" w:rsidRPr="007B4A5F" w:rsidRDefault="00D13185" w:rsidP="00D13185">
            <w:pPr>
              <w:keepLines w:val="0"/>
              <w:suppressAutoHyphens/>
              <w:autoSpaceDE w:val="0"/>
              <w:autoSpaceDN w:val="0"/>
              <w:adjustRightInd w:val="0"/>
              <w:spacing w:after="0" w:line="240" w:lineRule="auto"/>
              <w:contextualSpacing/>
              <w:textAlignment w:val="center"/>
              <w:rPr>
                <w:rFonts w:cs="Arial"/>
                <w:color w:val="000000"/>
                <w:lang w:val="en-GB" w:eastAsia="en-AU"/>
              </w:rPr>
            </w:pPr>
            <w:r w:rsidRPr="007B4A5F">
              <w:rPr>
                <w:rFonts w:cs="Arial"/>
                <w:color w:val="000000"/>
                <w:szCs w:val="22"/>
                <w:lang w:val="en-GB" w:eastAsia="en-AU"/>
              </w:rPr>
              <w:t>Staff in Graduate Program</w:t>
            </w:r>
          </w:p>
        </w:tc>
        <w:tc>
          <w:tcPr>
            <w:tcW w:w="1276" w:type="dxa"/>
            <w:vAlign w:val="center"/>
          </w:tcPr>
          <w:p w14:paraId="017988FE" w14:textId="77777777" w:rsidR="00D13185" w:rsidRPr="0044251E" w:rsidRDefault="00D13185" w:rsidP="00C477E8">
            <w:pPr>
              <w:jc w:val="right"/>
            </w:pPr>
            <w:r>
              <w:t>0</w:t>
            </w:r>
          </w:p>
        </w:tc>
        <w:tc>
          <w:tcPr>
            <w:tcW w:w="1276" w:type="dxa"/>
            <w:shd w:val="clear" w:color="auto" w:fill="auto"/>
            <w:tcMar>
              <w:top w:w="113" w:type="dxa"/>
              <w:left w:w="113" w:type="dxa"/>
              <w:bottom w:w="113" w:type="dxa"/>
              <w:right w:w="113" w:type="dxa"/>
            </w:tcMar>
            <w:vAlign w:val="center"/>
          </w:tcPr>
          <w:p w14:paraId="2E8923F5" w14:textId="77777777" w:rsidR="00D13185" w:rsidRPr="0044251E" w:rsidRDefault="00D13185" w:rsidP="00C477E8">
            <w:pPr>
              <w:jc w:val="right"/>
            </w:pPr>
            <w:r w:rsidRPr="0044251E">
              <w:t>1</w:t>
            </w:r>
          </w:p>
        </w:tc>
        <w:tc>
          <w:tcPr>
            <w:tcW w:w="1417" w:type="dxa"/>
            <w:vAlign w:val="center"/>
          </w:tcPr>
          <w:p w14:paraId="5E3543DF" w14:textId="77777777" w:rsidR="00D13185" w:rsidRPr="0044251E" w:rsidRDefault="00D13185" w:rsidP="00C477E8">
            <w:pPr>
              <w:jc w:val="right"/>
            </w:pPr>
            <w:r w:rsidRPr="0044251E">
              <w:t>0</w:t>
            </w:r>
          </w:p>
        </w:tc>
        <w:tc>
          <w:tcPr>
            <w:tcW w:w="1417" w:type="dxa"/>
            <w:vAlign w:val="center"/>
          </w:tcPr>
          <w:p w14:paraId="3C79AD7F" w14:textId="7BF5A96D" w:rsidR="00D13185" w:rsidRPr="0044251E" w:rsidRDefault="00D13185" w:rsidP="00C477E8">
            <w:pPr>
              <w:jc w:val="right"/>
            </w:pPr>
            <w:r w:rsidRPr="00A830C4">
              <w:t>2</w:t>
            </w:r>
          </w:p>
        </w:tc>
      </w:tr>
    </w:tbl>
    <w:p w14:paraId="202D892D" w14:textId="68EE6EE4" w:rsidR="00C266EA" w:rsidRDefault="00375B8E" w:rsidP="005A4B04">
      <w:pPr>
        <w:pStyle w:val="Heading2nonumber"/>
        <w:jc w:val="left"/>
        <w:rPr>
          <w:rStyle w:val="Emphasis"/>
          <w:i w:val="0"/>
          <w:iCs/>
          <w:color w:val="205352"/>
          <w:sz w:val="30"/>
        </w:rPr>
      </w:pPr>
      <w:bookmarkStart w:id="471" w:name="_Toc399317029"/>
      <w:bookmarkStart w:id="472" w:name="_Toc426617570"/>
      <w:bookmarkStart w:id="473" w:name="_Toc430091300"/>
      <w:r w:rsidRPr="00E27DE7">
        <w:rPr>
          <w:rStyle w:val="Emphasis"/>
          <w:i w:val="0"/>
          <w:iCs/>
          <w:color w:val="205352"/>
          <w:sz w:val="30"/>
        </w:rPr>
        <w:t xml:space="preserve">Internal </w:t>
      </w:r>
      <w:r w:rsidR="00180DE3" w:rsidRPr="00E27DE7">
        <w:rPr>
          <w:rStyle w:val="Emphasis"/>
          <w:i w:val="0"/>
          <w:iCs/>
          <w:color w:val="205352"/>
          <w:sz w:val="30"/>
        </w:rPr>
        <w:t>w</w:t>
      </w:r>
      <w:r w:rsidRPr="00E27DE7">
        <w:rPr>
          <w:rStyle w:val="Emphasis"/>
          <w:i w:val="0"/>
          <w:iCs/>
          <w:color w:val="205352"/>
          <w:sz w:val="30"/>
        </w:rPr>
        <w:t>orkers</w:t>
      </w:r>
      <w:r w:rsidR="001916CE">
        <w:rPr>
          <w:rStyle w:val="Emphasis"/>
          <w:i w:val="0"/>
          <w:iCs/>
          <w:color w:val="205352"/>
          <w:sz w:val="30"/>
        </w:rPr>
        <w:t>’</w:t>
      </w:r>
      <w:r w:rsidRPr="00E27DE7">
        <w:rPr>
          <w:rStyle w:val="Emphasis"/>
          <w:i w:val="0"/>
          <w:iCs/>
          <w:color w:val="205352"/>
          <w:sz w:val="30"/>
        </w:rPr>
        <w:t xml:space="preserve"> </w:t>
      </w:r>
      <w:r w:rsidR="00180DE3" w:rsidRPr="00E27DE7">
        <w:rPr>
          <w:rStyle w:val="Emphasis"/>
          <w:i w:val="0"/>
          <w:iCs/>
          <w:color w:val="205352"/>
          <w:sz w:val="30"/>
        </w:rPr>
        <w:t>c</w:t>
      </w:r>
      <w:r w:rsidRPr="00E27DE7">
        <w:rPr>
          <w:rStyle w:val="Emphasis"/>
          <w:i w:val="0"/>
          <w:iCs/>
          <w:color w:val="205352"/>
          <w:sz w:val="30"/>
        </w:rPr>
        <w:t>ompensation</w:t>
      </w:r>
      <w:bookmarkEnd w:id="471"/>
      <w:bookmarkEnd w:id="472"/>
      <w:bookmarkEnd w:id="473"/>
      <w:r w:rsidRPr="00E27DE7">
        <w:rPr>
          <w:rStyle w:val="Emphasis"/>
          <w:i w:val="0"/>
          <w:iCs/>
          <w:color w:val="205352"/>
          <w:sz w:val="30"/>
        </w:rPr>
        <w:t xml:space="preserve"> </w:t>
      </w:r>
    </w:p>
    <w:p w14:paraId="0DF44DFB" w14:textId="10BA731A" w:rsidR="006F296F" w:rsidRPr="001916CE" w:rsidRDefault="001A4B16" w:rsidP="006F296F">
      <w:r w:rsidRPr="00831207">
        <w:t xml:space="preserve">There </w:t>
      </w:r>
      <w:r w:rsidR="00D13185">
        <w:t>were</w:t>
      </w:r>
      <w:r w:rsidRPr="00D13185">
        <w:t xml:space="preserve"> </w:t>
      </w:r>
      <w:r w:rsidR="00D13185" w:rsidRPr="00D13185">
        <w:t>no</w:t>
      </w:r>
      <w:r w:rsidRPr="00D13185">
        <w:t xml:space="preserve"> workers’ compensation claim</w:t>
      </w:r>
      <w:r w:rsidR="0017106B">
        <w:t>s</w:t>
      </w:r>
      <w:r w:rsidRPr="00D13185">
        <w:t xml:space="preserve"> made by </w:t>
      </w:r>
      <w:r w:rsidR="00C726B0" w:rsidRPr="00D13185">
        <w:t>WorkCover WA</w:t>
      </w:r>
      <w:r w:rsidRPr="00D13185">
        <w:t xml:space="preserve"> staff in 201</w:t>
      </w:r>
      <w:r w:rsidR="00831207" w:rsidRPr="00D13185">
        <w:t>4</w:t>
      </w:r>
      <w:r w:rsidRPr="00D13185">
        <w:t>/1</w:t>
      </w:r>
      <w:r w:rsidR="00831207" w:rsidRPr="00D13185">
        <w:t>5.</w:t>
      </w:r>
    </w:p>
    <w:p w14:paraId="7060465C" w14:textId="77777777" w:rsidR="00316E3A" w:rsidRDefault="00316E3A" w:rsidP="00E27DE7">
      <w:pPr>
        <w:pStyle w:val="Heading2nonumber"/>
      </w:pPr>
      <w:bookmarkStart w:id="474" w:name="_Toc399317030"/>
      <w:bookmarkStart w:id="475" w:name="_Toc426617571"/>
      <w:bookmarkStart w:id="476" w:name="_Toc430091301"/>
      <w:r>
        <w:lastRenderedPageBreak/>
        <w:t>Board remuneration</w:t>
      </w:r>
      <w:bookmarkEnd w:id="474"/>
      <w:bookmarkEnd w:id="475"/>
      <w:bookmarkEnd w:id="476"/>
      <w:r>
        <w:t xml:space="preserve"> </w:t>
      </w:r>
    </w:p>
    <w:p w14:paraId="38782FC2" w14:textId="77777777" w:rsidR="00F579F5" w:rsidRDefault="00F579F5" w:rsidP="00F579F5">
      <w:r w:rsidRPr="00F579F5">
        <w:t xml:space="preserve">In accordance with section 99(2) of the Act, the Chairman and Board members are paid such fees and allowances as may be fixed by the Minister on the recommendation of the </w:t>
      </w:r>
      <w:r w:rsidR="002B3A22" w:rsidRPr="00F579F5">
        <w:t>Min</w:t>
      </w:r>
      <w:r w:rsidR="002B3A22">
        <w:t>i</w:t>
      </w:r>
      <w:r w:rsidR="002B3A22" w:rsidRPr="00F579F5">
        <w:t>st</w:t>
      </w:r>
      <w:r w:rsidR="002B3A22">
        <w:t>e</w:t>
      </w:r>
      <w:r w:rsidR="002B3A22" w:rsidRPr="00F579F5">
        <w:t>r</w:t>
      </w:r>
      <w:r w:rsidRPr="00F579F5">
        <w:t xml:space="preserve"> for Public Sector Management. On 11 January 2012, the Minister fixed the remuneration at $29,650 per annum for the Chairman and $15,500 per annum for Board members. In accordance with government policy, Board members who are public service officers are not entitled to payment.</w:t>
      </w:r>
    </w:p>
    <w:tbl>
      <w:tblPr>
        <w:tblStyle w:val="TableGrid"/>
        <w:tblW w:w="0" w:type="auto"/>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Look w:val="04A0" w:firstRow="1" w:lastRow="0" w:firstColumn="1" w:lastColumn="0" w:noHBand="0" w:noVBand="1"/>
        <w:tblCaption w:val="Table 32 WorkCover WA Board remuneration"/>
        <w:tblDescription w:val="Table 32 details board members and the remuneration they recieved during the financial year"/>
      </w:tblPr>
      <w:tblGrid>
        <w:gridCol w:w="1951"/>
        <w:gridCol w:w="1559"/>
        <w:gridCol w:w="1872"/>
        <w:gridCol w:w="1701"/>
        <w:gridCol w:w="1814"/>
      </w:tblGrid>
      <w:tr w:rsidR="00560169" w14:paraId="52CDAAB8" w14:textId="77777777" w:rsidTr="00E76895">
        <w:trPr>
          <w:tblHeader/>
        </w:trPr>
        <w:tc>
          <w:tcPr>
            <w:tcW w:w="8897" w:type="dxa"/>
            <w:gridSpan w:val="5"/>
            <w:tcBorders>
              <w:top w:val="single" w:sz="4" w:space="0" w:color="2D4541" w:themeColor="accent2"/>
              <w:left w:val="single" w:sz="4" w:space="0" w:color="2D4541" w:themeColor="accent2"/>
              <w:bottom w:val="single" w:sz="4" w:space="0" w:color="2D4541" w:themeColor="accent2"/>
              <w:right w:val="single" w:sz="4" w:space="0" w:color="2D4541" w:themeColor="accent2"/>
            </w:tcBorders>
            <w:shd w:val="clear" w:color="auto" w:fill="2D4541" w:themeFill="accent2"/>
          </w:tcPr>
          <w:p w14:paraId="75CCF486" w14:textId="09D496D1" w:rsidR="00560169" w:rsidRPr="00D31603" w:rsidRDefault="00560169" w:rsidP="009E75E3">
            <w:pPr>
              <w:rPr>
                <w:rStyle w:val="Strong"/>
                <w:color w:val="FFFFFF" w:themeColor="background1"/>
              </w:rPr>
            </w:pPr>
            <w:r>
              <w:rPr>
                <w:rStyle w:val="Strong"/>
                <w:color w:val="FFFFFF" w:themeColor="background1"/>
              </w:rPr>
              <w:t xml:space="preserve">Table </w:t>
            </w:r>
            <w:r w:rsidR="009E75E3">
              <w:rPr>
                <w:rStyle w:val="Strong"/>
                <w:color w:val="FFFFFF" w:themeColor="background1"/>
              </w:rPr>
              <w:t>32</w:t>
            </w:r>
            <w:r>
              <w:rPr>
                <w:rStyle w:val="Strong"/>
                <w:color w:val="FFFFFF" w:themeColor="background1"/>
              </w:rPr>
              <w:t xml:space="preserve">: </w:t>
            </w:r>
            <w:r w:rsidR="00C726B0">
              <w:rPr>
                <w:rStyle w:val="Strong"/>
                <w:color w:val="FFFFFF" w:themeColor="background1"/>
              </w:rPr>
              <w:t>WorkCover WA</w:t>
            </w:r>
            <w:r w:rsidRPr="00BF5B3D">
              <w:rPr>
                <w:rStyle w:val="Strong"/>
                <w:color w:val="FFFFFF" w:themeColor="background1"/>
              </w:rPr>
              <w:t xml:space="preserve"> Board</w:t>
            </w:r>
            <w:r>
              <w:rPr>
                <w:rStyle w:val="Strong"/>
                <w:color w:val="FFFFFF" w:themeColor="background1"/>
              </w:rPr>
              <w:t xml:space="preserve"> remuneration</w:t>
            </w:r>
          </w:p>
        </w:tc>
      </w:tr>
      <w:tr w:rsidR="00560169" w14:paraId="40065EF0" w14:textId="77777777" w:rsidTr="00E76895">
        <w:tc>
          <w:tcPr>
            <w:tcW w:w="1951" w:type="dxa"/>
            <w:tcBorders>
              <w:top w:val="single" w:sz="4" w:space="0" w:color="2D4541" w:themeColor="accent2"/>
            </w:tcBorders>
            <w:shd w:val="clear" w:color="auto" w:fill="CEDFDC" w:themeFill="accent2" w:themeFillTint="33"/>
          </w:tcPr>
          <w:p w14:paraId="371B405E" w14:textId="77777777" w:rsidR="00560169" w:rsidRPr="00444570" w:rsidRDefault="00560169" w:rsidP="00E76895">
            <w:pPr>
              <w:rPr>
                <w:rStyle w:val="Strong"/>
              </w:rPr>
            </w:pPr>
            <w:r w:rsidRPr="00444570">
              <w:rPr>
                <w:rStyle w:val="Strong"/>
              </w:rPr>
              <w:t>Position</w:t>
            </w:r>
          </w:p>
        </w:tc>
        <w:tc>
          <w:tcPr>
            <w:tcW w:w="1559" w:type="dxa"/>
            <w:tcBorders>
              <w:top w:val="single" w:sz="4" w:space="0" w:color="2D4541" w:themeColor="accent2"/>
            </w:tcBorders>
            <w:shd w:val="clear" w:color="auto" w:fill="CEDFDC" w:themeFill="accent2" w:themeFillTint="33"/>
          </w:tcPr>
          <w:p w14:paraId="2B8122BA" w14:textId="77777777" w:rsidR="00560169" w:rsidRPr="00444570" w:rsidRDefault="00560169" w:rsidP="00E76895">
            <w:pPr>
              <w:rPr>
                <w:rStyle w:val="Strong"/>
              </w:rPr>
            </w:pPr>
            <w:r w:rsidRPr="00444570">
              <w:rPr>
                <w:rStyle w:val="Strong"/>
              </w:rPr>
              <w:t>Name</w:t>
            </w:r>
          </w:p>
        </w:tc>
        <w:tc>
          <w:tcPr>
            <w:tcW w:w="1872" w:type="dxa"/>
            <w:tcBorders>
              <w:top w:val="single" w:sz="4" w:space="0" w:color="2D4541" w:themeColor="accent2"/>
            </w:tcBorders>
            <w:shd w:val="clear" w:color="auto" w:fill="CEDFDC" w:themeFill="accent2" w:themeFillTint="33"/>
          </w:tcPr>
          <w:p w14:paraId="141E057A" w14:textId="77777777" w:rsidR="00560169" w:rsidRPr="00444570" w:rsidRDefault="00560169" w:rsidP="00E76895">
            <w:pPr>
              <w:rPr>
                <w:rStyle w:val="Strong"/>
              </w:rPr>
            </w:pPr>
            <w:r w:rsidRPr="00444570">
              <w:rPr>
                <w:rStyle w:val="Strong"/>
              </w:rPr>
              <w:t>Type of remuneration</w:t>
            </w:r>
          </w:p>
        </w:tc>
        <w:tc>
          <w:tcPr>
            <w:tcW w:w="1701" w:type="dxa"/>
            <w:tcBorders>
              <w:top w:val="single" w:sz="4" w:space="0" w:color="2D4541" w:themeColor="accent2"/>
            </w:tcBorders>
            <w:shd w:val="clear" w:color="auto" w:fill="CEDFDC" w:themeFill="accent2" w:themeFillTint="33"/>
          </w:tcPr>
          <w:p w14:paraId="5EC4CCDF" w14:textId="77777777" w:rsidR="00560169" w:rsidRPr="00444570" w:rsidRDefault="00560169" w:rsidP="00E76895">
            <w:pPr>
              <w:rPr>
                <w:rStyle w:val="Strong"/>
              </w:rPr>
            </w:pPr>
            <w:r w:rsidRPr="00444570">
              <w:rPr>
                <w:rStyle w:val="Strong"/>
              </w:rPr>
              <w:t>Period of membership</w:t>
            </w:r>
          </w:p>
        </w:tc>
        <w:tc>
          <w:tcPr>
            <w:tcW w:w="1814" w:type="dxa"/>
            <w:tcBorders>
              <w:top w:val="single" w:sz="4" w:space="0" w:color="2D4541" w:themeColor="accent2"/>
            </w:tcBorders>
            <w:shd w:val="clear" w:color="auto" w:fill="CEDFDC" w:themeFill="accent2" w:themeFillTint="33"/>
          </w:tcPr>
          <w:p w14:paraId="3EF45FA7" w14:textId="77777777" w:rsidR="00560169" w:rsidRPr="00444570" w:rsidRDefault="00560169" w:rsidP="00E76895">
            <w:pPr>
              <w:rPr>
                <w:rStyle w:val="Strong"/>
              </w:rPr>
            </w:pPr>
            <w:r w:rsidRPr="00444570">
              <w:rPr>
                <w:rStyle w:val="Strong"/>
              </w:rPr>
              <w:t>Gross/actual remuneration</w:t>
            </w:r>
          </w:p>
        </w:tc>
      </w:tr>
      <w:tr w:rsidR="00C55E98" w:rsidRPr="00C55E98" w14:paraId="13E49686" w14:textId="77777777" w:rsidTr="006D660D">
        <w:trPr>
          <w:trHeight w:val="1687"/>
        </w:trPr>
        <w:tc>
          <w:tcPr>
            <w:tcW w:w="1951" w:type="dxa"/>
            <w:shd w:val="clear" w:color="auto" w:fill="D4E2E0" w:themeFill="accent5"/>
          </w:tcPr>
          <w:p w14:paraId="4F74EBC9" w14:textId="77777777" w:rsidR="00C55E98" w:rsidRPr="00F12697" w:rsidRDefault="00C55E98" w:rsidP="00C55E98">
            <w:r w:rsidRPr="00F12697">
              <w:t>Chairman</w:t>
            </w:r>
          </w:p>
        </w:tc>
        <w:tc>
          <w:tcPr>
            <w:tcW w:w="1559" w:type="dxa"/>
            <w:shd w:val="clear" w:color="auto" w:fill="auto"/>
          </w:tcPr>
          <w:p w14:paraId="53866C9D" w14:textId="77777777" w:rsidR="00C55E98" w:rsidRPr="006D660D" w:rsidRDefault="00C55E98" w:rsidP="00C55E98">
            <w:r w:rsidRPr="006D660D">
              <w:t xml:space="preserve">Greg Joyce </w:t>
            </w:r>
          </w:p>
        </w:tc>
        <w:tc>
          <w:tcPr>
            <w:tcW w:w="1872" w:type="dxa"/>
            <w:shd w:val="clear" w:color="auto" w:fill="auto"/>
          </w:tcPr>
          <w:p w14:paraId="6701A0C5" w14:textId="77777777" w:rsidR="00C55E98" w:rsidRPr="006D660D" w:rsidRDefault="00C55E98" w:rsidP="00C55E98">
            <w:r w:rsidRPr="006D660D">
              <w:t xml:space="preserve">Annual </w:t>
            </w:r>
          </w:p>
        </w:tc>
        <w:tc>
          <w:tcPr>
            <w:tcW w:w="1701" w:type="dxa"/>
            <w:shd w:val="clear" w:color="auto" w:fill="auto"/>
          </w:tcPr>
          <w:p w14:paraId="44818852" w14:textId="0A4535BB" w:rsidR="00C55E98" w:rsidRPr="00B746A1" w:rsidRDefault="00C55E98" w:rsidP="00C55E98">
            <w:r w:rsidRPr="00B746A1">
              <w:t>04/01/14 to 03/01/17</w:t>
            </w:r>
          </w:p>
        </w:tc>
        <w:tc>
          <w:tcPr>
            <w:tcW w:w="1814" w:type="dxa"/>
            <w:shd w:val="clear" w:color="auto" w:fill="auto"/>
          </w:tcPr>
          <w:p w14:paraId="38579B10" w14:textId="6F63E9E9" w:rsidR="00C55E98" w:rsidRPr="00C55E98" w:rsidRDefault="00C55E98" w:rsidP="00694709">
            <w:pPr>
              <w:jc w:val="right"/>
            </w:pPr>
            <w:r w:rsidRPr="00C55E98">
              <w:t>$29, 646</w:t>
            </w:r>
          </w:p>
        </w:tc>
      </w:tr>
      <w:tr w:rsidR="00C55E98" w:rsidRPr="00C55E98" w14:paraId="7D5276C5" w14:textId="77777777" w:rsidTr="006D660D">
        <w:trPr>
          <w:trHeight w:val="768"/>
        </w:trPr>
        <w:tc>
          <w:tcPr>
            <w:tcW w:w="1951" w:type="dxa"/>
            <w:shd w:val="clear" w:color="auto" w:fill="D4E2E0" w:themeFill="accent5"/>
          </w:tcPr>
          <w:p w14:paraId="436F40C3" w14:textId="77777777" w:rsidR="00C55E98" w:rsidRPr="00F12697" w:rsidRDefault="00C55E98" w:rsidP="00C55E98">
            <w:r w:rsidRPr="00F12697">
              <w:t xml:space="preserve">Member </w:t>
            </w:r>
          </w:p>
        </w:tc>
        <w:tc>
          <w:tcPr>
            <w:tcW w:w="1559" w:type="dxa"/>
            <w:shd w:val="clear" w:color="auto" w:fill="auto"/>
          </w:tcPr>
          <w:p w14:paraId="1E144784" w14:textId="527774B3" w:rsidR="00C55E98" w:rsidRPr="006D660D" w:rsidRDefault="00C55E98" w:rsidP="00C55E98">
            <w:r w:rsidRPr="006D660D">
              <w:t xml:space="preserve">Michelle Reynolds </w:t>
            </w:r>
          </w:p>
        </w:tc>
        <w:tc>
          <w:tcPr>
            <w:tcW w:w="1872" w:type="dxa"/>
            <w:shd w:val="clear" w:color="auto" w:fill="auto"/>
          </w:tcPr>
          <w:p w14:paraId="0B086228" w14:textId="77777777" w:rsidR="00C55E98" w:rsidRPr="006D660D" w:rsidRDefault="00C55E98" w:rsidP="00C55E98">
            <w:r w:rsidRPr="006D660D">
              <w:t xml:space="preserve">N/A – Public Service </w:t>
            </w:r>
          </w:p>
        </w:tc>
        <w:tc>
          <w:tcPr>
            <w:tcW w:w="1701" w:type="dxa"/>
            <w:shd w:val="clear" w:color="auto" w:fill="auto"/>
          </w:tcPr>
          <w:p w14:paraId="5BAA4BC8" w14:textId="35A204AB" w:rsidR="00C55E98" w:rsidRPr="006D660D" w:rsidRDefault="00C55E98" w:rsidP="00C55E98">
            <w:r w:rsidRPr="009A4257">
              <w:t>Virtue of office</w:t>
            </w:r>
          </w:p>
        </w:tc>
        <w:tc>
          <w:tcPr>
            <w:tcW w:w="1814" w:type="dxa"/>
            <w:shd w:val="clear" w:color="auto" w:fill="auto"/>
          </w:tcPr>
          <w:p w14:paraId="2F2A1ACA" w14:textId="23CBD76B" w:rsidR="00C55E98" w:rsidRPr="00C55E98" w:rsidRDefault="00C55E98" w:rsidP="00694709">
            <w:pPr>
              <w:jc w:val="right"/>
            </w:pPr>
            <w:r w:rsidRPr="00C55E98">
              <w:t>Nil</w:t>
            </w:r>
          </w:p>
        </w:tc>
      </w:tr>
      <w:tr w:rsidR="00C55E98" w:rsidRPr="00C55E98" w14:paraId="2C8267A9" w14:textId="77777777" w:rsidTr="006D660D">
        <w:tc>
          <w:tcPr>
            <w:tcW w:w="1951" w:type="dxa"/>
            <w:shd w:val="clear" w:color="auto" w:fill="D4E2E0" w:themeFill="accent5"/>
          </w:tcPr>
          <w:p w14:paraId="5FA35708" w14:textId="77777777" w:rsidR="00C55E98" w:rsidRPr="00F12697" w:rsidRDefault="00C55E98" w:rsidP="00C55E98">
            <w:r w:rsidRPr="00F12697">
              <w:t>Member</w:t>
            </w:r>
          </w:p>
        </w:tc>
        <w:tc>
          <w:tcPr>
            <w:tcW w:w="1559" w:type="dxa"/>
            <w:shd w:val="clear" w:color="auto" w:fill="auto"/>
          </w:tcPr>
          <w:p w14:paraId="184EA44D" w14:textId="77777777" w:rsidR="00C55E98" w:rsidRPr="006D660D" w:rsidRDefault="00C55E98" w:rsidP="00C55E98">
            <w:r w:rsidRPr="006D660D">
              <w:t>Brian Bradley</w:t>
            </w:r>
          </w:p>
        </w:tc>
        <w:tc>
          <w:tcPr>
            <w:tcW w:w="1872" w:type="dxa"/>
            <w:shd w:val="clear" w:color="auto" w:fill="auto"/>
          </w:tcPr>
          <w:p w14:paraId="1C01E203" w14:textId="77777777" w:rsidR="00C55E98" w:rsidRPr="006D660D" w:rsidRDefault="00C55E98" w:rsidP="00C55E98">
            <w:r w:rsidRPr="006D660D">
              <w:t xml:space="preserve">N/A – Public Service </w:t>
            </w:r>
          </w:p>
        </w:tc>
        <w:tc>
          <w:tcPr>
            <w:tcW w:w="1701" w:type="dxa"/>
            <w:shd w:val="clear" w:color="auto" w:fill="auto"/>
          </w:tcPr>
          <w:p w14:paraId="0F483DDF" w14:textId="5FFC3E29" w:rsidR="00C55E98" w:rsidRPr="006D660D" w:rsidRDefault="00C55E98" w:rsidP="00C55E98">
            <w:r w:rsidRPr="009A4257">
              <w:t>Virtue of office</w:t>
            </w:r>
          </w:p>
        </w:tc>
        <w:tc>
          <w:tcPr>
            <w:tcW w:w="1814" w:type="dxa"/>
            <w:shd w:val="clear" w:color="auto" w:fill="auto"/>
          </w:tcPr>
          <w:p w14:paraId="617A5100" w14:textId="1763BCBC" w:rsidR="00C55E98" w:rsidRPr="00C55E98" w:rsidRDefault="00C55E98" w:rsidP="00694709">
            <w:pPr>
              <w:jc w:val="right"/>
            </w:pPr>
            <w:r w:rsidRPr="00C55E98">
              <w:t>Nil</w:t>
            </w:r>
          </w:p>
        </w:tc>
      </w:tr>
      <w:tr w:rsidR="00C55E98" w:rsidRPr="00C55E98" w14:paraId="154E66E6" w14:textId="77777777" w:rsidTr="006D660D">
        <w:tc>
          <w:tcPr>
            <w:tcW w:w="1951" w:type="dxa"/>
            <w:shd w:val="clear" w:color="auto" w:fill="D4E2E0" w:themeFill="accent5"/>
          </w:tcPr>
          <w:p w14:paraId="21CF7F22" w14:textId="77777777" w:rsidR="00C55E98" w:rsidRPr="00F12697" w:rsidRDefault="00C55E98" w:rsidP="00C55E98">
            <w:r w:rsidRPr="00F12697">
              <w:t xml:space="preserve">Member </w:t>
            </w:r>
          </w:p>
        </w:tc>
        <w:tc>
          <w:tcPr>
            <w:tcW w:w="1559" w:type="dxa"/>
            <w:shd w:val="clear" w:color="auto" w:fill="auto"/>
          </w:tcPr>
          <w:p w14:paraId="304D12CB" w14:textId="77777777" w:rsidR="00C55E98" w:rsidRPr="006D660D" w:rsidRDefault="00C55E98" w:rsidP="00C55E98">
            <w:r w:rsidRPr="006D660D">
              <w:t xml:space="preserve">Karin Lee </w:t>
            </w:r>
          </w:p>
        </w:tc>
        <w:tc>
          <w:tcPr>
            <w:tcW w:w="1872" w:type="dxa"/>
            <w:shd w:val="clear" w:color="auto" w:fill="auto"/>
          </w:tcPr>
          <w:p w14:paraId="17D6CE9D" w14:textId="77777777" w:rsidR="00C55E98" w:rsidRPr="006D660D" w:rsidRDefault="00C55E98" w:rsidP="00C55E98">
            <w:r w:rsidRPr="006D660D">
              <w:t xml:space="preserve">Annual </w:t>
            </w:r>
          </w:p>
        </w:tc>
        <w:tc>
          <w:tcPr>
            <w:tcW w:w="1701" w:type="dxa"/>
            <w:shd w:val="clear" w:color="auto" w:fill="auto"/>
          </w:tcPr>
          <w:p w14:paraId="26C120D9" w14:textId="5D396784" w:rsidR="00C55E98" w:rsidRPr="006D660D" w:rsidRDefault="00C55E98" w:rsidP="00C55E98">
            <w:r w:rsidRPr="005A4B04">
              <w:t>04/01/14 to 03/01/17</w:t>
            </w:r>
          </w:p>
        </w:tc>
        <w:tc>
          <w:tcPr>
            <w:tcW w:w="1814" w:type="dxa"/>
            <w:shd w:val="clear" w:color="auto" w:fill="auto"/>
          </w:tcPr>
          <w:p w14:paraId="5A15E711" w14:textId="3A411F78" w:rsidR="00C55E98" w:rsidRPr="00C55E98" w:rsidRDefault="00D945EE" w:rsidP="00694709">
            <w:pPr>
              <w:jc w:val="right"/>
            </w:pPr>
            <w:r>
              <w:t>$15,</w:t>
            </w:r>
            <w:r w:rsidR="00C55E98" w:rsidRPr="00C55E98">
              <w:t>500</w:t>
            </w:r>
          </w:p>
        </w:tc>
      </w:tr>
      <w:tr w:rsidR="00C55E98" w:rsidRPr="00C55E98" w14:paraId="1057AEF2" w14:textId="77777777" w:rsidTr="006D660D">
        <w:trPr>
          <w:trHeight w:val="1287"/>
        </w:trPr>
        <w:tc>
          <w:tcPr>
            <w:tcW w:w="1951" w:type="dxa"/>
            <w:shd w:val="clear" w:color="auto" w:fill="D4E2E0" w:themeFill="accent5"/>
          </w:tcPr>
          <w:p w14:paraId="7BCE325C" w14:textId="77777777" w:rsidR="00C55E98" w:rsidRPr="00F12697" w:rsidRDefault="00C55E98" w:rsidP="00C55E98">
            <w:r w:rsidRPr="00F12697">
              <w:t xml:space="preserve">Member </w:t>
            </w:r>
          </w:p>
        </w:tc>
        <w:tc>
          <w:tcPr>
            <w:tcW w:w="1559" w:type="dxa"/>
            <w:shd w:val="clear" w:color="auto" w:fill="auto"/>
          </w:tcPr>
          <w:p w14:paraId="306EE517" w14:textId="77777777" w:rsidR="00C55E98" w:rsidRPr="006D660D" w:rsidRDefault="00C55E98" w:rsidP="00C55E98">
            <w:r w:rsidRPr="006D660D">
              <w:t xml:space="preserve">Owen Whittle </w:t>
            </w:r>
          </w:p>
        </w:tc>
        <w:tc>
          <w:tcPr>
            <w:tcW w:w="1872" w:type="dxa"/>
            <w:shd w:val="clear" w:color="auto" w:fill="auto"/>
          </w:tcPr>
          <w:p w14:paraId="29576BF6" w14:textId="77777777" w:rsidR="00C55E98" w:rsidRPr="006D660D" w:rsidRDefault="00C55E98" w:rsidP="00C55E98">
            <w:r w:rsidRPr="006D660D">
              <w:t xml:space="preserve">Annual </w:t>
            </w:r>
          </w:p>
        </w:tc>
        <w:tc>
          <w:tcPr>
            <w:tcW w:w="1701" w:type="dxa"/>
            <w:shd w:val="clear" w:color="auto" w:fill="auto"/>
          </w:tcPr>
          <w:p w14:paraId="19D59695" w14:textId="171072D6" w:rsidR="00C55E98" w:rsidRPr="006D660D" w:rsidRDefault="00C55E98" w:rsidP="00C55E98">
            <w:r w:rsidRPr="005A4B04">
              <w:t>30/12/14 to 29/12/17</w:t>
            </w:r>
          </w:p>
        </w:tc>
        <w:tc>
          <w:tcPr>
            <w:tcW w:w="1814" w:type="dxa"/>
            <w:shd w:val="clear" w:color="auto" w:fill="auto"/>
          </w:tcPr>
          <w:p w14:paraId="31FEA048" w14:textId="315146DB" w:rsidR="00C55E98" w:rsidRPr="00C55E98" w:rsidRDefault="00C55E98" w:rsidP="00694709">
            <w:pPr>
              <w:jc w:val="right"/>
            </w:pPr>
            <w:r w:rsidRPr="00C55E98">
              <w:t>Nil</w:t>
            </w:r>
            <w:r w:rsidR="001916CE">
              <w:t xml:space="preserve"> </w:t>
            </w:r>
            <w:r w:rsidR="001916CE" w:rsidRPr="001916CE">
              <w:t>(Mr Whittle elected not to receive sitting fees)</w:t>
            </w:r>
          </w:p>
        </w:tc>
      </w:tr>
      <w:tr w:rsidR="00C55E98" w:rsidRPr="00C55E98" w14:paraId="015870C0" w14:textId="77777777" w:rsidTr="006D660D">
        <w:tc>
          <w:tcPr>
            <w:tcW w:w="1951" w:type="dxa"/>
            <w:shd w:val="clear" w:color="auto" w:fill="D4E2E0" w:themeFill="accent5"/>
          </w:tcPr>
          <w:p w14:paraId="0EDF23A7" w14:textId="77777777" w:rsidR="00C55E98" w:rsidRPr="00F12697" w:rsidRDefault="00C55E98" w:rsidP="00C55E98">
            <w:r w:rsidRPr="00F12697">
              <w:t xml:space="preserve">Member </w:t>
            </w:r>
          </w:p>
        </w:tc>
        <w:tc>
          <w:tcPr>
            <w:tcW w:w="1559" w:type="dxa"/>
            <w:shd w:val="clear" w:color="auto" w:fill="auto"/>
          </w:tcPr>
          <w:p w14:paraId="216777D1" w14:textId="77777777" w:rsidR="00C55E98" w:rsidRPr="006D660D" w:rsidRDefault="00C55E98" w:rsidP="00C55E98">
            <w:r w:rsidRPr="006D660D">
              <w:t xml:space="preserve">Steven Burns </w:t>
            </w:r>
          </w:p>
        </w:tc>
        <w:tc>
          <w:tcPr>
            <w:tcW w:w="1872" w:type="dxa"/>
            <w:shd w:val="clear" w:color="auto" w:fill="auto"/>
          </w:tcPr>
          <w:p w14:paraId="196C3E9B" w14:textId="77777777" w:rsidR="00C55E98" w:rsidRPr="006D660D" w:rsidRDefault="00C55E98" w:rsidP="00C55E98">
            <w:r w:rsidRPr="006D660D">
              <w:t xml:space="preserve">Annual </w:t>
            </w:r>
          </w:p>
        </w:tc>
        <w:tc>
          <w:tcPr>
            <w:tcW w:w="1701" w:type="dxa"/>
            <w:shd w:val="clear" w:color="auto" w:fill="auto"/>
          </w:tcPr>
          <w:p w14:paraId="68AA8431" w14:textId="12F18CE2" w:rsidR="00C55E98" w:rsidRPr="006D660D" w:rsidRDefault="00C55E98" w:rsidP="00C55E98">
            <w:r w:rsidRPr="005A4B04">
              <w:t>01/10/13 to 30/09/16</w:t>
            </w:r>
          </w:p>
        </w:tc>
        <w:tc>
          <w:tcPr>
            <w:tcW w:w="1814" w:type="dxa"/>
            <w:shd w:val="clear" w:color="auto" w:fill="auto"/>
          </w:tcPr>
          <w:p w14:paraId="709E3B5E" w14:textId="5D846BFD" w:rsidR="00C55E98" w:rsidRPr="00C55E98" w:rsidRDefault="00C55E98" w:rsidP="00694709">
            <w:pPr>
              <w:jc w:val="right"/>
            </w:pPr>
            <w:r w:rsidRPr="00C55E98">
              <w:t>$15,500</w:t>
            </w:r>
          </w:p>
        </w:tc>
      </w:tr>
      <w:tr w:rsidR="00C55E98" w:rsidRPr="00C55E98" w14:paraId="7AE4B295" w14:textId="77777777" w:rsidTr="006D660D">
        <w:tc>
          <w:tcPr>
            <w:tcW w:w="1951" w:type="dxa"/>
            <w:tcBorders>
              <w:bottom w:val="single" w:sz="4" w:space="0" w:color="2D4541" w:themeColor="accent2"/>
            </w:tcBorders>
            <w:shd w:val="clear" w:color="auto" w:fill="D4E2E0" w:themeFill="accent5"/>
          </w:tcPr>
          <w:p w14:paraId="38EA22EF" w14:textId="77777777" w:rsidR="00C55E98" w:rsidRPr="00F12697" w:rsidRDefault="00C55E98" w:rsidP="00C55E98">
            <w:r w:rsidRPr="00F12697">
              <w:t xml:space="preserve">Member </w:t>
            </w:r>
          </w:p>
        </w:tc>
        <w:tc>
          <w:tcPr>
            <w:tcW w:w="1559" w:type="dxa"/>
            <w:tcBorders>
              <w:bottom w:val="single" w:sz="4" w:space="0" w:color="2D4541" w:themeColor="accent2"/>
            </w:tcBorders>
            <w:shd w:val="clear" w:color="auto" w:fill="auto"/>
          </w:tcPr>
          <w:p w14:paraId="094AF29C" w14:textId="77777777" w:rsidR="00C55E98" w:rsidRPr="006D660D" w:rsidRDefault="00C55E98" w:rsidP="00C55E98">
            <w:r w:rsidRPr="006D660D">
              <w:t xml:space="preserve">Victoria Wilmot </w:t>
            </w:r>
          </w:p>
        </w:tc>
        <w:tc>
          <w:tcPr>
            <w:tcW w:w="1872" w:type="dxa"/>
            <w:tcBorders>
              <w:bottom w:val="single" w:sz="4" w:space="0" w:color="2D4541" w:themeColor="accent2"/>
            </w:tcBorders>
            <w:shd w:val="clear" w:color="auto" w:fill="auto"/>
          </w:tcPr>
          <w:p w14:paraId="1B4A0A10" w14:textId="77777777" w:rsidR="00C55E98" w:rsidRPr="006D660D" w:rsidRDefault="00C55E98" w:rsidP="00C55E98">
            <w:r w:rsidRPr="006D660D">
              <w:t xml:space="preserve">Annual </w:t>
            </w:r>
          </w:p>
        </w:tc>
        <w:tc>
          <w:tcPr>
            <w:tcW w:w="1701" w:type="dxa"/>
            <w:tcBorders>
              <w:bottom w:val="single" w:sz="4" w:space="0" w:color="2D4541" w:themeColor="accent2"/>
            </w:tcBorders>
            <w:shd w:val="clear" w:color="auto" w:fill="auto"/>
          </w:tcPr>
          <w:p w14:paraId="0270D4EB" w14:textId="2334799B" w:rsidR="00C55E98" w:rsidRPr="006D660D" w:rsidRDefault="00C55E98" w:rsidP="00C55E98">
            <w:r w:rsidRPr="005A4B04">
              <w:t>04/01/14 to 03/01/17</w:t>
            </w:r>
          </w:p>
        </w:tc>
        <w:tc>
          <w:tcPr>
            <w:tcW w:w="1814" w:type="dxa"/>
            <w:tcBorders>
              <w:bottom w:val="single" w:sz="4" w:space="0" w:color="2D4541" w:themeColor="accent2"/>
            </w:tcBorders>
            <w:shd w:val="clear" w:color="auto" w:fill="auto"/>
          </w:tcPr>
          <w:p w14:paraId="3DA4EB53" w14:textId="05F7E311" w:rsidR="00C55E98" w:rsidRPr="00C55E98" w:rsidRDefault="00C55E98" w:rsidP="00694709">
            <w:pPr>
              <w:jc w:val="right"/>
            </w:pPr>
            <w:r w:rsidRPr="00C55E98">
              <w:t>$15,500</w:t>
            </w:r>
          </w:p>
        </w:tc>
      </w:tr>
      <w:tr w:rsidR="00560169" w:rsidRPr="0078040C" w14:paraId="76A0EED1" w14:textId="77777777" w:rsidTr="00E76895">
        <w:tc>
          <w:tcPr>
            <w:tcW w:w="7083" w:type="dxa"/>
            <w:gridSpan w:val="4"/>
            <w:tcBorders>
              <w:top w:val="single" w:sz="4" w:space="0" w:color="2D4541" w:themeColor="accent2"/>
              <w:left w:val="single" w:sz="4" w:space="0" w:color="2D4541" w:themeColor="accent2"/>
              <w:bottom w:val="single" w:sz="4" w:space="0" w:color="2D4541" w:themeColor="accent2"/>
            </w:tcBorders>
            <w:shd w:val="clear" w:color="auto" w:fill="2D4541" w:themeFill="accent2"/>
          </w:tcPr>
          <w:p w14:paraId="32A3F065" w14:textId="6A85367E" w:rsidR="00560169" w:rsidRPr="001A2B42" w:rsidRDefault="001A2B42" w:rsidP="001A2B42">
            <w:pPr>
              <w:jc w:val="right"/>
              <w:rPr>
                <w:rStyle w:val="Strong"/>
                <w:color w:val="FFFFFF" w:themeColor="background1"/>
              </w:rPr>
            </w:pPr>
            <w:r w:rsidRPr="001A2B42">
              <w:rPr>
                <w:rStyle w:val="Strong"/>
                <w:color w:val="FFFFFF" w:themeColor="background1"/>
              </w:rPr>
              <w:t>Total</w:t>
            </w:r>
          </w:p>
        </w:tc>
        <w:tc>
          <w:tcPr>
            <w:tcW w:w="1814" w:type="dxa"/>
            <w:tcBorders>
              <w:top w:val="single" w:sz="4" w:space="0" w:color="2D4541" w:themeColor="accent2"/>
              <w:bottom w:val="single" w:sz="4" w:space="0" w:color="2D4541" w:themeColor="accent2"/>
              <w:right w:val="single" w:sz="4" w:space="0" w:color="2D4541" w:themeColor="accent2"/>
            </w:tcBorders>
            <w:shd w:val="clear" w:color="auto" w:fill="2D4541" w:themeFill="accent2"/>
          </w:tcPr>
          <w:p w14:paraId="564A2CAE" w14:textId="15E1F594" w:rsidR="00560169" w:rsidRPr="00C55E98" w:rsidRDefault="00560169" w:rsidP="00A63873">
            <w:pPr>
              <w:jc w:val="right"/>
              <w:rPr>
                <w:rStyle w:val="Strong"/>
                <w:b w:val="0"/>
                <w:color w:val="FFFFFF" w:themeColor="background1"/>
              </w:rPr>
            </w:pPr>
            <w:r w:rsidRPr="00C55E98">
              <w:rPr>
                <w:rStyle w:val="Strong"/>
                <w:color w:val="FFFFFF" w:themeColor="background1"/>
              </w:rPr>
              <w:t>$</w:t>
            </w:r>
            <w:r w:rsidR="00C55E98" w:rsidRPr="00C55E98">
              <w:rPr>
                <w:rStyle w:val="Strong"/>
                <w:color w:val="FFFFFF" w:themeColor="background1"/>
              </w:rPr>
              <w:t>76,146</w:t>
            </w:r>
          </w:p>
        </w:tc>
      </w:tr>
    </w:tbl>
    <w:p w14:paraId="16F6BF70" w14:textId="77777777" w:rsidR="00316E3A" w:rsidRDefault="00316E3A" w:rsidP="00E27DE7">
      <w:pPr>
        <w:pStyle w:val="Heading2nonumber"/>
      </w:pPr>
      <w:bookmarkStart w:id="477" w:name="_Toc399317031"/>
      <w:bookmarkStart w:id="478" w:name="_Toc426617572"/>
      <w:bookmarkStart w:id="479" w:name="_Toc430091302"/>
      <w:r>
        <w:lastRenderedPageBreak/>
        <w:t>Directors’ and officers’ liability insurance</w:t>
      </w:r>
      <w:bookmarkEnd w:id="477"/>
      <w:bookmarkEnd w:id="478"/>
      <w:bookmarkEnd w:id="479"/>
      <w:r>
        <w:t xml:space="preserve"> </w:t>
      </w:r>
    </w:p>
    <w:p w14:paraId="1954476F" w14:textId="77777777" w:rsidR="00E94DBA" w:rsidRDefault="00E94DBA" w:rsidP="002270AE">
      <w:pPr>
        <w:rPr>
          <w:sz w:val="22"/>
          <w:szCs w:val="22"/>
          <w:lang w:eastAsia="en-AU"/>
        </w:rPr>
      </w:pPr>
      <w:bookmarkStart w:id="480" w:name="_Toc426617573"/>
      <w:r>
        <w:t>Directors’ and officers’ liability insurance covers the personal liability for damages and defence costs of insured persons in the event action is taken against them for breaches of duty. WorkCover WA holds a directors’ and officers’ liability insurance policy covering the members of the former Workers’ Compensation and Rehabilitation Commission and WorkCover WA Board members. The policy is placed through the State Government’s insurer and is renewed annually. The limit of liability on the policy is $20 million, which is in line with the accepted industry standard.</w:t>
      </w:r>
    </w:p>
    <w:p w14:paraId="51451D29" w14:textId="77777777" w:rsidR="00E94DBA" w:rsidRDefault="00E94DBA" w:rsidP="002270AE">
      <w:r>
        <w:t>The total premium for the insurance policy, effective from 16 May 2014 to 16 May 2015, was $13,271.50 and, in accordance with the Board’s policy, members of the Board and Corporate Executive made individual contributions towards the total premium.</w:t>
      </w:r>
    </w:p>
    <w:p w14:paraId="043DFE9E" w14:textId="77777777" w:rsidR="00560169" w:rsidRDefault="00560169" w:rsidP="00E76895">
      <w:pPr>
        <w:pStyle w:val="Heading2nonumber"/>
        <w:spacing w:after="240"/>
      </w:pPr>
      <w:bookmarkStart w:id="481" w:name="_Toc430091303"/>
      <w:r>
        <w:t>Committee remuneration</w:t>
      </w:r>
      <w:bookmarkEnd w:id="480"/>
      <w:bookmarkEnd w:id="481"/>
      <w:r>
        <w:t xml:space="preserve"> </w:t>
      </w:r>
    </w:p>
    <w:p w14:paraId="595DB20A" w14:textId="77777777" w:rsidR="00560169" w:rsidRDefault="00E76895" w:rsidP="00E76895">
      <w:pPr>
        <w:pStyle w:val="Heading3nonumber"/>
        <w:spacing w:after="240"/>
      </w:pPr>
      <w:bookmarkStart w:id="482" w:name="_Toc426617574"/>
      <w:bookmarkStart w:id="483" w:name="_Toc430091304"/>
      <w:r>
        <w:t>Costs Committee</w:t>
      </w:r>
      <w:bookmarkEnd w:id="482"/>
      <w:bookmarkEnd w:id="483"/>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20" w:firstRow="1" w:lastRow="0" w:firstColumn="0" w:lastColumn="0" w:noHBand="1" w:noVBand="1"/>
        <w:tblCaption w:val="Table 33 Costs Committee Remuneration"/>
        <w:tblDescription w:val="Table 33 details the Cost Committee members and the remuneration they received during the financial year"/>
      </w:tblPr>
      <w:tblGrid>
        <w:gridCol w:w="1781"/>
        <w:gridCol w:w="1781"/>
        <w:gridCol w:w="1788"/>
        <w:gridCol w:w="1827"/>
        <w:gridCol w:w="1839"/>
      </w:tblGrid>
      <w:tr w:rsidR="00E76895" w14:paraId="34AB9475" w14:textId="77777777" w:rsidTr="00CF1E5A">
        <w:tc>
          <w:tcPr>
            <w:tcW w:w="9242" w:type="dxa"/>
            <w:gridSpan w:val="5"/>
            <w:tcBorders>
              <w:bottom w:val="single" w:sz="4" w:space="0" w:color="D9D9D9" w:themeColor="background1" w:themeShade="D9"/>
            </w:tcBorders>
            <w:shd w:val="clear" w:color="auto" w:fill="3E5D57" w:themeFill="text2"/>
          </w:tcPr>
          <w:p w14:paraId="7A83FDC6" w14:textId="160A28E8" w:rsidR="00E76895" w:rsidRPr="00675E3E" w:rsidRDefault="00E76895" w:rsidP="009E75E3">
            <w:pPr>
              <w:keepLines w:val="0"/>
              <w:spacing w:before="120" w:after="120" w:line="240" w:lineRule="auto"/>
              <w:rPr>
                <w:b/>
                <w:color w:val="FFFFFF" w:themeColor="background1"/>
              </w:rPr>
            </w:pPr>
            <w:r w:rsidRPr="00675E3E">
              <w:rPr>
                <w:b/>
                <w:color w:val="FFFFFF" w:themeColor="background1"/>
              </w:rPr>
              <w:t xml:space="preserve">Table </w:t>
            </w:r>
            <w:r w:rsidR="00F73A0E" w:rsidRPr="00675E3E">
              <w:rPr>
                <w:b/>
                <w:color w:val="FFFFFF" w:themeColor="background1"/>
              </w:rPr>
              <w:t>3</w:t>
            </w:r>
            <w:r w:rsidR="009E75E3">
              <w:rPr>
                <w:b/>
                <w:color w:val="FFFFFF" w:themeColor="background1"/>
              </w:rPr>
              <w:t>3</w:t>
            </w:r>
            <w:r w:rsidRPr="00675E3E">
              <w:rPr>
                <w:b/>
                <w:color w:val="FFFFFF" w:themeColor="background1"/>
              </w:rPr>
              <w:t>: Costs Committee Remuneration</w:t>
            </w:r>
          </w:p>
        </w:tc>
      </w:tr>
      <w:tr w:rsidR="00E76895" w14:paraId="77C266E0" w14:textId="77777777" w:rsidTr="00CF1E5A">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356B2C57" w14:textId="77777777" w:rsidR="00E76895" w:rsidRPr="00675E3E" w:rsidRDefault="00E76895" w:rsidP="00E76895">
            <w:pPr>
              <w:keepLines w:val="0"/>
              <w:spacing w:before="120" w:after="120" w:line="240" w:lineRule="auto"/>
              <w:rPr>
                <w:b/>
              </w:rPr>
            </w:pPr>
            <w:r w:rsidRPr="00675E3E">
              <w:rPr>
                <w:b/>
              </w:rPr>
              <w:t>Position</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6B90C54B" w14:textId="77777777" w:rsidR="00E76895" w:rsidRPr="00675E3E" w:rsidRDefault="00E76895" w:rsidP="00E76895">
            <w:pPr>
              <w:keepLines w:val="0"/>
              <w:spacing w:before="120" w:after="120" w:line="240" w:lineRule="auto"/>
              <w:rPr>
                <w:b/>
              </w:rPr>
            </w:pPr>
            <w:r w:rsidRPr="00675E3E">
              <w:rPr>
                <w:b/>
              </w:rPr>
              <w:t>Name</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2BEDB739" w14:textId="77777777" w:rsidR="00E76895" w:rsidRPr="00675E3E" w:rsidRDefault="00E76895" w:rsidP="00E76895">
            <w:pPr>
              <w:keepLines w:val="0"/>
              <w:spacing w:before="120" w:after="120" w:line="240" w:lineRule="auto"/>
              <w:rPr>
                <w:b/>
              </w:rPr>
            </w:pPr>
            <w:r w:rsidRPr="00675E3E">
              <w:rPr>
                <w:b/>
              </w:rPr>
              <w:t>Schedule</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599ACB9D" w14:textId="77777777" w:rsidR="00E76895" w:rsidRPr="00675E3E" w:rsidRDefault="00E76895" w:rsidP="00E76895">
            <w:pPr>
              <w:keepLines w:val="0"/>
              <w:spacing w:before="120" w:after="120" w:line="240" w:lineRule="auto"/>
              <w:rPr>
                <w:b/>
              </w:rPr>
            </w:pPr>
            <w:r w:rsidRPr="00675E3E">
              <w:rPr>
                <w:b/>
              </w:rPr>
              <w:t>Period of membership</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228231EF" w14:textId="77777777" w:rsidR="00E76895" w:rsidRPr="00675E3E" w:rsidRDefault="00E76895" w:rsidP="00E76895">
            <w:pPr>
              <w:keepLines w:val="0"/>
              <w:spacing w:before="120" w:after="120" w:line="240" w:lineRule="auto"/>
              <w:rPr>
                <w:b/>
              </w:rPr>
            </w:pPr>
            <w:r w:rsidRPr="00675E3E">
              <w:rPr>
                <w:b/>
              </w:rPr>
              <w:t>Gross/actual remuneration</w:t>
            </w:r>
          </w:p>
        </w:tc>
      </w:tr>
      <w:tr w:rsidR="005A4B04" w14:paraId="60C2B443" w14:textId="77777777" w:rsidTr="00CF1E5A">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F1A365" w14:textId="77777777" w:rsidR="005A4B04" w:rsidRPr="00322929" w:rsidRDefault="005A4B04" w:rsidP="005A4B04">
            <w:pPr>
              <w:keepLines w:val="0"/>
              <w:spacing w:before="120" w:after="120" w:line="240" w:lineRule="auto"/>
            </w:pPr>
            <w:r w:rsidRPr="00322929">
              <w:t>Presiding member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165BFF" w14:textId="46DDC95C" w:rsidR="005A4B04" w:rsidRPr="00322929" w:rsidRDefault="005A4B04" w:rsidP="005A4B04">
            <w:pPr>
              <w:keepLines w:val="0"/>
              <w:spacing w:before="120" w:after="120" w:line="240" w:lineRule="auto"/>
            </w:pPr>
            <w:r w:rsidRPr="00322929">
              <w:t xml:space="preserve">Michelle Reynolds </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D3F451" w14:textId="77777777" w:rsidR="005A4B04" w:rsidRPr="00322929" w:rsidRDefault="005A4B04" w:rsidP="005A4B04">
            <w:pPr>
              <w:keepLines w:val="0"/>
              <w:spacing w:before="120" w:after="120" w:line="240" w:lineRule="auto"/>
            </w:pPr>
            <w:r w:rsidRPr="00322929">
              <w:t>Per meeting</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E50A77B" w14:textId="6067F8C7" w:rsidR="005A4B04" w:rsidRPr="00322929" w:rsidRDefault="005A4B04" w:rsidP="005A4B04">
            <w:pPr>
              <w:keepLines w:val="0"/>
              <w:spacing w:before="120" w:after="120" w:line="240" w:lineRule="auto"/>
            </w:pPr>
            <w:r w:rsidRPr="004A28CD">
              <w:t>Virtue of office</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3614A5" w14:textId="58B27DC7" w:rsidR="005A4B04" w:rsidRPr="00322929" w:rsidRDefault="005A4B04" w:rsidP="00A163FF">
            <w:pPr>
              <w:keepLines w:val="0"/>
              <w:spacing w:before="120" w:after="120" w:line="240" w:lineRule="auto"/>
              <w:jc w:val="right"/>
            </w:pPr>
            <w:r w:rsidRPr="00322929">
              <w:t>N/A</w:t>
            </w:r>
          </w:p>
        </w:tc>
      </w:tr>
      <w:tr w:rsidR="005A4B04" w14:paraId="04A8D191" w14:textId="77777777" w:rsidTr="00CF1E5A">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88A62A1" w14:textId="77777777" w:rsidR="005A4B04" w:rsidRPr="00322929" w:rsidRDefault="005A4B04" w:rsidP="005A4B04">
            <w:pPr>
              <w:keepLines w:val="0"/>
              <w:spacing w:before="120" w:after="120" w:line="240" w:lineRule="auto"/>
            </w:pPr>
            <w:r w:rsidRPr="00322929">
              <w:t>Member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FF690BB" w14:textId="77777777" w:rsidR="005A4B04" w:rsidRPr="00322929" w:rsidRDefault="005A4B04" w:rsidP="005A4B04">
            <w:pPr>
              <w:keepLines w:val="0"/>
              <w:spacing w:before="120" w:after="120" w:line="240" w:lineRule="auto"/>
            </w:pPr>
            <w:r w:rsidRPr="00322929">
              <w:t>Karin Lee</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11B3266" w14:textId="77777777" w:rsidR="005A4B04" w:rsidRPr="00322929" w:rsidRDefault="005A4B04" w:rsidP="005A4B04">
            <w:pPr>
              <w:keepLines w:val="0"/>
              <w:spacing w:before="120" w:after="120" w:line="240" w:lineRule="auto"/>
            </w:pPr>
            <w:r w:rsidRPr="00322929">
              <w:t>Per meeting</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692C13" w14:textId="4E82F39B" w:rsidR="005A4B04" w:rsidRPr="00322929" w:rsidRDefault="005A4B04" w:rsidP="005A4B04">
            <w:pPr>
              <w:spacing w:before="120" w:after="120"/>
            </w:pPr>
            <w:r w:rsidRPr="004A28CD">
              <w:t>Virtue of office</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CCCB781" w14:textId="52901428" w:rsidR="005A4B04" w:rsidRPr="00322929" w:rsidRDefault="005A4B04" w:rsidP="00A163FF">
            <w:pPr>
              <w:spacing w:before="120" w:after="120"/>
              <w:jc w:val="right"/>
            </w:pPr>
            <w:r w:rsidRPr="00322929">
              <w:t>$1080</w:t>
            </w:r>
          </w:p>
        </w:tc>
      </w:tr>
      <w:tr w:rsidR="00831207" w14:paraId="54376FE7" w14:textId="77777777" w:rsidTr="00CF1E5A">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7C6B56" w14:textId="77777777" w:rsidR="00831207" w:rsidRPr="00322929" w:rsidRDefault="00831207" w:rsidP="00831207">
            <w:pPr>
              <w:keepLines w:val="0"/>
              <w:spacing w:before="120" w:after="120" w:line="240" w:lineRule="auto"/>
            </w:pPr>
            <w:r w:rsidRPr="00322929">
              <w:t>Member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F2E9CE8" w14:textId="77777777" w:rsidR="00831207" w:rsidRPr="00322929" w:rsidRDefault="00831207" w:rsidP="00831207">
            <w:pPr>
              <w:keepLines w:val="0"/>
              <w:spacing w:before="120" w:after="120" w:line="240" w:lineRule="auto"/>
            </w:pPr>
            <w:r w:rsidRPr="00322929">
              <w:t>Marcus Cocker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A4641E1" w14:textId="77777777" w:rsidR="00831207" w:rsidRPr="00322929" w:rsidRDefault="00831207" w:rsidP="00831207">
            <w:pPr>
              <w:keepLines w:val="0"/>
              <w:spacing w:before="120" w:after="120" w:line="240" w:lineRule="auto"/>
            </w:pPr>
            <w:r w:rsidRPr="00322929">
              <w:t>Per meeting</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45A272A" w14:textId="301F5C39" w:rsidR="00831207" w:rsidRPr="00322929" w:rsidRDefault="0063623C" w:rsidP="00322929">
            <w:pPr>
              <w:spacing w:before="120" w:after="120"/>
            </w:pPr>
            <w:r>
              <w:t xml:space="preserve">01/03/09 to </w:t>
            </w:r>
            <w:r w:rsidR="00322929" w:rsidRPr="00322929">
              <w:t>01/10/16</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19D223E" w14:textId="7C622CB4" w:rsidR="00831207" w:rsidRPr="00322929" w:rsidRDefault="00675E3E" w:rsidP="00A163FF">
            <w:pPr>
              <w:spacing w:before="120" w:after="120"/>
              <w:jc w:val="right"/>
            </w:pPr>
            <w:r w:rsidRPr="00322929">
              <w:t>$910</w:t>
            </w:r>
          </w:p>
        </w:tc>
      </w:tr>
      <w:tr w:rsidR="00831207" w14:paraId="73961184" w14:textId="77777777" w:rsidTr="00CF1E5A">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DCCC06A" w14:textId="77777777" w:rsidR="00831207" w:rsidRPr="00322929" w:rsidRDefault="00831207" w:rsidP="00831207">
            <w:pPr>
              <w:keepLines w:val="0"/>
              <w:spacing w:before="120" w:after="120" w:line="240" w:lineRule="auto"/>
            </w:pPr>
            <w:r w:rsidRPr="00322929">
              <w:t>Member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FE97FE" w14:textId="77777777" w:rsidR="00831207" w:rsidRPr="00322929" w:rsidRDefault="00831207" w:rsidP="00831207">
            <w:pPr>
              <w:keepLines w:val="0"/>
              <w:spacing w:before="120" w:after="120" w:line="240" w:lineRule="auto"/>
            </w:pPr>
            <w:r w:rsidRPr="00322929">
              <w:t>David Bruns</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C19E448" w14:textId="77777777" w:rsidR="00831207" w:rsidRPr="00322929" w:rsidRDefault="00831207" w:rsidP="00831207">
            <w:pPr>
              <w:keepLines w:val="0"/>
              <w:spacing w:before="120" w:after="120" w:line="240" w:lineRule="auto"/>
            </w:pPr>
            <w:r w:rsidRPr="00322929">
              <w:t>Per meeting</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578568" w14:textId="7C21CE70" w:rsidR="00831207" w:rsidRPr="00322929" w:rsidRDefault="0063623C" w:rsidP="00322929">
            <w:pPr>
              <w:spacing w:before="120" w:after="120"/>
            </w:pPr>
            <w:r>
              <w:t>01/08/09 to</w:t>
            </w:r>
            <w:r w:rsidR="00322929" w:rsidRPr="00322929">
              <w:t xml:space="preserve"> 01/10/16</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0A5CC2A" w14:textId="5BA622A0" w:rsidR="00831207" w:rsidRPr="00322929" w:rsidRDefault="00675E3E" w:rsidP="00A163FF">
            <w:pPr>
              <w:spacing w:before="120" w:after="120"/>
              <w:jc w:val="right"/>
            </w:pPr>
            <w:r w:rsidRPr="00322929">
              <w:t>$739.20</w:t>
            </w:r>
          </w:p>
        </w:tc>
      </w:tr>
      <w:tr w:rsidR="00E76895" w14:paraId="2205A44A" w14:textId="77777777" w:rsidTr="00CF1E5A">
        <w:tc>
          <w:tcPr>
            <w:tcW w:w="7393"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5F2ADFE0" w14:textId="77777777" w:rsidR="00E76895" w:rsidRPr="00675E3E" w:rsidRDefault="00E76895" w:rsidP="00E76895">
            <w:pPr>
              <w:spacing w:before="120" w:after="120"/>
              <w:jc w:val="right"/>
              <w:rPr>
                <w:rFonts w:eastAsiaTheme="majorEastAsia"/>
                <w:b/>
              </w:rPr>
            </w:pPr>
            <w:r w:rsidRPr="00675E3E">
              <w:rPr>
                <w:rFonts w:eastAsiaTheme="majorEastAsia"/>
                <w:b/>
              </w:rPr>
              <w:t>Total</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0ADB818D" w14:textId="1FACF68F" w:rsidR="00E76895" w:rsidRPr="00675E3E" w:rsidRDefault="00E76895" w:rsidP="00A163FF">
            <w:pPr>
              <w:spacing w:before="120" w:after="120"/>
              <w:jc w:val="right"/>
              <w:rPr>
                <w:b/>
              </w:rPr>
            </w:pPr>
            <w:r w:rsidRPr="00675E3E">
              <w:rPr>
                <w:b/>
              </w:rPr>
              <w:t>$</w:t>
            </w:r>
            <w:r w:rsidR="00675E3E" w:rsidRPr="00675E3E">
              <w:rPr>
                <w:b/>
              </w:rPr>
              <w:t>2,729.20</w:t>
            </w:r>
          </w:p>
        </w:tc>
      </w:tr>
    </w:tbl>
    <w:p w14:paraId="38CF2EFD" w14:textId="69F58F62" w:rsidR="00E22526" w:rsidRDefault="00E22526">
      <w:pPr>
        <w:keepLines w:val="0"/>
        <w:spacing w:after="0" w:line="240" w:lineRule="auto"/>
        <w:rPr>
          <w:rFonts w:ascii="Verdana" w:hAnsi="Verdana" w:cs="Arial"/>
          <w:b/>
          <w:bCs/>
          <w:color w:val="86731E" w:themeColor="text1"/>
          <w:szCs w:val="20"/>
        </w:rPr>
      </w:pPr>
    </w:p>
    <w:p w14:paraId="0C8A81C4" w14:textId="77777777" w:rsidR="00E22526" w:rsidRDefault="00E22526">
      <w:pPr>
        <w:keepLines w:val="0"/>
        <w:spacing w:after="0" w:line="240" w:lineRule="auto"/>
        <w:rPr>
          <w:rFonts w:ascii="Verdana" w:hAnsi="Verdana" w:cs="Arial"/>
          <w:b/>
          <w:bCs/>
          <w:color w:val="86731E" w:themeColor="text1"/>
          <w:szCs w:val="20"/>
        </w:rPr>
      </w:pPr>
      <w:r>
        <w:rPr>
          <w:rFonts w:ascii="Verdana" w:hAnsi="Verdana" w:cs="Arial"/>
          <w:b/>
          <w:bCs/>
          <w:color w:val="86731E" w:themeColor="text1"/>
          <w:szCs w:val="20"/>
        </w:rPr>
        <w:br w:type="page"/>
      </w:r>
    </w:p>
    <w:p w14:paraId="7F4A77CC" w14:textId="77777777" w:rsidR="00E76895" w:rsidRDefault="00E76895" w:rsidP="00E76895">
      <w:pPr>
        <w:pStyle w:val="Heading3nonumber"/>
        <w:spacing w:after="240"/>
      </w:pPr>
      <w:bookmarkStart w:id="484" w:name="_Toc426617575"/>
      <w:bookmarkStart w:id="485" w:name="_Toc430091305"/>
      <w:r>
        <w:lastRenderedPageBreak/>
        <w:t>Medical Committee</w:t>
      </w:r>
      <w:bookmarkEnd w:id="484"/>
      <w:bookmarkEnd w:id="485"/>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34 Medical Committee Remuneration"/>
        <w:tblDescription w:val="Table 34 details the medical committee members and the remuneration they received during the financial year"/>
      </w:tblPr>
      <w:tblGrid>
        <w:gridCol w:w="1766"/>
        <w:gridCol w:w="1809"/>
        <w:gridCol w:w="1780"/>
        <w:gridCol w:w="1824"/>
        <w:gridCol w:w="1837"/>
      </w:tblGrid>
      <w:tr w:rsidR="006F296F" w14:paraId="264A2378" w14:textId="77777777" w:rsidTr="003A4AAA">
        <w:tc>
          <w:tcPr>
            <w:tcW w:w="9242" w:type="dxa"/>
            <w:gridSpan w:val="5"/>
            <w:tcBorders>
              <w:bottom w:val="single" w:sz="4" w:space="0" w:color="D9D9D9" w:themeColor="background1" w:themeShade="D9"/>
            </w:tcBorders>
            <w:shd w:val="clear" w:color="auto" w:fill="3E5D57" w:themeFill="text2"/>
          </w:tcPr>
          <w:p w14:paraId="66E2CFC8" w14:textId="2C4E8A41" w:rsidR="006F296F" w:rsidRPr="00E76895" w:rsidRDefault="006F296F" w:rsidP="009E75E3">
            <w:pPr>
              <w:keepLines w:val="0"/>
              <w:spacing w:before="120" w:after="120" w:line="240" w:lineRule="auto"/>
              <w:rPr>
                <w:b/>
                <w:color w:val="FFFFFF" w:themeColor="background1"/>
              </w:rPr>
            </w:pPr>
            <w:r w:rsidRPr="00E76895">
              <w:rPr>
                <w:b/>
                <w:color w:val="FFFFFF" w:themeColor="background1"/>
              </w:rPr>
              <w:t xml:space="preserve">Table </w:t>
            </w:r>
            <w:r w:rsidR="00F65E4D" w:rsidRPr="00F65E4D">
              <w:rPr>
                <w:b/>
                <w:color w:val="FFFFFF" w:themeColor="background1"/>
              </w:rPr>
              <w:t>3</w:t>
            </w:r>
            <w:r w:rsidR="009E75E3">
              <w:rPr>
                <w:b/>
                <w:color w:val="FFFFFF" w:themeColor="background1"/>
              </w:rPr>
              <w:t>4</w:t>
            </w:r>
            <w:r w:rsidRPr="00F65E4D">
              <w:rPr>
                <w:b/>
                <w:color w:val="FFFFFF" w:themeColor="background1"/>
              </w:rPr>
              <w:t>:</w:t>
            </w:r>
            <w:r w:rsidRPr="00E76895">
              <w:rPr>
                <w:b/>
                <w:color w:val="FFFFFF" w:themeColor="background1"/>
              </w:rPr>
              <w:t xml:space="preserve"> </w:t>
            </w:r>
            <w:r>
              <w:rPr>
                <w:b/>
                <w:color w:val="FFFFFF" w:themeColor="background1"/>
              </w:rPr>
              <w:t>Medical</w:t>
            </w:r>
            <w:r w:rsidRPr="00E76895">
              <w:rPr>
                <w:b/>
                <w:color w:val="FFFFFF" w:themeColor="background1"/>
              </w:rPr>
              <w:t xml:space="preserve"> Committee Remuneration</w:t>
            </w:r>
          </w:p>
        </w:tc>
      </w:tr>
      <w:tr w:rsidR="006F296F" w14:paraId="6CEBFF6E" w14:textId="77777777" w:rsidTr="003A4AAA">
        <w:trPr>
          <w:trHeight w:val="900"/>
        </w:trPr>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053F7715" w14:textId="77777777" w:rsidR="006F296F" w:rsidRPr="00E76895" w:rsidRDefault="006F296F" w:rsidP="008A4F8E">
            <w:pPr>
              <w:keepLines w:val="0"/>
              <w:spacing w:before="120" w:after="120" w:line="240" w:lineRule="auto"/>
              <w:rPr>
                <w:b/>
              </w:rPr>
            </w:pPr>
            <w:r w:rsidRPr="00E76895">
              <w:rPr>
                <w:b/>
              </w:rPr>
              <w:t>Position</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6EC814DA" w14:textId="77777777" w:rsidR="006F296F" w:rsidRPr="00E76895" w:rsidRDefault="006F296F" w:rsidP="008A4F8E">
            <w:pPr>
              <w:keepLines w:val="0"/>
              <w:spacing w:before="120" w:after="120" w:line="240" w:lineRule="auto"/>
              <w:rPr>
                <w:b/>
              </w:rPr>
            </w:pPr>
            <w:r w:rsidRPr="00E76895">
              <w:rPr>
                <w:b/>
              </w:rPr>
              <w:t>Name</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0CD4E031" w14:textId="77777777" w:rsidR="006F296F" w:rsidRPr="00E76895" w:rsidRDefault="006F296F" w:rsidP="008A4F8E">
            <w:pPr>
              <w:keepLines w:val="0"/>
              <w:spacing w:before="120" w:after="120" w:line="240" w:lineRule="auto"/>
              <w:rPr>
                <w:b/>
              </w:rPr>
            </w:pPr>
            <w:r w:rsidRPr="00E76895">
              <w:rPr>
                <w:b/>
              </w:rPr>
              <w:t>Schedule</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5DA967FA" w14:textId="77777777" w:rsidR="006F296F" w:rsidRPr="00E76895" w:rsidRDefault="006F296F" w:rsidP="008A4F8E">
            <w:pPr>
              <w:keepLines w:val="0"/>
              <w:spacing w:before="120" w:after="120" w:line="240" w:lineRule="auto"/>
              <w:rPr>
                <w:b/>
              </w:rPr>
            </w:pPr>
            <w:r w:rsidRPr="00E76895">
              <w:rPr>
                <w:b/>
              </w:rPr>
              <w:t>Period of membership</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4706DA28" w14:textId="77777777" w:rsidR="006F296F" w:rsidRPr="00E76895" w:rsidRDefault="006F296F" w:rsidP="008A4F8E">
            <w:pPr>
              <w:keepLines w:val="0"/>
              <w:spacing w:before="120" w:after="120" w:line="240" w:lineRule="auto"/>
              <w:rPr>
                <w:b/>
              </w:rPr>
            </w:pPr>
            <w:r w:rsidRPr="00E76895">
              <w:rPr>
                <w:b/>
              </w:rPr>
              <w:t>Gross/actual remuneration</w:t>
            </w:r>
          </w:p>
        </w:tc>
      </w:tr>
      <w:tr w:rsidR="006F296F" w14:paraId="7CD584D7" w14:textId="77777777" w:rsidTr="003A4AAA">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B30311" w14:textId="77777777" w:rsidR="006F296F" w:rsidRPr="0072391B" w:rsidRDefault="006F296F" w:rsidP="006F296F">
            <w:r w:rsidRPr="0072391B">
              <w:t>Chair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289706D" w14:textId="536B2B3A" w:rsidR="006F296F" w:rsidRPr="0072391B" w:rsidRDefault="0017106B" w:rsidP="006F296F">
            <w:r>
              <w:rPr>
                <w:rStyle w:val="Strong"/>
                <w:b w:val="0"/>
              </w:rPr>
              <w:t>Chris White* (*</w:t>
            </w:r>
            <w:r w:rsidR="006F296F" w:rsidRPr="0072391B">
              <w:rPr>
                <w:rStyle w:val="Strong"/>
                <w:b w:val="0"/>
              </w:rPr>
              <w:t>Michelle Reynolds on secondment to DPC)</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AAE9D9" w14:textId="77777777" w:rsidR="006F296F" w:rsidRPr="0072391B" w:rsidRDefault="006F296F" w:rsidP="006F296F">
            <w:r w:rsidRPr="0072391B">
              <w:rPr>
                <w:rStyle w:val="Strong"/>
                <w:b w:val="0"/>
              </w:rPr>
              <w:t>N/A – Public Service</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0DA2B63" w14:textId="6AE2BE92" w:rsidR="006F296F" w:rsidRPr="0072391B" w:rsidRDefault="00014BD3" w:rsidP="006F296F">
            <w:r w:rsidRPr="0072391B">
              <w:t>Virtue of Office</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CBF2AB0" w14:textId="0F4CFE6A" w:rsidR="006F296F" w:rsidRPr="0072391B" w:rsidRDefault="00014BD3" w:rsidP="00A163FF">
            <w:pPr>
              <w:jc w:val="right"/>
            </w:pPr>
            <w:r w:rsidRPr="0072391B">
              <w:t>N/A</w:t>
            </w:r>
          </w:p>
        </w:tc>
      </w:tr>
      <w:tr w:rsidR="00831207" w14:paraId="6713589B" w14:textId="77777777" w:rsidTr="003A4AAA">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6562351" w14:textId="77777777" w:rsidR="00831207" w:rsidRPr="0072391B" w:rsidRDefault="00831207" w:rsidP="00831207">
            <w:r w:rsidRPr="0072391B">
              <w:t>Member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195B3F7" w14:textId="77777777" w:rsidR="00831207" w:rsidRPr="0072391B" w:rsidRDefault="00831207" w:rsidP="00831207">
            <w:r w:rsidRPr="0072391B">
              <w:rPr>
                <w:rFonts w:cs="Arial"/>
              </w:rPr>
              <w:t>Dr Marcus Adonis</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25E6E4" w14:textId="77777777" w:rsidR="00831207" w:rsidRPr="0072391B" w:rsidRDefault="00831207" w:rsidP="00831207">
            <w:r w:rsidRPr="0072391B">
              <w:t>Per meeting</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417A2B5" w14:textId="24A0656A" w:rsidR="00831207" w:rsidRPr="0072391B" w:rsidRDefault="00014BD3" w:rsidP="00831207">
            <w:r w:rsidRPr="0072391B">
              <w:t>15/10/2014 to 14/10/2017</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9C9A032" w14:textId="226636EA" w:rsidR="00831207" w:rsidRPr="0072391B" w:rsidRDefault="00014BD3" w:rsidP="00A163FF">
            <w:pPr>
              <w:jc w:val="right"/>
            </w:pPr>
            <w:r w:rsidRPr="0072391B">
              <w:t>$740</w:t>
            </w:r>
          </w:p>
        </w:tc>
      </w:tr>
      <w:tr w:rsidR="00831207" w14:paraId="4661B008" w14:textId="77777777" w:rsidTr="003A4AAA">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C3B2638" w14:textId="77777777" w:rsidR="00831207" w:rsidRPr="0072391B" w:rsidRDefault="00831207" w:rsidP="00831207">
            <w:r w:rsidRPr="0072391B">
              <w:t>Member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363279" w14:textId="77777777" w:rsidR="00831207" w:rsidRPr="0072391B" w:rsidRDefault="00831207" w:rsidP="00831207">
            <w:r w:rsidRPr="0072391B">
              <w:rPr>
                <w:rFonts w:cs="Arial"/>
              </w:rPr>
              <w:t>Dr Heather Campbell</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3B16D0" w14:textId="77777777" w:rsidR="00831207" w:rsidRPr="0072391B" w:rsidRDefault="00831207" w:rsidP="00831207">
            <w:r w:rsidRPr="0072391B">
              <w:t>Per meeting</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E6EEA5" w14:textId="5FBC9B95" w:rsidR="00831207" w:rsidRPr="0072391B" w:rsidRDefault="00014BD3" w:rsidP="00831207">
            <w:r w:rsidRPr="0072391B">
              <w:t>15/10/2014 to 14/10/2017</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55E1BEA" w14:textId="17D20111" w:rsidR="00831207" w:rsidRPr="0072391B" w:rsidRDefault="00014BD3" w:rsidP="00A163FF">
            <w:pPr>
              <w:jc w:val="right"/>
            </w:pPr>
            <w:r w:rsidRPr="0072391B">
              <w:t>$370</w:t>
            </w:r>
          </w:p>
        </w:tc>
      </w:tr>
      <w:tr w:rsidR="00831207" w14:paraId="707D2A34" w14:textId="77777777" w:rsidTr="003A4AAA">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CAAFC72" w14:textId="77777777" w:rsidR="00831207" w:rsidRPr="0072391B" w:rsidRDefault="00831207" w:rsidP="00831207">
            <w:r w:rsidRPr="0072391B">
              <w:t>Member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6A37D94" w14:textId="77777777" w:rsidR="00831207" w:rsidRPr="0072391B" w:rsidRDefault="00831207" w:rsidP="00831207">
            <w:r w:rsidRPr="0072391B">
              <w:rPr>
                <w:rFonts w:cs="Arial"/>
              </w:rPr>
              <w:t>Dr Alan Home</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155A47" w14:textId="77777777" w:rsidR="00831207" w:rsidRPr="0072391B" w:rsidRDefault="00831207" w:rsidP="00831207">
            <w:r w:rsidRPr="0072391B">
              <w:t>Per meeting</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3352286" w14:textId="1CF03644" w:rsidR="00831207" w:rsidRPr="0072391B" w:rsidRDefault="00014BD3" w:rsidP="00831207">
            <w:r w:rsidRPr="0072391B">
              <w:t>15/10/2014 to 14/10/2017</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87A2228" w14:textId="75F58216" w:rsidR="00831207" w:rsidRPr="0072391B" w:rsidRDefault="00014BD3" w:rsidP="00A163FF">
            <w:pPr>
              <w:jc w:val="right"/>
            </w:pPr>
            <w:r w:rsidRPr="0072391B">
              <w:t>$740</w:t>
            </w:r>
          </w:p>
        </w:tc>
      </w:tr>
      <w:tr w:rsidR="00831207" w14:paraId="2B218EF7" w14:textId="77777777" w:rsidTr="003A4AAA">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C8FD49" w14:textId="77777777" w:rsidR="00831207" w:rsidRPr="0072391B" w:rsidRDefault="00831207" w:rsidP="00831207">
            <w:r w:rsidRPr="0072391B">
              <w:t>Member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5A99EAE" w14:textId="77777777" w:rsidR="00831207" w:rsidRPr="0072391B" w:rsidRDefault="00831207" w:rsidP="00831207">
            <w:r w:rsidRPr="0072391B">
              <w:rPr>
                <w:rFonts w:cs="Arial"/>
              </w:rPr>
              <w:t>Dr Neil Ozanne</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3945CA" w14:textId="77777777" w:rsidR="00831207" w:rsidRPr="0072391B" w:rsidRDefault="00831207" w:rsidP="00831207">
            <w:r w:rsidRPr="0072391B">
              <w:t>Per meeting</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372249" w14:textId="16405996" w:rsidR="00831207" w:rsidRPr="0072391B" w:rsidRDefault="00014BD3" w:rsidP="00831207">
            <w:r w:rsidRPr="0072391B">
              <w:t>15/10/2014 to 14/10/2017</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D2B246E" w14:textId="03187DBE" w:rsidR="00831207" w:rsidRPr="0072391B" w:rsidRDefault="00014BD3" w:rsidP="00A163FF">
            <w:pPr>
              <w:jc w:val="right"/>
            </w:pPr>
            <w:r w:rsidRPr="0072391B">
              <w:t>$740</w:t>
            </w:r>
          </w:p>
        </w:tc>
      </w:tr>
      <w:tr w:rsidR="00831207" w14:paraId="0A6EE6AD" w14:textId="77777777" w:rsidTr="003A4AAA">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1766F13" w14:textId="77777777" w:rsidR="00831207" w:rsidRPr="0072391B" w:rsidRDefault="00831207" w:rsidP="00831207">
            <w:r w:rsidRPr="0072391B">
              <w:t>Member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900178" w14:textId="20F1DF24" w:rsidR="00831207" w:rsidRPr="0072391B" w:rsidRDefault="007603F0" w:rsidP="00831207">
            <w:r w:rsidRPr="0072391B">
              <w:rPr>
                <w:rFonts w:cs="Arial"/>
              </w:rPr>
              <w:t xml:space="preserve">Mr </w:t>
            </w:r>
            <w:r w:rsidR="00831207" w:rsidRPr="0072391B">
              <w:rPr>
                <w:rFonts w:cs="Arial"/>
              </w:rPr>
              <w:t>David Colvin</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954311" w14:textId="77777777" w:rsidR="00831207" w:rsidRPr="0072391B" w:rsidRDefault="00831207" w:rsidP="00831207">
            <w:r w:rsidRPr="0072391B">
              <w:t>Per meeting</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B3AC15B" w14:textId="3301BF48" w:rsidR="00831207" w:rsidRPr="0072391B" w:rsidRDefault="00014BD3" w:rsidP="00831207">
            <w:r w:rsidRPr="0072391B">
              <w:t>15/10/2014 to 14/10/2017</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18CCA0" w14:textId="575A71F8" w:rsidR="00831207" w:rsidRPr="0072391B" w:rsidRDefault="00014BD3" w:rsidP="00A163FF">
            <w:pPr>
              <w:jc w:val="right"/>
            </w:pPr>
            <w:r w:rsidRPr="0072391B">
              <w:t>$0 (Mr Colvin elected not to receive sitting fees)</w:t>
            </w:r>
          </w:p>
        </w:tc>
      </w:tr>
      <w:tr w:rsidR="00831207" w14:paraId="34E9F416" w14:textId="77777777" w:rsidTr="003A4AAA">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943870" w14:textId="77777777" w:rsidR="00831207" w:rsidRPr="0072391B" w:rsidRDefault="00831207" w:rsidP="00831207">
            <w:r w:rsidRPr="0072391B">
              <w:t>Member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046065D" w14:textId="7A0A2C2F" w:rsidR="00831207" w:rsidRPr="0072391B" w:rsidRDefault="007603F0" w:rsidP="00831207">
            <w:r w:rsidRPr="0072391B">
              <w:rPr>
                <w:rFonts w:cs="Arial"/>
              </w:rPr>
              <w:t xml:space="preserve">Mr </w:t>
            </w:r>
            <w:r w:rsidR="00831207" w:rsidRPr="0072391B">
              <w:rPr>
                <w:rFonts w:cs="Arial"/>
              </w:rPr>
              <w:t>Paul Taylor</w:t>
            </w:r>
          </w:p>
        </w:tc>
        <w:tc>
          <w:tcPr>
            <w:tcW w:w="18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96F0A47" w14:textId="77777777" w:rsidR="00831207" w:rsidRPr="0072391B" w:rsidRDefault="00831207" w:rsidP="00831207">
            <w:r w:rsidRPr="0072391B">
              <w:t>Per meeting</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3EA4699" w14:textId="0C0D9B30" w:rsidR="00831207" w:rsidRPr="0072391B" w:rsidRDefault="00014BD3" w:rsidP="00831207">
            <w:r w:rsidRPr="0072391B">
              <w:t>15/10/2014 to 14/10/2017</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DA31859" w14:textId="4DF28586" w:rsidR="00831207" w:rsidRPr="0072391B" w:rsidRDefault="00014BD3" w:rsidP="00A163FF">
            <w:pPr>
              <w:jc w:val="right"/>
            </w:pPr>
            <w:r w:rsidRPr="0072391B">
              <w:t>$370</w:t>
            </w:r>
          </w:p>
        </w:tc>
      </w:tr>
      <w:tr w:rsidR="006F296F" w14:paraId="1296D1C1" w14:textId="77777777" w:rsidTr="003A4AAA">
        <w:tc>
          <w:tcPr>
            <w:tcW w:w="7393"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208233CA" w14:textId="77777777" w:rsidR="006F296F" w:rsidRPr="000203FE" w:rsidRDefault="006F296F" w:rsidP="008A4F8E">
            <w:pPr>
              <w:spacing w:before="120" w:after="120"/>
              <w:jc w:val="right"/>
              <w:rPr>
                <w:rStyle w:val="Strong"/>
                <w:rFonts w:eastAsiaTheme="majorEastAsia"/>
              </w:rPr>
            </w:pPr>
            <w:r w:rsidRPr="000203FE">
              <w:rPr>
                <w:rStyle w:val="Strong"/>
                <w:rFonts w:eastAsiaTheme="majorEastAsia"/>
              </w:rPr>
              <w:t>Total</w:t>
            </w:r>
          </w:p>
        </w:tc>
        <w:tc>
          <w:tcPr>
            <w:tcW w:w="18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4E2DF" w:themeFill="text2" w:themeFillTint="33"/>
          </w:tcPr>
          <w:p w14:paraId="3E09A1F4" w14:textId="4CC25C44" w:rsidR="006F296F" w:rsidRPr="000203FE" w:rsidRDefault="006F296F" w:rsidP="00A163FF">
            <w:pPr>
              <w:spacing w:before="120" w:after="120"/>
              <w:jc w:val="right"/>
              <w:rPr>
                <w:rStyle w:val="Strong"/>
              </w:rPr>
            </w:pPr>
            <w:r w:rsidRPr="000203FE">
              <w:rPr>
                <w:rStyle w:val="Strong"/>
              </w:rPr>
              <w:t>$</w:t>
            </w:r>
            <w:r w:rsidR="00014BD3" w:rsidRPr="000203FE">
              <w:rPr>
                <w:rStyle w:val="Strong"/>
              </w:rPr>
              <w:t>2,960</w:t>
            </w:r>
          </w:p>
        </w:tc>
      </w:tr>
    </w:tbl>
    <w:p w14:paraId="07372729" w14:textId="071EB3FB" w:rsidR="00E22526" w:rsidRDefault="00E22526">
      <w:pPr>
        <w:keepLines w:val="0"/>
        <w:spacing w:after="0" w:line="240" w:lineRule="auto"/>
        <w:rPr>
          <w:rFonts w:eastAsiaTheme="majorEastAsia" w:cs="Arial"/>
          <w:b/>
          <w:bCs/>
          <w:iCs/>
          <w:color w:val="205352"/>
          <w:sz w:val="30"/>
          <w:szCs w:val="30"/>
        </w:rPr>
      </w:pPr>
      <w:bookmarkStart w:id="486" w:name="_Toc399317032"/>
    </w:p>
    <w:p w14:paraId="3FEB4A3F" w14:textId="77777777" w:rsidR="00E22526" w:rsidRDefault="00E22526">
      <w:pPr>
        <w:keepLines w:val="0"/>
        <w:spacing w:after="0" w:line="240" w:lineRule="auto"/>
        <w:rPr>
          <w:rFonts w:eastAsiaTheme="majorEastAsia" w:cs="Arial"/>
          <w:b/>
          <w:bCs/>
          <w:iCs/>
          <w:color w:val="205352"/>
          <w:sz w:val="30"/>
          <w:szCs w:val="30"/>
        </w:rPr>
      </w:pPr>
      <w:r>
        <w:rPr>
          <w:rFonts w:eastAsiaTheme="majorEastAsia" w:cs="Arial"/>
          <w:b/>
          <w:bCs/>
          <w:iCs/>
          <w:color w:val="205352"/>
          <w:sz w:val="30"/>
          <w:szCs w:val="30"/>
        </w:rPr>
        <w:br w:type="page"/>
      </w:r>
    </w:p>
    <w:p w14:paraId="69E5FE33" w14:textId="77777777" w:rsidR="00B95A79" w:rsidRDefault="00B95A79" w:rsidP="00E27DE7">
      <w:pPr>
        <w:pStyle w:val="Heading2nonumber"/>
      </w:pPr>
      <w:bookmarkStart w:id="487" w:name="_Toc426617576"/>
      <w:bookmarkStart w:id="488" w:name="_Toc430091306"/>
      <w:r>
        <w:lastRenderedPageBreak/>
        <w:t>Capital works projects</w:t>
      </w:r>
      <w:bookmarkEnd w:id="486"/>
      <w:bookmarkEnd w:id="487"/>
      <w:bookmarkEnd w:id="488"/>
      <w:r>
        <w:t xml:space="preserve"> </w:t>
      </w:r>
    </w:p>
    <w:p w14:paraId="71D0CB01" w14:textId="0EFB58D0" w:rsidR="006F296F" w:rsidRPr="00EB6F91" w:rsidRDefault="00C726B0" w:rsidP="001A4B16">
      <w:r>
        <w:t>WorkCover WA</w:t>
      </w:r>
      <w:r w:rsidR="006F296F">
        <w:t>’s expenditure on capital works for 2014/15 is captured in the table below.</w:t>
      </w:r>
    </w:p>
    <w:tbl>
      <w:tblPr>
        <w:tblW w:w="9044"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Caption w:val="Table 35 2014/15 expenditure"/>
        <w:tblDescription w:val="Table 35 details capital works project expenditure"/>
      </w:tblPr>
      <w:tblGrid>
        <w:gridCol w:w="5812"/>
        <w:gridCol w:w="1559"/>
        <w:gridCol w:w="1673"/>
      </w:tblGrid>
      <w:tr w:rsidR="00E01AE3" w:rsidRPr="00B65339" w14:paraId="5A7E3BDF" w14:textId="77777777" w:rsidTr="009A4532">
        <w:trPr>
          <w:trHeight w:val="312"/>
        </w:trPr>
        <w:tc>
          <w:tcPr>
            <w:tcW w:w="9044" w:type="dxa"/>
            <w:gridSpan w:val="3"/>
            <w:tcBorders>
              <w:top w:val="nil"/>
              <w:left w:val="nil"/>
              <w:bottom w:val="nil"/>
              <w:right w:val="nil"/>
            </w:tcBorders>
            <w:shd w:val="clear" w:color="auto" w:fill="2D4541" w:themeFill="accent2"/>
            <w:tcMar>
              <w:top w:w="170" w:type="dxa"/>
              <w:left w:w="113" w:type="dxa"/>
              <w:bottom w:w="170" w:type="dxa"/>
              <w:right w:w="113" w:type="dxa"/>
            </w:tcMar>
            <w:vAlign w:val="center"/>
          </w:tcPr>
          <w:p w14:paraId="7208E676" w14:textId="6236F939" w:rsidR="00E01AE3" w:rsidRPr="0044251E" w:rsidRDefault="00E01AE3" w:rsidP="00CF6395">
            <w:pPr>
              <w:rPr>
                <w:rStyle w:val="Strong"/>
              </w:rPr>
            </w:pPr>
            <w:r w:rsidRPr="00F73A0E">
              <w:rPr>
                <w:rStyle w:val="Strong"/>
                <w:color w:val="FFFFFF" w:themeColor="background1"/>
              </w:rPr>
              <w:t xml:space="preserve">Table </w:t>
            </w:r>
            <w:r w:rsidR="009E75E3">
              <w:rPr>
                <w:rStyle w:val="Strong"/>
                <w:color w:val="FFFFFF" w:themeColor="background1"/>
              </w:rPr>
              <w:t>35</w:t>
            </w:r>
            <w:r w:rsidR="006F296F">
              <w:rPr>
                <w:rStyle w:val="Strong"/>
                <w:color w:val="FFFFFF" w:themeColor="background1"/>
              </w:rPr>
              <w:t>: 2014/15</w:t>
            </w:r>
            <w:r w:rsidRPr="00F84279">
              <w:rPr>
                <w:rStyle w:val="Strong"/>
                <w:color w:val="FFFFFF" w:themeColor="background1"/>
              </w:rPr>
              <w:t xml:space="preserve"> Expenditures </w:t>
            </w:r>
          </w:p>
        </w:tc>
      </w:tr>
      <w:tr w:rsidR="007A6F37" w:rsidRPr="00E01AE3" w14:paraId="407542B1" w14:textId="77777777" w:rsidTr="009A4532">
        <w:trPr>
          <w:trHeight w:val="652"/>
        </w:trPr>
        <w:tc>
          <w:tcPr>
            <w:tcW w:w="5812" w:type="dxa"/>
            <w:tcBorders>
              <w:top w:val="nil"/>
            </w:tcBorders>
            <w:shd w:val="clear" w:color="auto" w:fill="CEDFDC" w:themeFill="accent2" w:themeFillTint="33"/>
            <w:tcMar>
              <w:top w:w="170" w:type="dxa"/>
              <w:left w:w="113" w:type="dxa"/>
              <w:bottom w:w="170" w:type="dxa"/>
              <w:right w:w="113" w:type="dxa"/>
            </w:tcMar>
          </w:tcPr>
          <w:p w14:paraId="37CBAF5B" w14:textId="77777777" w:rsidR="007A6F37" w:rsidRPr="0044251E" w:rsidRDefault="007A6F37" w:rsidP="0044251E">
            <w:pPr>
              <w:rPr>
                <w:rStyle w:val="Strong"/>
              </w:rPr>
            </w:pPr>
            <w:r w:rsidRPr="0044251E">
              <w:rPr>
                <w:rStyle w:val="Strong"/>
              </w:rPr>
              <w:t>capital works project</w:t>
            </w:r>
          </w:p>
        </w:tc>
        <w:tc>
          <w:tcPr>
            <w:tcW w:w="1559" w:type="dxa"/>
            <w:tcBorders>
              <w:top w:val="nil"/>
            </w:tcBorders>
            <w:shd w:val="clear" w:color="auto" w:fill="CEDFDC" w:themeFill="accent2" w:themeFillTint="33"/>
            <w:tcMar>
              <w:top w:w="170" w:type="dxa"/>
              <w:left w:w="113" w:type="dxa"/>
              <w:bottom w:w="170" w:type="dxa"/>
              <w:right w:w="113" w:type="dxa"/>
            </w:tcMar>
          </w:tcPr>
          <w:p w14:paraId="1C130BA1" w14:textId="77777777" w:rsidR="007A6F37" w:rsidRPr="0044251E" w:rsidRDefault="007A6F37" w:rsidP="0044251E">
            <w:pPr>
              <w:rPr>
                <w:rStyle w:val="Strong"/>
              </w:rPr>
            </w:pPr>
            <w:r w:rsidRPr="0044251E">
              <w:rPr>
                <w:rStyle w:val="Strong"/>
              </w:rPr>
              <w:t>Total spent</w:t>
            </w:r>
            <w:r w:rsidR="00C55EBB">
              <w:rPr>
                <w:rStyle w:val="Strong"/>
              </w:rPr>
              <w:br/>
            </w:r>
            <w:r w:rsidRPr="0044251E">
              <w:rPr>
                <w:rStyle w:val="Strong"/>
              </w:rPr>
              <w:t>$000’</w:t>
            </w:r>
          </w:p>
        </w:tc>
        <w:tc>
          <w:tcPr>
            <w:tcW w:w="1673" w:type="dxa"/>
            <w:tcBorders>
              <w:top w:val="nil"/>
            </w:tcBorders>
            <w:shd w:val="clear" w:color="auto" w:fill="CEDFDC" w:themeFill="accent2" w:themeFillTint="33"/>
            <w:tcMar>
              <w:top w:w="170" w:type="dxa"/>
              <w:left w:w="113" w:type="dxa"/>
              <w:bottom w:w="170" w:type="dxa"/>
              <w:right w:w="113" w:type="dxa"/>
            </w:tcMar>
          </w:tcPr>
          <w:p w14:paraId="21B1E39A" w14:textId="77777777" w:rsidR="007A6F37" w:rsidRPr="0044251E" w:rsidRDefault="007A6F37" w:rsidP="0044251E">
            <w:pPr>
              <w:rPr>
                <w:rStyle w:val="Strong"/>
              </w:rPr>
            </w:pPr>
            <w:r w:rsidRPr="0044251E">
              <w:rPr>
                <w:rStyle w:val="Strong"/>
              </w:rPr>
              <w:t>YTD</w:t>
            </w:r>
            <w:r w:rsidR="00C55EBB">
              <w:rPr>
                <w:rStyle w:val="Strong"/>
              </w:rPr>
              <w:br/>
            </w:r>
            <w:r w:rsidRPr="0044251E">
              <w:rPr>
                <w:rStyle w:val="Strong"/>
              </w:rPr>
              <w:t>$000’</w:t>
            </w:r>
          </w:p>
        </w:tc>
      </w:tr>
      <w:tr w:rsidR="007A6F37" w:rsidRPr="00B65339" w14:paraId="097F6CA6" w14:textId="77777777" w:rsidTr="009A4532">
        <w:trPr>
          <w:trHeight w:val="60"/>
        </w:trPr>
        <w:tc>
          <w:tcPr>
            <w:tcW w:w="5812" w:type="dxa"/>
            <w:shd w:val="clear" w:color="auto" w:fill="D4E2E0" w:themeFill="accent5"/>
            <w:tcMar>
              <w:top w:w="113" w:type="dxa"/>
              <w:left w:w="113" w:type="dxa"/>
              <w:bottom w:w="113" w:type="dxa"/>
              <w:right w:w="113" w:type="dxa"/>
            </w:tcMar>
            <w:vAlign w:val="center"/>
          </w:tcPr>
          <w:p w14:paraId="6D8C5F88" w14:textId="28C1842A" w:rsidR="007A6F37" w:rsidRPr="006F296F" w:rsidRDefault="00EB6F91" w:rsidP="000F3761">
            <w:pPr>
              <w:rPr>
                <w:color w:val="FF0000"/>
                <w:highlight w:val="yellow"/>
                <w:lang w:val="en-GB" w:eastAsia="en-AU"/>
              </w:rPr>
            </w:pPr>
            <w:r w:rsidRPr="00C1472F">
              <w:rPr>
                <w:rFonts w:cs="Arial"/>
                <w:lang w:val="en-GB" w:eastAsia="en-AU"/>
              </w:rPr>
              <w:t>Electronic Document Records Management System Implementation</w:t>
            </w:r>
          </w:p>
        </w:tc>
        <w:tc>
          <w:tcPr>
            <w:tcW w:w="1559" w:type="dxa"/>
            <w:tcMar>
              <w:top w:w="113" w:type="dxa"/>
              <w:left w:w="113" w:type="dxa"/>
              <w:bottom w:w="113" w:type="dxa"/>
              <w:right w:w="113" w:type="dxa"/>
            </w:tcMar>
            <w:vAlign w:val="center"/>
          </w:tcPr>
          <w:p w14:paraId="3D39DF70" w14:textId="6ED0F1AD" w:rsidR="007A6F37" w:rsidRPr="00EB6F91" w:rsidRDefault="00EB6F91" w:rsidP="005A4B04">
            <w:pPr>
              <w:rPr>
                <w:lang w:val="en-GB" w:eastAsia="en-AU"/>
              </w:rPr>
            </w:pPr>
            <w:r w:rsidRPr="00EB6F91">
              <w:rPr>
                <w:lang w:val="en-GB" w:eastAsia="en-AU"/>
              </w:rPr>
              <w:t>141</w:t>
            </w:r>
            <w:r w:rsidR="005A4B04" w:rsidRPr="00EB6F91">
              <w:rPr>
                <w:lang w:val="en-GB" w:eastAsia="en-AU"/>
              </w:rPr>
              <w:t xml:space="preserve"> </w:t>
            </w:r>
          </w:p>
        </w:tc>
        <w:tc>
          <w:tcPr>
            <w:tcW w:w="1673" w:type="dxa"/>
            <w:tcMar>
              <w:top w:w="113" w:type="dxa"/>
              <w:left w:w="113" w:type="dxa"/>
              <w:bottom w:w="113" w:type="dxa"/>
              <w:right w:w="113" w:type="dxa"/>
            </w:tcMar>
            <w:vAlign w:val="center"/>
          </w:tcPr>
          <w:p w14:paraId="703DAF6A" w14:textId="56AEC960" w:rsidR="007A6F37" w:rsidRPr="00EB6F91" w:rsidRDefault="00EB6F91" w:rsidP="005A4B04">
            <w:pPr>
              <w:rPr>
                <w:lang w:val="en-GB" w:eastAsia="en-AU"/>
              </w:rPr>
            </w:pPr>
            <w:r w:rsidRPr="00EB6F91">
              <w:rPr>
                <w:lang w:val="en-GB" w:eastAsia="en-AU"/>
              </w:rPr>
              <w:t>141</w:t>
            </w:r>
            <w:r w:rsidR="007E2B11" w:rsidRPr="00EB6F91">
              <w:rPr>
                <w:lang w:val="en-GB" w:eastAsia="en-AU"/>
              </w:rPr>
              <w:t xml:space="preserve"> </w:t>
            </w:r>
          </w:p>
        </w:tc>
      </w:tr>
      <w:tr w:rsidR="007E2B11" w:rsidRPr="00B65339" w14:paraId="301836C9" w14:textId="77777777" w:rsidTr="00514CFE">
        <w:trPr>
          <w:trHeight w:val="585"/>
        </w:trPr>
        <w:tc>
          <w:tcPr>
            <w:tcW w:w="5812" w:type="dxa"/>
            <w:shd w:val="clear" w:color="auto" w:fill="D4E2E0" w:themeFill="accent5"/>
            <w:tcMar>
              <w:top w:w="113" w:type="dxa"/>
              <w:left w:w="113" w:type="dxa"/>
              <w:bottom w:w="113" w:type="dxa"/>
              <w:right w:w="113" w:type="dxa"/>
            </w:tcMar>
            <w:vAlign w:val="center"/>
          </w:tcPr>
          <w:p w14:paraId="7877C896" w14:textId="74F21553" w:rsidR="007E2B11" w:rsidRPr="006F296F" w:rsidRDefault="00EB6F91" w:rsidP="007E2B11">
            <w:pPr>
              <w:rPr>
                <w:color w:val="FF0000"/>
                <w:highlight w:val="yellow"/>
                <w:lang w:val="en-GB" w:eastAsia="en-AU"/>
              </w:rPr>
            </w:pPr>
            <w:r w:rsidRPr="00C1472F">
              <w:rPr>
                <w:rFonts w:cs="Arial"/>
                <w:lang w:val="en-GB" w:eastAsia="en-AU"/>
              </w:rPr>
              <w:t>External Website Upgrade</w:t>
            </w:r>
          </w:p>
        </w:tc>
        <w:tc>
          <w:tcPr>
            <w:tcW w:w="1559" w:type="dxa"/>
            <w:tcMar>
              <w:top w:w="113" w:type="dxa"/>
              <w:left w:w="113" w:type="dxa"/>
              <w:bottom w:w="113" w:type="dxa"/>
              <w:right w:w="113" w:type="dxa"/>
            </w:tcMar>
          </w:tcPr>
          <w:p w14:paraId="265709BF" w14:textId="7EBB0400" w:rsidR="007E2B11" w:rsidRPr="00EB6F91" w:rsidRDefault="00EB6F91" w:rsidP="005A4B04">
            <w:pPr>
              <w:rPr>
                <w:lang w:val="en-GB" w:eastAsia="en-AU"/>
              </w:rPr>
            </w:pPr>
            <w:r w:rsidRPr="00EB6F91">
              <w:rPr>
                <w:lang w:val="en-GB" w:eastAsia="en-AU"/>
              </w:rPr>
              <w:t>102</w:t>
            </w:r>
            <w:r w:rsidR="007E2B11" w:rsidRPr="00EB6F91">
              <w:rPr>
                <w:lang w:val="en-GB" w:eastAsia="en-AU"/>
              </w:rPr>
              <w:t xml:space="preserve"> </w:t>
            </w:r>
          </w:p>
        </w:tc>
        <w:tc>
          <w:tcPr>
            <w:tcW w:w="1673" w:type="dxa"/>
            <w:tcMar>
              <w:top w:w="113" w:type="dxa"/>
              <w:left w:w="113" w:type="dxa"/>
              <w:bottom w:w="113" w:type="dxa"/>
              <w:right w:w="113" w:type="dxa"/>
            </w:tcMar>
          </w:tcPr>
          <w:p w14:paraId="741DA38C" w14:textId="440651D5" w:rsidR="007E2B11" w:rsidRPr="00EB6F91" w:rsidRDefault="00EB6F91" w:rsidP="005A4B04">
            <w:pPr>
              <w:rPr>
                <w:lang w:val="en-GB" w:eastAsia="en-AU"/>
              </w:rPr>
            </w:pPr>
            <w:r w:rsidRPr="00EB6F91">
              <w:rPr>
                <w:lang w:val="en-GB" w:eastAsia="en-AU"/>
              </w:rPr>
              <w:t>68</w:t>
            </w:r>
            <w:r w:rsidR="007E2B11" w:rsidRPr="00EB6F91">
              <w:rPr>
                <w:lang w:val="en-GB" w:eastAsia="en-AU"/>
              </w:rPr>
              <w:t xml:space="preserve"> </w:t>
            </w:r>
          </w:p>
        </w:tc>
      </w:tr>
    </w:tbl>
    <w:p w14:paraId="4812A606" w14:textId="77777777" w:rsidR="00A375C0" w:rsidRDefault="00A375C0" w:rsidP="00A375C0">
      <w:bookmarkStart w:id="489" w:name="_Toc399317033"/>
    </w:p>
    <w:p w14:paraId="0E7804F5" w14:textId="77777777" w:rsidR="00A375C0" w:rsidRDefault="00A375C0">
      <w:pPr>
        <w:keepLines w:val="0"/>
        <w:spacing w:after="0" w:line="240" w:lineRule="auto"/>
        <w:rPr>
          <w:rFonts w:ascii="Verdana" w:hAnsi="Verdana" w:cs="Arial"/>
          <w:b/>
          <w:bCs/>
          <w:color w:val="86731E" w:themeColor="text1"/>
          <w:szCs w:val="20"/>
        </w:rPr>
      </w:pPr>
      <w:r>
        <w:br w:type="page"/>
      </w:r>
    </w:p>
    <w:p w14:paraId="2D62D723" w14:textId="77777777" w:rsidR="00A375C0" w:rsidRDefault="00A375C0" w:rsidP="009A00C6">
      <w:pPr>
        <w:pStyle w:val="Heading2nonumber"/>
      </w:pPr>
      <w:bookmarkStart w:id="490" w:name="_Toc426617577"/>
      <w:bookmarkStart w:id="491" w:name="_Toc430091307"/>
      <w:r>
        <w:lastRenderedPageBreak/>
        <w:t>Advertising</w:t>
      </w:r>
      <w:bookmarkEnd w:id="490"/>
      <w:bookmarkEnd w:id="491"/>
    </w:p>
    <w:p w14:paraId="1EF8DD0D" w14:textId="77777777" w:rsidR="00EB6F91" w:rsidRPr="00EB6F91" w:rsidRDefault="00EB6F91" w:rsidP="00EB6F91">
      <w:pPr>
        <w:jc w:val="both"/>
      </w:pPr>
      <w:r w:rsidRPr="00EB6F91">
        <w:t xml:space="preserve">Section 175ZE of the </w:t>
      </w:r>
      <w:r w:rsidRPr="00EB6F91">
        <w:rPr>
          <w:rStyle w:val="Normal-ActChar"/>
          <w:rFonts w:cs="Arial"/>
        </w:rPr>
        <w:t>Electoral Act 1907</w:t>
      </w:r>
      <w:r w:rsidRPr="00EB6F91">
        <w:t xml:space="preserve"> requires the publication of the details of certain classes of expenditure in an agency’s annual report. Expenditure during 2014/15 included advertising for job vacancies, notification to employers for compliance matters, promotion of WorkCover WA industry related events and monitoring of WorkCover WA social media. Below is a statement of expenditure for the 2014/15 financial year.</w:t>
      </w:r>
    </w:p>
    <w:tbl>
      <w:tblPr>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Caption w:val="Table 36 2014/15 Advertising Expenditure"/>
        <w:tblDescription w:val="Table 36 details advertising costs during the financial year"/>
      </w:tblPr>
      <w:tblGrid>
        <w:gridCol w:w="2442"/>
        <w:gridCol w:w="3087"/>
        <w:gridCol w:w="3402"/>
      </w:tblGrid>
      <w:tr w:rsidR="00A375C0" w14:paraId="00DCFBF5" w14:textId="77777777" w:rsidTr="00EB6F91">
        <w:trPr>
          <w:trHeight w:val="60"/>
          <w:tblHeader/>
        </w:trPr>
        <w:tc>
          <w:tcPr>
            <w:tcW w:w="8931" w:type="dxa"/>
            <w:gridSpan w:val="3"/>
            <w:shd w:val="clear" w:color="auto" w:fill="2D4541" w:themeFill="accent2"/>
            <w:tcMar>
              <w:top w:w="170" w:type="dxa"/>
              <w:left w:w="113" w:type="dxa"/>
              <w:bottom w:w="170" w:type="dxa"/>
              <w:right w:w="113" w:type="dxa"/>
            </w:tcMar>
          </w:tcPr>
          <w:p w14:paraId="5715F821" w14:textId="1BC89E7D" w:rsidR="00A375C0" w:rsidRPr="00344478" w:rsidRDefault="00A375C0" w:rsidP="009E75E3">
            <w:pPr>
              <w:rPr>
                <w:rStyle w:val="Strong"/>
                <w:color w:val="FFFFFF" w:themeColor="background1"/>
              </w:rPr>
            </w:pPr>
            <w:r w:rsidRPr="001B7EB9">
              <w:rPr>
                <w:rStyle w:val="Strong"/>
                <w:color w:val="FFFFFF" w:themeColor="background1"/>
              </w:rPr>
              <w:t xml:space="preserve">Table </w:t>
            </w:r>
            <w:r w:rsidR="00F73A0E">
              <w:rPr>
                <w:rStyle w:val="Strong"/>
                <w:color w:val="FFFFFF" w:themeColor="background1"/>
              </w:rPr>
              <w:t>3</w:t>
            </w:r>
            <w:r w:rsidR="009E75E3">
              <w:rPr>
                <w:rStyle w:val="Strong"/>
                <w:color w:val="FFFFFF" w:themeColor="background1"/>
              </w:rPr>
              <w:t>6</w:t>
            </w:r>
            <w:r>
              <w:rPr>
                <w:rStyle w:val="Strong"/>
                <w:color w:val="FFFFFF" w:themeColor="background1"/>
              </w:rPr>
              <w:t>: 2014/15</w:t>
            </w:r>
            <w:r w:rsidRPr="001B7EB9">
              <w:rPr>
                <w:rStyle w:val="Strong"/>
                <w:color w:val="FFFFFF" w:themeColor="background1"/>
              </w:rPr>
              <w:t xml:space="preserve"> Advertising Expenditure</w:t>
            </w:r>
            <w:r w:rsidRPr="00344478">
              <w:rPr>
                <w:rStyle w:val="Strong"/>
                <w:color w:val="FFFFFF" w:themeColor="background1"/>
              </w:rPr>
              <w:t xml:space="preserve"> </w:t>
            </w:r>
          </w:p>
        </w:tc>
      </w:tr>
      <w:tr w:rsidR="00A375C0" w14:paraId="50DB4BE1" w14:textId="77777777" w:rsidTr="00EB6F91">
        <w:trPr>
          <w:trHeight w:val="60"/>
        </w:trPr>
        <w:tc>
          <w:tcPr>
            <w:tcW w:w="2442" w:type="dxa"/>
            <w:shd w:val="clear" w:color="auto" w:fill="CEDFDC" w:themeFill="accent2" w:themeFillTint="33"/>
            <w:tcMar>
              <w:top w:w="170" w:type="dxa"/>
              <w:left w:w="113" w:type="dxa"/>
              <w:bottom w:w="170" w:type="dxa"/>
              <w:right w:w="113" w:type="dxa"/>
            </w:tcMar>
          </w:tcPr>
          <w:p w14:paraId="38BAA40C" w14:textId="77777777" w:rsidR="00A375C0" w:rsidRPr="00344478" w:rsidRDefault="00A375C0" w:rsidP="008A4F8E">
            <w:pPr>
              <w:rPr>
                <w:rStyle w:val="Strong"/>
              </w:rPr>
            </w:pPr>
            <w:r w:rsidRPr="00344478">
              <w:rPr>
                <w:rStyle w:val="Strong"/>
              </w:rPr>
              <w:t>Type</w:t>
            </w:r>
          </w:p>
        </w:tc>
        <w:tc>
          <w:tcPr>
            <w:tcW w:w="3087" w:type="dxa"/>
            <w:shd w:val="clear" w:color="auto" w:fill="CEDFDC" w:themeFill="accent2" w:themeFillTint="33"/>
            <w:tcMar>
              <w:top w:w="170" w:type="dxa"/>
              <w:left w:w="113" w:type="dxa"/>
              <w:bottom w:w="170" w:type="dxa"/>
              <w:right w:w="113" w:type="dxa"/>
            </w:tcMar>
          </w:tcPr>
          <w:p w14:paraId="6B34231F" w14:textId="77777777" w:rsidR="00A375C0" w:rsidRPr="00344478" w:rsidRDefault="00A375C0" w:rsidP="008A4F8E">
            <w:pPr>
              <w:rPr>
                <w:rStyle w:val="Strong"/>
              </w:rPr>
            </w:pPr>
            <w:r w:rsidRPr="00344478">
              <w:rPr>
                <w:rStyle w:val="Strong"/>
              </w:rPr>
              <w:t>Organisation</w:t>
            </w:r>
          </w:p>
        </w:tc>
        <w:tc>
          <w:tcPr>
            <w:tcW w:w="3402" w:type="dxa"/>
            <w:shd w:val="clear" w:color="auto" w:fill="CEDFDC" w:themeFill="accent2" w:themeFillTint="33"/>
            <w:tcMar>
              <w:top w:w="170" w:type="dxa"/>
              <w:left w:w="113" w:type="dxa"/>
              <w:bottom w:w="170" w:type="dxa"/>
              <w:right w:w="113" w:type="dxa"/>
            </w:tcMar>
          </w:tcPr>
          <w:p w14:paraId="4A343B7F" w14:textId="77777777" w:rsidR="00A375C0" w:rsidRPr="00344478" w:rsidRDefault="00A375C0" w:rsidP="008A4F8E">
            <w:pPr>
              <w:rPr>
                <w:rStyle w:val="Strong"/>
              </w:rPr>
            </w:pPr>
            <w:r>
              <w:rPr>
                <w:rStyle w:val="Strong"/>
              </w:rPr>
              <w:t>2014/15</w:t>
            </w:r>
            <w:r w:rsidRPr="00344478">
              <w:rPr>
                <w:rStyle w:val="Strong"/>
              </w:rPr>
              <w:t xml:space="preserve"> Expenditure ($)</w:t>
            </w:r>
          </w:p>
        </w:tc>
      </w:tr>
      <w:tr w:rsidR="00EB6F91" w14:paraId="2A7CCBB6" w14:textId="77777777" w:rsidTr="00EB6F91">
        <w:trPr>
          <w:trHeight w:val="696"/>
        </w:trPr>
        <w:tc>
          <w:tcPr>
            <w:tcW w:w="2442" w:type="dxa"/>
            <w:shd w:val="clear" w:color="auto" w:fill="D4E2E0" w:themeFill="accent5"/>
            <w:tcMar>
              <w:top w:w="113" w:type="dxa"/>
              <w:left w:w="113" w:type="dxa"/>
              <w:bottom w:w="113" w:type="dxa"/>
              <w:right w:w="113" w:type="dxa"/>
            </w:tcMar>
          </w:tcPr>
          <w:p w14:paraId="07FAE14A" w14:textId="3C804CCD" w:rsidR="00EB6F91" w:rsidRPr="00A375C0" w:rsidRDefault="00EB6F91" w:rsidP="00EB6F91">
            <w:pPr>
              <w:rPr>
                <w:color w:val="FF0000"/>
                <w:highlight w:val="yellow"/>
              </w:rPr>
            </w:pPr>
            <w:r w:rsidRPr="00851169">
              <w:t>Advertising agencies</w:t>
            </w:r>
          </w:p>
        </w:tc>
        <w:tc>
          <w:tcPr>
            <w:tcW w:w="3087" w:type="dxa"/>
            <w:tcMar>
              <w:top w:w="113" w:type="dxa"/>
              <w:left w:w="113" w:type="dxa"/>
              <w:bottom w:w="113" w:type="dxa"/>
              <w:right w:w="113" w:type="dxa"/>
            </w:tcMar>
          </w:tcPr>
          <w:p w14:paraId="3EA19299" w14:textId="0E0C2EC3" w:rsidR="00EB6F91" w:rsidRPr="00EB6F91" w:rsidRDefault="00EB6F91" w:rsidP="00EB6F91">
            <w:r w:rsidRPr="00EB6F91">
              <w:t>AdCorp Australia Limited</w:t>
            </w:r>
            <w:r w:rsidRPr="00EB6F91">
              <w:br/>
              <w:t>Paperscout Pty Ltd</w:t>
            </w:r>
          </w:p>
        </w:tc>
        <w:tc>
          <w:tcPr>
            <w:tcW w:w="3402" w:type="dxa"/>
            <w:shd w:val="clear" w:color="AD9600" w:fill="auto"/>
            <w:tcMar>
              <w:top w:w="113" w:type="dxa"/>
              <w:left w:w="113" w:type="dxa"/>
              <w:bottom w:w="113" w:type="dxa"/>
              <w:right w:w="113" w:type="dxa"/>
            </w:tcMar>
          </w:tcPr>
          <w:p w14:paraId="3A14C048" w14:textId="77777777" w:rsidR="00EB6F91" w:rsidRPr="00EB6F91" w:rsidRDefault="00EB6F91" w:rsidP="00A163FF">
            <w:pPr>
              <w:jc w:val="right"/>
            </w:pPr>
            <w:r w:rsidRPr="00EB6F91">
              <w:t>3,093</w:t>
            </w:r>
          </w:p>
          <w:p w14:paraId="5781D2B2" w14:textId="209E83F7" w:rsidR="00EB6F91" w:rsidRPr="00EB6F91" w:rsidRDefault="00EB6F91" w:rsidP="00A163FF">
            <w:pPr>
              <w:jc w:val="right"/>
            </w:pPr>
            <w:r w:rsidRPr="00EB6F91">
              <w:t xml:space="preserve">1,595 </w:t>
            </w:r>
          </w:p>
        </w:tc>
      </w:tr>
      <w:tr w:rsidR="00EB6F91" w14:paraId="48889766" w14:textId="77777777" w:rsidTr="00EB6F91">
        <w:trPr>
          <w:trHeight w:val="60"/>
        </w:trPr>
        <w:tc>
          <w:tcPr>
            <w:tcW w:w="2442" w:type="dxa"/>
            <w:shd w:val="clear" w:color="auto" w:fill="D4E2E0" w:themeFill="accent5"/>
            <w:tcMar>
              <w:top w:w="128" w:type="dxa"/>
              <w:left w:w="113" w:type="dxa"/>
              <w:bottom w:w="128" w:type="dxa"/>
              <w:right w:w="113" w:type="dxa"/>
            </w:tcMar>
          </w:tcPr>
          <w:p w14:paraId="109FBED1" w14:textId="4921614C" w:rsidR="00EB6F91" w:rsidRPr="00A375C0" w:rsidRDefault="00EB6F91" w:rsidP="00EB6F91">
            <w:pPr>
              <w:rPr>
                <w:color w:val="FF0000"/>
                <w:highlight w:val="yellow"/>
              </w:rPr>
            </w:pPr>
            <w:r w:rsidRPr="00851169">
              <w:t>Direct mail organisations</w:t>
            </w:r>
          </w:p>
        </w:tc>
        <w:tc>
          <w:tcPr>
            <w:tcW w:w="3087" w:type="dxa"/>
            <w:tcMar>
              <w:top w:w="128" w:type="dxa"/>
              <w:left w:w="113" w:type="dxa"/>
              <w:bottom w:w="128" w:type="dxa"/>
              <w:right w:w="113" w:type="dxa"/>
            </w:tcMar>
          </w:tcPr>
          <w:p w14:paraId="5B680628" w14:textId="4C5D2651" w:rsidR="00EB6F91" w:rsidRPr="00EB6F91" w:rsidRDefault="00EB6F91" w:rsidP="00EB6F91">
            <w:r w:rsidRPr="00EB6F91">
              <w:t>Quickmail</w:t>
            </w:r>
          </w:p>
        </w:tc>
        <w:tc>
          <w:tcPr>
            <w:tcW w:w="3402" w:type="dxa"/>
            <w:shd w:val="clear" w:color="AD9600" w:fill="auto"/>
            <w:tcMar>
              <w:top w:w="128" w:type="dxa"/>
              <w:left w:w="113" w:type="dxa"/>
              <w:bottom w:w="128" w:type="dxa"/>
              <w:right w:w="113" w:type="dxa"/>
            </w:tcMar>
          </w:tcPr>
          <w:p w14:paraId="40C10925" w14:textId="4C76E6D5" w:rsidR="00EB6F91" w:rsidRPr="00EB6F91" w:rsidRDefault="00EB6F91" w:rsidP="00A163FF">
            <w:pPr>
              <w:jc w:val="right"/>
            </w:pPr>
            <w:r w:rsidRPr="00EB6F91">
              <w:t xml:space="preserve">6,733 </w:t>
            </w:r>
          </w:p>
        </w:tc>
      </w:tr>
      <w:tr w:rsidR="00EB6F91" w14:paraId="7B164A7D" w14:textId="77777777" w:rsidTr="00EB6F91">
        <w:trPr>
          <w:trHeight w:val="60"/>
        </w:trPr>
        <w:tc>
          <w:tcPr>
            <w:tcW w:w="2442" w:type="dxa"/>
            <w:shd w:val="clear" w:color="auto" w:fill="D4E2E0" w:themeFill="accent5"/>
            <w:tcMar>
              <w:top w:w="113" w:type="dxa"/>
              <w:left w:w="113" w:type="dxa"/>
              <w:bottom w:w="113" w:type="dxa"/>
              <w:right w:w="113" w:type="dxa"/>
            </w:tcMar>
          </w:tcPr>
          <w:p w14:paraId="3B24FE6B" w14:textId="3E6AAB3D" w:rsidR="00EB6F91" w:rsidRPr="00A375C0" w:rsidRDefault="00EB6F91" w:rsidP="00EB6F91">
            <w:pPr>
              <w:rPr>
                <w:color w:val="FF0000"/>
                <w:highlight w:val="yellow"/>
              </w:rPr>
            </w:pPr>
            <w:r w:rsidRPr="00851169">
              <w:t>Market research organisations</w:t>
            </w:r>
          </w:p>
        </w:tc>
        <w:tc>
          <w:tcPr>
            <w:tcW w:w="3087" w:type="dxa"/>
            <w:tcMar>
              <w:top w:w="113" w:type="dxa"/>
              <w:left w:w="113" w:type="dxa"/>
              <w:bottom w:w="113" w:type="dxa"/>
              <w:right w:w="113" w:type="dxa"/>
            </w:tcMar>
          </w:tcPr>
          <w:p w14:paraId="15412AF6" w14:textId="5717DB35" w:rsidR="00EB6F91" w:rsidRPr="00EB6F91" w:rsidRDefault="00EB6F91" w:rsidP="00EB6F91">
            <w:r w:rsidRPr="00EB6F91">
              <w:t>e-CBD Pty Ltd</w:t>
            </w:r>
          </w:p>
        </w:tc>
        <w:tc>
          <w:tcPr>
            <w:tcW w:w="3402" w:type="dxa"/>
            <w:shd w:val="clear" w:color="AD9600" w:fill="auto"/>
            <w:tcMar>
              <w:top w:w="113" w:type="dxa"/>
              <w:left w:w="113" w:type="dxa"/>
              <w:bottom w:w="113" w:type="dxa"/>
              <w:right w:w="113" w:type="dxa"/>
            </w:tcMar>
          </w:tcPr>
          <w:p w14:paraId="0019DBEA" w14:textId="4BAAC05B" w:rsidR="00EB6F91" w:rsidRPr="00EB6F91" w:rsidRDefault="00EB6F91" w:rsidP="00A163FF">
            <w:pPr>
              <w:jc w:val="right"/>
            </w:pPr>
            <w:r w:rsidRPr="00EB6F91">
              <w:t xml:space="preserve">8,387 </w:t>
            </w:r>
          </w:p>
        </w:tc>
      </w:tr>
      <w:tr w:rsidR="00EB6F91" w14:paraId="0DDC828A" w14:textId="77777777" w:rsidTr="00EB6F91">
        <w:trPr>
          <w:trHeight w:val="60"/>
        </w:trPr>
        <w:tc>
          <w:tcPr>
            <w:tcW w:w="2442" w:type="dxa"/>
            <w:shd w:val="clear" w:color="auto" w:fill="D4E2E0" w:themeFill="accent5"/>
            <w:tcMar>
              <w:top w:w="113" w:type="dxa"/>
              <w:left w:w="113" w:type="dxa"/>
              <w:bottom w:w="113" w:type="dxa"/>
              <w:right w:w="113" w:type="dxa"/>
            </w:tcMar>
          </w:tcPr>
          <w:p w14:paraId="21349D3E" w14:textId="09A9BE1C" w:rsidR="00EB6F91" w:rsidRPr="00A375C0" w:rsidRDefault="00EB6F91" w:rsidP="00EB6F91">
            <w:pPr>
              <w:rPr>
                <w:color w:val="FF0000"/>
                <w:highlight w:val="yellow"/>
              </w:rPr>
            </w:pPr>
            <w:r w:rsidRPr="00851169">
              <w:t>Media advertising organisations</w:t>
            </w:r>
          </w:p>
        </w:tc>
        <w:tc>
          <w:tcPr>
            <w:tcW w:w="3087" w:type="dxa"/>
            <w:tcMar>
              <w:top w:w="113" w:type="dxa"/>
              <w:left w:w="113" w:type="dxa"/>
              <w:bottom w:w="113" w:type="dxa"/>
              <w:right w:w="113" w:type="dxa"/>
            </w:tcMar>
          </w:tcPr>
          <w:p w14:paraId="0827CA72" w14:textId="77777777" w:rsidR="00EB6F91" w:rsidRPr="00EB6F91" w:rsidRDefault="00EB6F91" w:rsidP="00EB6F91">
            <w:r w:rsidRPr="00EB6F91">
              <w:t>AMA Services Pty Ltd</w:t>
            </w:r>
          </w:p>
          <w:p w14:paraId="5C867037" w14:textId="77777777" w:rsidR="00EB6F91" w:rsidRPr="00EB6F91" w:rsidRDefault="00EB6F91" w:rsidP="00EB6F91">
            <w:r w:rsidRPr="00EB6F91">
              <w:t>Careerhub</w:t>
            </w:r>
          </w:p>
          <w:p w14:paraId="7A811023" w14:textId="0D8E2626" w:rsidR="00EB6F91" w:rsidRPr="00EB6F91" w:rsidRDefault="00EB6F91" w:rsidP="00EB6F91">
            <w:r w:rsidRPr="00EB6F91">
              <w:t>Medical Forum Magazine</w:t>
            </w:r>
          </w:p>
        </w:tc>
        <w:tc>
          <w:tcPr>
            <w:tcW w:w="3402" w:type="dxa"/>
            <w:shd w:val="clear" w:color="AD9600" w:fill="auto"/>
            <w:tcMar>
              <w:top w:w="113" w:type="dxa"/>
              <w:left w:w="113" w:type="dxa"/>
              <w:bottom w:w="113" w:type="dxa"/>
              <w:right w:w="113" w:type="dxa"/>
            </w:tcMar>
          </w:tcPr>
          <w:p w14:paraId="4CB9D65F" w14:textId="77777777" w:rsidR="00EB6F91" w:rsidRPr="00EB6F91" w:rsidRDefault="00EB6F91" w:rsidP="00A163FF">
            <w:pPr>
              <w:jc w:val="right"/>
            </w:pPr>
            <w:r w:rsidRPr="00EB6F91">
              <w:t>635</w:t>
            </w:r>
          </w:p>
          <w:p w14:paraId="165578C3" w14:textId="77777777" w:rsidR="00EB6F91" w:rsidRPr="00EB6F91" w:rsidRDefault="00EB6F91" w:rsidP="00A163FF">
            <w:pPr>
              <w:jc w:val="right"/>
            </w:pPr>
            <w:r w:rsidRPr="00EB6F91">
              <w:t>180</w:t>
            </w:r>
          </w:p>
          <w:p w14:paraId="44550CE5" w14:textId="6130B981" w:rsidR="00EB6F91" w:rsidRPr="00EB6F91" w:rsidRDefault="00EB6F91" w:rsidP="00A163FF">
            <w:pPr>
              <w:jc w:val="right"/>
            </w:pPr>
            <w:r w:rsidRPr="00EB6F91">
              <w:t xml:space="preserve">545 </w:t>
            </w:r>
          </w:p>
        </w:tc>
      </w:tr>
      <w:tr w:rsidR="00EB6F91" w14:paraId="43004A17" w14:textId="77777777" w:rsidTr="00EB6F91">
        <w:trPr>
          <w:trHeight w:val="60"/>
        </w:trPr>
        <w:tc>
          <w:tcPr>
            <w:tcW w:w="2442" w:type="dxa"/>
            <w:shd w:val="clear" w:color="auto" w:fill="D4E2E0" w:themeFill="accent5"/>
            <w:tcMar>
              <w:top w:w="113" w:type="dxa"/>
              <w:left w:w="113" w:type="dxa"/>
              <w:bottom w:w="113" w:type="dxa"/>
              <w:right w:w="113" w:type="dxa"/>
            </w:tcMar>
          </w:tcPr>
          <w:p w14:paraId="5F889756" w14:textId="68069FE3" w:rsidR="00EB6F91" w:rsidRPr="00A375C0" w:rsidRDefault="00EB6F91" w:rsidP="00EB6F91">
            <w:pPr>
              <w:rPr>
                <w:color w:val="FF0000"/>
                <w:highlight w:val="yellow"/>
              </w:rPr>
            </w:pPr>
            <w:r w:rsidRPr="00851169">
              <w:t>Polling organisations</w:t>
            </w:r>
          </w:p>
        </w:tc>
        <w:tc>
          <w:tcPr>
            <w:tcW w:w="3087" w:type="dxa"/>
            <w:tcMar>
              <w:top w:w="113" w:type="dxa"/>
              <w:left w:w="113" w:type="dxa"/>
              <w:bottom w:w="113" w:type="dxa"/>
              <w:right w:w="113" w:type="dxa"/>
            </w:tcMar>
          </w:tcPr>
          <w:p w14:paraId="1622A8B8" w14:textId="4C7BAA5A" w:rsidR="00EB6F91" w:rsidRPr="00EB6F91" w:rsidRDefault="00A163FF" w:rsidP="00EB6F91">
            <w:r>
              <w:t>Nil</w:t>
            </w:r>
          </w:p>
        </w:tc>
        <w:tc>
          <w:tcPr>
            <w:tcW w:w="3402" w:type="dxa"/>
            <w:shd w:val="clear" w:color="AD9600" w:fill="auto"/>
            <w:tcMar>
              <w:top w:w="113" w:type="dxa"/>
              <w:left w:w="113" w:type="dxa"/>
              <w:bottom w:w="113" w:type="dxa"/>
              <w:right w:w="113" w:type="dxa"/>
            </w:tcMar>
          </w:tcPr>
          <w:p w14:paraId="4AAF5297" w14:textId="6D5C5A7E" w:rsidR="00EB6F91" w:rsidRPr="00EB6F91" w:rsidRDefault="00EB6F91" w:rsidP="00A163FF">
            <w:pPr>
              <w:jc w:val="right"/>
            </w:pPr>
            <w:r w:rsidRPr="00EB6F91">
              <w:t xml:space="preserve">Nil </w:t>
            </w:r>
          </w:p>
        </w:tc>
      </w:tr>
      <w:tr w:rsidR="00A375C0" w14:paraId="3F0631C0" w14:textId="77777777" w:rsidTr="00EB6F91">
        <w:trPr>
          <w:trHeight w:val="60"/>
        </w:trPr>
        <w:tc>
          <w:tcPr>
            <w:tcW w:w="5529" w:type="dxa"/>
            <w:gridSpan w:val="2"/>
            <w:shd w:val="clear" w:color="auto" w:fill="2D4541" w:themeFill="accent2"/>
            <w:tcMar>
              <w:top w:w="113" w:type="dxa"/>
              <w:left w:w="113" w:type="dxa"/>
              <w:bottom w:w="113" w:type="dxa"/>
              <w:right w:w="113" w:type="dxa"/>
            </w:tcMar>
          </w:tcPr>
          <w:p w14:paraId="7D272905" w14:textId="77777777" w:rsidR="00A375C0" w:rsidRPr="0078040C" w:rsidRDefault="00A375C0" w:rsidP="00A375C0">
            <w:pPr>
              <w:jc w:val="right"/>
              <w:rPr>
                <w:rStyle w:val="Strong"/>
                <w:color w:val="FFFFFF" w:themeColor="background1"/>
              </w:rPr>
            </w:pPr>
            <w:r w:rsidRPr="0078040C">
              <w:rPr>
                <w:rStyle w:val="Strong"/>
                <w:color w:val="FFFFFF" w:themeColor="background1"/>
              </w:rPr>
              <w:t>Total</w:t>
            </w:r>
          </w:p>
        </w:tc>
        <w:tc>
          <w:tcPr>
            <w:tcW w:w="3402" w:type="dxa"/>
            <w:shd w:val="clear" w:color="auto" w:fill="2D4541" w:themeFill="accent2"/>
            <w:tcMar>
              <w:top w:w="113" w:type="dxa"/>
              <w:left w:w="113" w:type="dxa"/>
              <w:bottom w:w="113" w:type="dxa"/>
              <w:right w:w="113" w:type="dxa"/>
            </w:tcMar>
          </w:tcPr>
          <w:p w14:paraId="625DAEC2" w14:textId="1514F3EE" w:rsidR="00A375C0" w:rsidRPr="00E564E8" w:rsidRDefault="00A375C0" w:rsidP="00A163FF">
            <w:pPr>
              <w:jc w:val="right"/>
              <w:rPr>
                <w:rStyle w:val="Strong"/>
                <w:color w:val="FFFFFF" w:themeColor="background1"/>
              </w:rPr>
            </w:pPr>
            <w:r>
              <w:rPr>
                <w:rStyle w:val="Strong"/>
                <w:color w:val="FFFFFF" w:themeColor="background1"/>
              </w:rPr>
              <w:t>$</w:t>
            </w:r>
            <w:r w:rsidR="00EB6F91">
              <w:rPr>
                <w:rStyle w:val="Strong"/>
                <w:rFonts w:eastAsiaTheme="majorEastAsia"/>
                <w:color w:val="FFFFFF" w:themeColor="background1"/>
              </w:rPr>
              <w:t>21,168</w:t>
            </w:r>
          </w:p>
        </w:tc>
      </w:tr>
    </w:tbl>
    <w:p w14:paraId="451380F3" w14:textId="77777777" w:rsidR="00B95A79" w:rsidRDefault="00B95A79" w:rsidP="00E27DE7">
      <w:pPr>
        <w:pStyle w:val="Heading1nonumber"/>
      </w:pPr>
      <w:bookmarkStart w:id="492" w:name="_Toc426617578"/>
      <w:bookmarkStart w:id="493" w:name="_Toc430091308"/>
      <w:r>
        <w:t>Ministerial directives</w:t>
      </w:r>
      <w:bookmarkEnd w:id="489"/>
      <w:bookmarkEnd w:id="492"/>
      <w:bookmarkEnd w:id="493"/>
      <w:r>
        <w:t xml:space="preserve"> </w:t>
      </w:r>
    </w:p>
    <w:p w14:paraId="1846B908" w14:textId="77777777" w:rsidR="00B95A79" w:rsidRDefault="00B95A79" w:rsidP="00B95A79">
      <w:r w:rsidRPr="00B95A79">
        <w:t>No Ministerial directives were received during the financial year.</w:t>
      </w:r>
    </w:p>
    <w:p w14:paraId="4BDB769C" w14:textId="4019C23F" w:rsidR="008973CA" w:rsidRDefault="008973CA" w:rsidP="006F296F">
      <w:pPr>
        <w:pStyle w:val="Heading1nonumber"/>
      </w:pPr>
      <w:bookmarkStart w:id="494" w:name="_Toc399317034"/>
      <w:bookmarkStart w:id="495" w:name="_Toc426617579"/>
      <w:bookmarkStart w:id="496" w:name="_Toc430091309"/>
      <w:r>
        <w:lastRenderedPageBreak/>
        <w:t>Governance disclosures</w:t>
      </w:r>
      <w:bookmarkEnd w:id="494"/>
      <w:bookmarkEnd w:id="495"/>
      <w:bookmarkEnd w:id="496"/>
      <w:r>
        <w:t xml:space="preserve"> </w:t>
      </w:r>
    </w:p>
    <w:p w14:paraId="3D622241" w14:textId="77777777" w:rsidR="004B71F1" w:rsidRDefault="008973CA" w:rsidP="006F296F">
      <w:pPr>
        <w:pStyle w:val="Heading2nonumber"/>
      </w:pPr>
      <w:bookmarkStart w:id="497" w:name="_Toc399317035"/>
      <w:bookmarkStart w:id="498" w:name="_Toc426617580"/>
      <w:bookmarkStart w:id="499" w:name="_Toc430091310"/>
      <w:r>
        <w:t>Board responsibilities</w:t>
      </w:r>
      <w:bookmarkEnd w:id="497"/>
      <w:bookmarkEnd w:id="498"/>
      <w:bookmarkEnd w:id="499"/>
    </w:p>
    <w:p w14:paraId="78C8DA72" w14:textId="59F4E9E2" w:rsidR="001A4B16" w:rsidRPr="001A4B16" w:rsidRDefault="00C726B0" w:rsidP="001A4B16">
      <w:r>
        <w:t>WorkCover WA</w:t>
      </w:r>
      <w:r w:rsidR="001A4B16" w:rsidRPr="001A4B16">
        <w:t>’s corporate governance arrangements ensure transparency in decision making and operation, as well as accountability to stakeholders, by promoting strong leadership, sound management and effective planning and review.</w:t>
      </w:r>
    </w:p>
    <w:p w14:paraId="4C714884" w14:textId="2FC4D079" w:rsidR="001A4B16" w:rsidRPr="001A4B16" w:rsidRDefault="00C726B0" w:rsidP="001A4B16">
      <w:r>
        <w:t>WorkCover WA</w:t>
      </w:r>
      <w:r w:rsidR="001A4B16" w:rsidRPr="001A4B16">
        <w:t xml:space="preserve"> aims to achieve high standards in corporate governance to assure the State Government, stakeholders and the community, it </w:t>
      </w:r>
      <w:r w:rsidR="00034707">
        <w:t>is complying with statutory</w:t>
      </w:r>
      <w:r w:rsidR="001A4B16" w:rsidRPr="001A4B16">
        <w:t xml:space="preserve"> responsibilities and meeting expectations with due diligence and accountability.</w:t>
      </w:r>
    </w:p>
    <w:p w14:paraId="30F7C898" w14:textId="77777777" w:rsidR="004B71F1" w:rsidRDefault="004B71F1" w:rsidP="004B71F1">
      <w:r>
        <w:t>The Board’s governance responsibilities include:</w:t>
      </w:r>
    </w:p>
    <w:p w14:paraId="2CD7447D" w14:textId="77777777" w:rsidR="004B71F1" w:rsidRDefault="004B71F1" w:rsidP="004B71F1">
      <w:pPr>
        <w:pStyle w:val="BulletListLevel1"/>
      </w:pPr>
      <w:r>
        <w:t>the setting of strategic direction</w:t>
      </w:r>
    </w:p>
    <w:p w14:paraId="596B3E02" w14:textId="68D27D07" w:rsidR="004B71F1" w:rsidRDefault="005D7739" w:rsidP="004B71F1">
      <w:pPr>
        <w:pStyle w:val="BulletListLevel1"/>
      </w:pPr>
      <w:r>
        <w:t>establishment of goals for WorkCover WA</w:t>
      </w:r>
      <w:r w:rsidR="004B71F1">
        <w:t xml:space="preserve"> and monitoring achievement against those goals to optimise the Agency’s performance</w:t>
      </w:r>
    </w:p>
    <w:p w14:paraId="0236C153" w14:textId="77777777" w:rsidR="004B71F1" w:rsidRDefault="004B71F1" w:rsidP="004B71F1">
      <w:pPr>
        <w:pStyle w:val="BulletListLevel1"/>
      </w:pPr>
      <w:r>
        <w:t>ensuring compliance with statutory requirements</w:t>
      </w:r>
    </w:p>
    <w:p w14:paraId="09A34487" w14:textId="77777777" w:rsidR="004B71F1" w:rsidRDefault="004B71F1" w:rsidP="004B71F1">
      <w:pPr>
        <w:pStyle w:val="BulletListLevel1"/>
      </w:pPr>
      <w:r>
        <w:t>approving Corporate Executive recommendations</w:t>
      </w:r>
    </w:p>
    <w:p w14:paraId="5788AB70" w14:textId="77777777" w:rsidR="004B71F1" w:rsidRDefault="004B71F1" w:rsidP="004B71F1">
      <w:pPr>
        <w:pStyle w:val="BulletListLevel1"/>
      </w:pPr>
      <w:r>
        <w:t>making recommendations to the Minister (where appropriate)</w:t>
      </w:r>
    </w:p>
    <w:p w14:paraId="3125C198" w14:textId="77777777" w:rsidR="004B71F1" w:rsidRDefault="004B71F1" w:rsidP="004B71F1">
      <w:pPr>
        <w:pStyle w:val="BulletListLevel1"/>
      </w:pPr>
      <w:r>
        <w:t>giving effect to Ministerial directives</w:t>
      </w:r>
    </w:p>
    <w:p w14:paraId="16B93578" w14:textId="57F3670A" w:rsidR="00A866A5" w:rsidRDefault="004B71F1" w:rsidP="00A866A5">
      <w:pPr>
        <w:pStyle w:val="BulletListLevel1"/>
      </w:pPr>
      <w:r>
        <w:t>managing strategic risk</w:t>
      </w:r>
      <w:r w:rsidR="000E307C">
        <w:t>.</w:t>
      </w:r>
    </w:p>
    <w:p w14:paraId="631AA149" w14:textId="0FAA6389" w:rsidR="00A866A5" w:rsidRDefault="00A866A5" w:rsidP="00A866A5">
      <w:pPr>
        <w:pStyle w:val="Heading2nonumber"/>
      </w:pPr>
      <w:bookmarkStart w:id="500" w:name="_Toc426617581"/>
      <w:bookmarkStart w:id="501" w:name="_Toc430091311"/>
      <w:r>
        <w:t>Board Policies</w:t>
      </w:r>
      <w:bookmarkEnd w:id="500"/>
      <w:bookmarkEnd w:id="501"/>
    </w:p>
    <w:p w14:paraId="6DEACF02" w14:textId="741E3689" w:rsidR="00A866A5" w:rsidRPr="0093281B" w:rsidRDefault="00A866A5" w:rsidP="0093281B">
      <w:pPr>
        <w:rPr>
          <w:i/>
        </w:rPr>
      </w:pPr>
      <w:r>
        <w:t>The A</w:t>
      </w:r>
      <w:r w:rsidRPr="005B7D3D">
        <w:t xml:space="preserve">gency has a Board Charter, </w:t>
      </w:r>
      <w:r>
        <w:t>m</w:t>
      </w:r>
      <w:r w:rsidRPr="005B7D3D">
        <w:t xml:space="preserve">eeting procedures and governance policies </w:t>
      </w:r>
      <w:r w:rsidR="001916CE">
        <w:t xml:space="preserve">to </w:t>
      </w:r>
      <w:r w:rsidRPr="005B7D3D">
        <w:t>guide the actions of the Board and ensure r</w:t>
      </w:r>
      <w:r w:rsidR="007E0E46">
        <w:t xml:space="preserve">esponsibilities set down in </w:t>
      </w:r>
      <w:r w:rsidR="007E0E46" w:rsidRPr="007E0E46">
        <w:t>the </w:t>
      </w:r>
      <w:r w:rsidR="007E0E46" w:rsidRPr="005D7739">
        <w:t>Act are</w:t>
      </w:r>
      <w:r w:rsidRPr="005B7D3D">
        <w:t xml:space="preserve"> </w:t>
      </w:r>
      <w:r w:rsidRPr="005D7739">
        <w:t>met.</w:t>
      </w:r>
    </w:p>
    <w:p w14:paraId="338FB393" w14:textId="461F2AD8" w:rsidR="009A5337" w:rsidRDefault="009A5337" w:rsidP="006F296F">
      <w:pPr>
        <w:pStyle w:val="Heading2nonumber"/>
      </w:pPr>
      <w:bookmarkStart w:id="502" w:name="_Toc399317036"/>
      <w:bookmarkStart w:id="503" w:name="_Toc426617582"/>
      <w:bookmarkStart w:id="504" w:name="_Toc430091312"/>
      <w:r>
        <w:t>Conflicts of interest</w:t>
      </w:r>
      <w:bookmarkEnd w:id="502"/>
      <w:bookmarkEnd w:id="503"/>
      <w:bookmarkEnd w:id="504"/>
    </w:p>
    <w:p w14:paraId="2AE8D9B5" w14:textId="1EB7E7B8" w:rsidR="009A5337" w:rsidRDefault="009A5337" w:rsidP="009A5337">
      <w:r w:rsidRPr="001A4B16">
        <w:t xml:space="preserve">In accordance with Treasurer’s Instruction 903 (14) (iii), senior officers and members of the </w:t>
      </w:r>
      <w:r w:rsidR="00C726B0">
        <w:t>WorkCover WA</w:t>
      </w:r>
      <w:r w:rsidRPr="001A4B16">
        <w:t xml:space="preserve"> Board declared any interest held in existing or proposed contracts with </w:t>
      </w:r>
      <w:r w:rsidR="00C726B0">
        <w:t>WorkCover WA</w:t>
      </w:r>
      <w:r w:rsidRPr="001A4B16">
        <w:t>.</w:t>
      </w:r>
    </w:p>
    <w:p w14:paraId="41F4BD49" w14:textId="0AC944FD" w:rsidR="009A5337" w:rsidRPr="001A4B16" w:rsidRDefault="009A5337" w:rsidP="009A5337">
      <w:pPr>
        <w:rPr>
          <w:rFonts w:cs="Arial"/>
        </w:rPr>
      </w:pPr>
      <w:r w:rsidRPr="006F296F">
        <w:lastRenderedPageBreak/>
        <w:t>In 2014/15, Board Member Steven Burns</w:t>
      </w:r>
      <w:r w:rsidR="006F296F" w:rsidRPr="006F296F">
        <w:t xml:space="preserve"> declared he</w:t>
      </w:r>
      <w:r w:rsidRPr="006F296F">
        <w:t xml:space="preserve"> is the Manager Underwritten States of QBE Insurance (Australia) </w:t>
      </w:r>
      <w:r w:rsidR="006F296F" w:rsidRPr="006F296F">
        <w:t xml:space="preserve">Pty </w:t>
      </w:r>
      <w:r w:rsidRPr="006F296F">
        <w:t xml:space="preserve">Ltd. Mr Burns also declared employment with </w:t>
      </w:r>
      <w:r w:rsidR="006F296F" w:rsidRPr="006F296F">
        <w:t>the same insurer</w:t>
      </w:r>
      <w:r w:rsidR="001916CE">
        <w:t xml:space="preserve"> in 2013/14.</w:t>
      </w:r>
    </w:p>
    <w:p w14:paraId="79EFF4C9" w14:textId="77EFDC37" w:rsidR="003E5D45" w:rsidRDefault="005D7739" w:rsidP="003E5D45">
      <w:pPr>
        <w:pStyle w:val="Heading2nonumber"/>
      </w:pPr>
      <w:bookmarkStart w:id="505" w:name="_Toc426617583"/>
      <w:bookmarkStart w:id="506" w:name="_Toc430091313"/>
      <w:r>
        <w:t xml:space="preserve">CEO </w:t>
      </w:r>
      <w:r w:rsidR="003E5D45">
        <w:t>Performance Agreement</w:t>
      </w:r>
      <w:bookmarkEnd w:id="505"/>
      <w:bookmarkEnd w:id="506"/>
      <w:r w:rsidR="003E5D45">
        <w:t xml:space="preserve"> </w:t>
      </w:r>
    </w:p>
    <w:p w14:paraId="526B21DD" w14:textId="52B7715E" w:rsidR="003E5D45" w:rsidRDefault="003E5D45" w:rsidP="003E5D45">
      <w:r>
        <w:t xml:space="preserve">The Agency’s performance is monitored by the </w:t>
      </w:r>
      <w:r w:rsidR="00C726B0">
        <w:t>WorkCover WA</w:t>
      </w:r>
      <w:r>
        <w:t xml:space="preserve"> Board and the Minister for Commerce through deliverables determined in the</w:t>
      </w:r>
      <w:r w:rsidR="005D7739">
        <w:t xml:space="preserve"> annual CEO</w:t>
      </w:r>
      <w:r>
        <w:t xml:space="preserve"> Performance Agreement.</w:t>
      </w:r>
    </w:p>
    <w:p w14:paraId="3D47992E" w14:textId="4529D86D" w:rsidR="003E5D45" w:rsidRDefault="003E5D45" w:rsidP="003E5D45">
      <w:r>
        <w:t xml:space="preserve">The Performance Agreement is developed each year between the </w:t>
      </w:r>
      <w:r w:rsidR="00C04854">
        <w:t xml:space="preserve">CEO, the </w:t>
      </w:r>
      <w:r>
        <w:t>Chairman of the Board, the Minister and the Public Sector Commissioner. An evaluation against each pre-determined deliverable is assessed by the Chairman at year end and further endorsed by the Minister and the Commissioner. The monitoring and assessment of this agreement ensures the CEO delivers on expected outcomes or explanations are provided on undelivered items.</w:t>
      </w:r>
    </w:p>
    <w:p w14:paraId="762FA9B7" w14:textId="32695409" w:rsidR="00A84004" w:rsidRDefault="003E5D45" w:rsidP="00A84004">
      <w:r>
        <w:t xml:space="preserve">The agreement is a statutory requirement of section 47 of the </w:t>
      </w:r>
      <w:r w:rsidRPr="003E5D45">
        <w:rPr>
          <w:rStyle w:val="Emphasis"/>
        </w:rPr>
        <w:t>Public Sector Management Act 1994</w:t>
      </w:r>
      <w:r>
        <w:t xml:space="preserve"> (PSM Act) and is prepared based on a set template which includes Agency specific goals and commitments; contribution to sector-wide initiatives; and persona</w:t>
      </w:r>
      <w:r w:rsidR="000203FE">
        <w:t>l development goals of the CEO.</w:t>
      </w:r>
    </w:p>
    <w:p w14:paraId="1D8EC240" w14:textId="231E928B" w:rsidR="00A84004" w:rsidRPr="00DD3A96" w:rsidRDefault="00A84004" w:rsidP="00A84004">
      <w:pPr>
        <w:pStyle w:val="Heading2nonumber"/>
      </w:pPr>
      <w:bookmarkStart w:id="507" w:name="_Toc426617584"/>
      <w:bookmarkStart w:id="508" w:name="_Toc430091314"/>
      <w:r w:rsidRPr="00DD3A96">
        <w:t xml:space="preserve">Review against the PSC </w:t>
      </w:r>
      <w:r w:rsidR="007C3263">
        <w:t>Good Governance Guide</w:t>
      </w:r>
      <w:bookmarkEnd w:id="507"/>
      <w:bookmarkEnd w:id="508"/>
    </w:p>
    <w:p w14:paraId="08BED2F7" w14:textId="77777777" w:rsidR="00A84004" w:rsidRDefault="00A84004" w:rsidP="00A84004">
      <w:r>
        <w:t>In accordance with proposed deliverables of the CEO’s 2014/15 Performance Agreement WorkCover WA undertook a review of the Agency’s performance against the Public Sector Commission’s Good Governance Guide (GGG) for public sector agencies.</w:t>
      </w:r>
    </w:p>
    <w:p w14:paraId="1BB00CAC" w14:textId="19C722F6" w:rsidR="00A84004" w:rsidRDefault="00A84004" w:rsidP="00A84004">
      <w:r>
        <w:t>The review considered the Agency’s performance and levels of compliance against the operational elements of t</w:t>
      </w:r>
      <w:r w:rsidR="0017106B">
        <w:t xml:space="preserve">he nine principles of the GGG. </w:t>
      </w:r>
      <w:r>
        <w:t>The review also considered annual report references for each of these requirements.</w:t>
      </w:r>
    </w:p>
    <w:p w14:paraId="6332B538" w14:textId="7F02A2C8" w:rsidR="00A84004" w:rsidRDefault="00A84004" w:rsidP="003E5D45">
      <w:r>
        <w:t xml:space="preserve">Following a similar review conducted in 2013, the GGG has been used in conjunction with the </w:t>
      </w:r>
      <w:r w:rsidR="004E26AB">
        <w:t>a</w:t>
      </w:r>
      <w:r>
        <w:t>nnual reporting framework to inform the preparation</w:t>
      </w:r>
      <w:r w:rsidR="0017106B">
        <w:t xml:space="preserve"> of the Agency’s annual report.</w:t>
      </w:r>
      <w:r>
        <w:t xml:space="preserve"> In 2012/13 WorkCover WA won the Alan Skinner Award for the best annual report in the General Government Sector and in 2013/14 the WS Lonnie Memorial Trophy for the bes</w:t>
      </w:r>
      <w:r w:rsidR="000E62CA">
        <w:t xml:space="preserve">t annual report of the year. </w:t>
      </w:r>
    </w:p>
    <w:p w14:paraId="63C35834" w14:textId="77777777" w:rsidR="00394D62" w:rsidRDefault="00180DE3" w:rsidP="006F296F">
      <w:pPr>
        <w:pStyle w:val="Heading2nonumber"/>
      </w:pPr>
      <w:bookmarkStart w:id="509" w:name="_Toc399317037"/>
      <w:bookmarkStart w:id="510" w:name="_Toc426617585"/>
      <w:bookmarkStart w:id="511" w:name="_Toc430091315"/>
      <w:r>
        <w:lastRenderedPageBreak/>
        <w:t>Co</w:t>
      </w:r>
      <w:r w:rsidR="00394D62">
        <w:t>mmittees</w:t>
      </w:r>
      <w:bookmarkEnd w:id="509"/>
      <w:bookmarkEnd w:id="510"/>
      <w:bookmarkEnd w:id="511"/>
      <w:r w:rsidR="00394D62">
        <w:t xml:space="preserve"> </w:t>
      </w:r>
    </w:p>
    <w:p w14:paraId="581BBB4D" w14:textId="77777777" w:rsidR="00394D62" w:rsidRDefault="00394D62" w:rsidP="006F296F">
      <w:pPr>
        <w:pStyle w:val="Heading3nonumber"/>
      </w:pPr>
      <w:bookmarkStart w:id="512" w:name="_Toc426617586"/>
      <w:bookmarkStart w:id="513" w:name="_Toc430091316"/>
      <w:r>
        <w:t>Audit Committee</w:t>
      </w:r>
      <w:bookmarkEnd w:id="512"/>
      <w:bookmarkEnd w:id="513"/>
      <w:r>
        <w:t xml:space="preserve"> </w:t>
      </w:r>
    </w:p>
    <w:p w14:paraId="3AED4ED7" w14:textId="2D2C820C" w:rsidR="00C06061" w:rsidRPr="00611F31" w:rsidRDefault="0017106B" w:rsidP="00C06061">
      <w:r>
        <w:t xml:space="preserve">The </w:t>
      </w:r>
      <w:r w:rsidR="00C06061" w:rsidRPr="00611F31">
        <w:t xml:space="preserve">Audit Committee provides independent assurance and assistance to the Board on </w:t>
      </w:r>
      <w:r w:rsidR="00C726B0">
        <w:t>WorkCover WA</w:t>
      </w:r>
      <w:r w:rsidR="00C06061" w:rsidRPr="00611F31">
        <w:t>’s risk, control and compliance framework and its external accoun</w:t>
      </w:r>
      <w:r>
        <w:t>tability responsibilities. The C</w:t>
      </w:r>
      <w:r w:rsidR="00C06061" w:rsidRPr="00611F31">
        <w:t>ommittee reviews strategic and annual internal audit plans, monitors the progress of audit recommendations, and provides stewardship by promoting discussion with internal and external auditors to ensure effective systems and policies are in place.</w:t>
      </w:r>
    </w:p>
    <w:p w14:paraId="3CF66E17" w14:textId="53577C13" w:rsidR="00C06061" w:rsidRDefault="00C06061" w:rsidP="00C06061">
      <w:r w:rsidRPr="00611F31">
        <w:t xml:space="preserve">In 2014/15, two external and </w:t>
      </w:r>
      <w:r w:rsidR="0017106B">
        <w:t>12</w:t>
      </w:r>
      <w:r w:rsidRPr="00611F31">
        <w:t xml:space="preserve"> internal audits took place. </w:t>
      </w:r>
    </w:p>
    <w:p w14:paraId="54EA35FB" w14:textId="3EBD8005" w:rsidR="001A4B16" w:rsidRPr="001A4B16" w:rsidRDefault="00C06061" w:rsidP="00C06061">
      <w:r>
        <w:t>The Ag</w:t>
      </w:r>
      <w:r w:rsidRPr="00611F31">
        <w:t xml:space="preserve">ency received a clear audit from the Auditor General for its overall control environment and internal controls relating to </w:t>
      </w:r>
      <w:r w:rsidR="0017106B">
        <w:t>finances and KPIs. From the 12 i</w:t>
      </w:r>
      <w:r w:rsidRPr="00611F31">
        <w:t>nternal audits undertaken</w:t>
      </w:r>
      <w:r w:rsidR="0017106B">
        <w:t>,</w:t>
      </w:r>
      <w:r w:rsidRPr="00611F31">
        <w:t xml:space="preserve"> 21 findings were identified. All findings have been reported to the Audit Committee and actioned by management.</w:t>
      </w:r>
    </w:p>
    <w:tbl>
      <w:tblPr>
        <w:tblStyle w:val="TableGrid"/>
        <w:tblW w:w="8931" w:type="dxa"/>
        <w:tblInd w:w="108"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37 Audit Committee attendance"/>
        <w:tblDescription w:val="Table 37 details audit committee members and the number of meetings they attended"/>
      </w:tblPr>
      <w:tblGrid>
        <w:gridCol w:w="3080"/>
        <w:gridCol w:w="2874"/>
        <w:gridCol w:w="2977"/>
      </w:tblGrid>
      <w:tr w:rsidR="00467489" w14:paraId="1B1A03F5" w14:textId="77777777" w:rsidTr="00E22526">
        <w:trPr>
          <w:tblHeader/>
        </w:trPr>
        <w:tc>
          <w:tcPr>
            <w:tcW w:w="8931" w:type="dxa"/>
            <w:gridSpan w:val="3"/>
            <w:shd w:val="clear" w:color="auto" w:fill="2D4541" w:themeFill="accent2"/>
          </w:tcPr>
          <w:p w14:paraId="3825BEEB" w14:textId="6E65A227" w:rsidR="00467489" w:rsidRPr="00D31603" w:rsidRDefault="00467489" w:rsidP="009E75E3">
            <w:pPr>
              <w:spacing w:before="120"/>
              <w:rPr>
                <w:rFonts w:cs="Arial"/>
                <w:b/>
                <w:color w:val="FFFFFF" w:themeColor="background1"/>
              </w:rPr>
            </w:pPr>
            <w:r w:rsidRPr="00F84279">
              <w:rPr>
                <w:rFonts w:cs="Arial"/>
                <w:b/>
                <w:color w:val="FFFFFF" w:themeColor="background1"/>
              </w:rPr>
              <w:t xml:space="preserve">Table </w:t>
            </w:r>
            <w:r w:rsidR="00364E02">
              <w:rPr>
                <w:rFonts w:cs="Arial"/>
                <w:b/>
                <w:color w:val="FFFFFF" w:themeColor="background1"/>
              </w:rPr>
              <w:t>3</w:t>
            </w:r>
            <w:r w:rsidR="009E75E3">
              <w:rPr>
                <w:rFonts w:cs="Arial"/>
                <w:b/>
                <w:color w:val="FFFFFF" w:themeColor="background1"/>
              </w:rPr>
              <w:t>7</w:t>
            </w:r>
            <w:r w:rsidRPr="00F84279">
              <w:rPr>
                <w:rFonts w:cs="Arial"/>
                <w:b/>
                <w:color w:val="FFFFFF" w:themeColor="background1"/>
              </w:rPr>
              <w:t>: Audit Committee attendance</w:t>
            </w:r>
            <w:r w:rsidRPr="00D31603">
              <w:rPr>
                <w:rFonts w:cs="Arial"/>
                <w:b/>
                <w:color w:val="FFFFFF" w:themeColor="background1"/>
              </w:rPr>
              <w:t xml:space="preserve"> </w:t>
            </w:r>
          </w:p>
        </w:tc>
      </w:tr>
      <w:tr w:rsidR="009013D5" w14:paraId="2A3FC5F4" w14:textId="77777777" w:rsidTr="00E22526">
        <w:tc>
          <w:tcPr>
            <w:tcW w:w="3080" w:type="dxa"/>
            <w:shd w:val="clear" w:color="auto" w:fill="CEDFDC" w:themeFill="accent2" w:themeFillTint="33"/>
          </w:tcPr>
          <w:p w14:paraId="50168586" w14:textId="77777777" w:rsidR="009013D5" w:rsidRPr="0044251E" w:rsidRDefault="009013D5" w:rsidP="0044251E">
            <w:pPr>
              <w:rPr>
                <w:rStyle w:val="Strong"/>
              </w:rPr>
            </w:pPr>
            <w:r w:rsidRPr="0044251E">
              <w:rPr>
                <w:rStyle w:val="Strong"/>
              </w:rPr>
              <w:t>Audit Committee Member</w:t>
            </w:r>
          </w:p>
        </w:tc>
        <w:tc>
          <w:tcPr>
            <w:tcW w:w="2874" w:type="dxa"/>
            <w:shd w:val="clear" w:color="auto" w:fill="CEDFDC" w:themeFill="accent2" w:themeFillTint="33"/>
          </w:tcPr>
          <w:p w14:paraId="0B0D5660" w14:textId="77777777" w:rsidR="009013D5" w:rsidRPr="0044251E" w:rsidRDefault="009013D5" w:rsidP="0044251E">
            <w:pPr>
              <w:rPr>
                <w:rStyle w:val="Strong"/>
              </w:rPr>
            </w:pPr>
            <w:r w:rsidRPr="0044251E">
              <w:rPr>
                <w:rStyle w:val="Strong"/>
              </w:rPr>
              <w:t>No. of meetings eligible to attend</w:t>
            </w:r>
          </w:p>
        </w:tc>
        <w:tc>
          <w:tcPr>
            <w:tcW w:w="2977" w:type="dxa"/>
            <w:shd w:val="clear" w:color="auto" w:fill="CEDFDC" w:themeFill="accent2" w:themeFillTint="33"/>
          </w:tcPr>
          <w:p w14:paraId="19B75B8C" w14:textId="77777777" w:rsidR="009013D5" w:rsidRPr="0044251E" w:rsidRDefault="009013D5" w:rsidP="0044251E">
            <w:pPr>
              <w:rPr>
                <w:rStyle w:val="Strong"/>
              </w:rPr>
            </w:pPr>
            <w:r w:rsidRPr="0044251E">
              <w:rPr>
                <w:rStyle w:val="Strong"/>
              </w:rPr>
              <w:t>No. of meetings attended</w:t>
            </w:r>
          </w:p>
        </w:tc>
      </w:tr>
      <w:tr w:rsidR="009013D5" w14:paraId="238C3B58" w14:textId="77777777" w:rsidTr="00E22526">
        <w:tc>
          <w:tcPr>
            <w:tcW w:w="3080" w:type="dxa"/>
            <w:shd w:val="clear" w:color="auto" w:fill="D4E2E0" w:themeFill="accent5"/>
          </w:tcPr>
          <w:p w14:paraId="6B99EF0A" w14:textId="77777777" w:rsidR="009013D5" w:rsidRPr="00A00836" w:rsidRDefault="009013D5" w:rsidP="009013D5">
            <w:pPr>
              <w:spacing w:before="120"/>
              <w:rPr>
                <w:rFonts w:cs="Arial"/>
              </w:rPr>
            </w:pPr>
            <w:r w:rsidRPr="00A00836">
              <w:rPr>
                <w:rFonts w:cs="Arial"/>
              </w:rPr>
              <w:t>Victoria Wilmot (Chair)</w:t>
            </w:r>
          </w:p>
        </w:tc>
        <w:tc>
          <w:tcPr>
            <w:tcW w:w="2874" w:type="dxa"/>
          </w:tcPr>
          <w:p w14:paraId="0B7444D4" w14:textId="77777777" w:rsidR="009013D5" w:rsidRPr="00A00836" w:rsidRDefault="00A00836" w:rsidP="009013D5">
            <w:pPr>
              <w:spacing w:before="120"/>
              <w:rPr>
                <w:rFonts w:cs="Arial"/>
              </w:rPr>
            </w:pPr>
            <w:r w:rsidRPr="00A00836">
              <w:rPr>
                <w:rFonts w:cs="Arial"/>
              </w:rPr>
              <w:t>5</w:t>
            </w:r>
          </w:p>
        </w:tc>
        <w:tc>
          <w:tcPr>
            <w:tcW w:w="2977" w:type="dxa"/>
          </w:tcPr>
          <w:p w14:paraId="0681259A" w14:textId="77777777" w:rsidR="009013D5" w:rsidRPr="00A00836" w:rsidRDefault="00A00836" w:rsidP="009013D5">
            <w:pPr>
              <w:spacing w:before="120"/>
              <w:rPr>
                <w:rFonts w:cs="Arial"/>
              </w:rPr>
            </w:pPr>
            <w:r w:rsidRPr="00A00836">
              <w:rPr>
                <w:rFonts w:cs="Arial"/>
              </w:rPr>
              <w:t>5</w:t>
            </w:r>
          </w:p>
        </w:tc>
      </w:tr>
      <w:tr w:rsidR="009013D5" w14:paraId="7682A242" w14:textId="77777777" w:rsidTr="00E22526">
        <w:tc>
          <w:tcPr>
            <w:tcW w:w="3080" w:type="dxa"/>
            <w:shd w:val="clear" w:color="auto" w:fill="D4E2E0" w:themeFill="accent5"/>
          </w:tcPr>
          <w:p w14:paraId="55CD73DD" w14:textId="77777777" w:rsidR="009013D5" w:rsidRPr="00A00836" w:rsidRDefault="009013D5" w:rsidP="009013D5">
            <w:pPr>
              <w:spacing w:before="120"/>
              <w:rPr>
                <w:rFonts w:cs="Arial"/>
              </w:rPr>
            </w:pPr>
            <w:r w:rsidRPr="00A00836">
              <w:rPr>
                <w:rFonts w:cs="Arial"/>
              </w:rPr>
              <w:t>Greg Joyce</w:t>
            </w:r>
          </w:p>
        </w:tc>
        <w:tc>
          <w:tcPr>
            <w:tcW w:w="2874" w:type="dxa"/>
          </w:tcPr>
          <w:p w14:paraId="45E2B768" w14:textId="77777777" w:rsidR="009013D5" w:rsidRPr="00A00836" w:rsidRDefault="00A00836" w:rsidP="009013D5">
            <w:pPr>
              <w:spacing w:before="120"/>
              <w:rPr>
                <w:rFonts w:cs="Arial"/>
              </w:rPr>
            </w:pPr>
            <w:r w:rsidRPr="00A00836">
              <w:rPr>
                <w:rFonts w:cs="Arial"/>
              </w:rPr>
              <w:t>5</w:t>
            </w:r>
          </w:p>
        </w:tc>
        <w:tc>
          <w:tcPr>
            <w:tcW w:w="2977" w:type="dxa"/>
          </w:tcPr>
          <w:p w14:paraId="25A2ED9F" w14:textId="77777777" w:rsidR="009013D5" w:rsidRPr="00A00836" w:rsidRDefault="00A00836" w:rsidP="009013D5">
            <w:pPr>
              <w:spacing w:before="120"/>
              <w:rPr>
                <w:rFonts w:cs="Arial"/>
              </w:rPr>
            </w:pPr>
            <w:r w:rsidRPr="00A00836">
              <w:rPr>
                <w:rFonts w:cs="Arial"/>
              </w:rPr>
              <w:t>5</w:t>
            </w:r>
          </w:p>
        </w:tc>
      </w:tr>
      <w:tr w:rsidR="009013D5" w14:paraId="6ECECC5A" w14:textId="77777777" w:rsidTr="00E22526">
        <w:tc>
          <w:tcPr>
            <w:tcW w:w="3080" w:type="dxa"/>
            <w:shd w:val="clear" w:color="auto" w:fill="D4E2E0" w:themeFill="accent5"/>
          </w:tcPr>
          <w:p w14:paraId="0C97B258" w14:textId="77777777" w:rsidR="009013D5" w:rsidRPr="00A00836" w:rsidRDefault="009013D5" w:rsidP="009013D5">
            <w:pPr>
              <w:spacing w:before="120"/>
              <w:rPr>
                <w:rFonts w:cs="Arial"/>
              </w:rPr>
            </w:pPr>
            <w:r w:rsidRPr="00A00836">
              <w:rPr>
                <w:rFonts w:cs="Arial"/>
              </w:rPr>
              <w:t>Brian Bradley</w:t>
            </w:r>
          </w:p>
        </w:tc>
        <w:tc>
          <w:tcPr>
            <w:tcW w:w="2874" w:type="dxa"/>
          </w:tcPr>
          <w:p w14:paraId="32A190E4" w14:textId="77777777" w:rsidR="009013D5" w:rsidRPr="00A00836" w:rsidRDefault="00A00836" w:rsidP="009013D5">
            <w:pPr>
              <w:spacing w:before="120"/>
              <w:rPr>
                <w:rFonts w:cs="Arial"/>
              </w:rPr>
            </w:pPr>
            <w:r w:rsidRPr="00A00836">
              <w:rPr>
                <w:rFonts w:cs="Arial"/>
              </w:rPr>
              <w:t>5</w:t>
            </w:r>
          </w:p>
        </w:tc>
        <w:tc>
          <w:tcPr>
            <w:tcW w:w="2977" w:type="dxa"/>
          </w:tcPr>
          <w:p w14:paraId="7B405A22" w14:textId="77777777" w:rsidR="009013D5" w:rsidRPr="00A00836" w:rsidRDefault="00A00836" w:rsidP="009013D5">
            <w:pPr>
              <w:spacing w:before="120"/>
              <w:rPr>
                <w:rFonts w:cs="Arial"/>
              </w:rPr>
            </w:pPr>
            <w:r w:rsidRPr="00A00836">
              <w:rPr>
                <w:rFonts w:cs="Arial"/>
              </w:rPr>
              <w:t>4</w:t>
            </w:r>
          </w:p>
        </w:tc>
      </w:tr>
    </w:tbl>
    <w:p w14:paraId="0E82783B" w14:textId="77777777" w:rsidR="00AC1F00" w:rsidRDefault="00AC1F00">
      <w:pPr>
        <w:keepLines w:val="0"/>
        <w:spacing w:after="0" w:line="240" w:lineRule="auto"/>
        <w:rPr>
          <w:rFonts w:ascii="Verdana" w:eastAsiaTheme="majorEastAsia" w:hAnsi="Verdana" w:cstheme="majorBidi"/>
          <w:b/>
          <w:bCs/>
          <w:color w:val="2D4541" w:themeColor="accent2"/>
          <w:szCs w:val="28"/>
          <w:lang w:val="en-US" w:eastAsia="en-AU"/>
        </w:rPr>
      </w:pPr>
    </w:p>
    <w:p w14:paraId="3E4B39B0" w14:textId="77777777" w:rsidR="003356A1" w:rsidRPr="003356A1" w:rsidRDefault="003356A1" w:rsidP="006F296F">
      <w:pPr>
        <w:pStyle w:val="Heading3nonumber"/>
      </w:pPr>
      <w:bookmarkStart w:id="514" w:name="_Toc426617587"/>
      <w:bookmarkStart w:id="515" w:name="_Toc430091317"/>
      <w:r w:rsidRPr="003356A1">
        <w:t>Costs Committee</w:t>
      </w:r>
      <w:bookmarkEnd w:id="514"/>
      <w:bookmarkEnd w:id="515"/>
    </w:p>
    <w:p w14:paraId="66F0EF00" w14:textId="37F98C3C" w:rsidR="00C06061" w:rsidRPr="00AE3672" w:rsidRDefault="00C06061" w:rsidP="00C06061">
      <w:r w:rsidRPr="00AE3672">
        <w:t>The Costs Committee is an independent committee established under section 269 of the Act, reporting directly to the Minis</w:t>
      </w:r>
      <w:r w:rsidR="00985105">
        <w:t>ter. The C</w:t>
      </w:r>
      <w:r w:rsidRPr="00AE3672">
        <w:t xml:space="preserve">ommittee is empowered under section 271 of the Act to make, amend or revoke a determination fixing maximum costs for legal services and registered agent services provided in </w:t>
      </w:r>
      <w:r w:rsidR="00C726B0">
        <w:t>WorkCover WA</w:t>
      </w:r>
      <w:r w:rsidRPr="00AE3672">
        <w:t>’s Concili</w:t>
      </w:r>
      <w:r>
        <w:t>ation and Arbitration Services.</w:t>
      </w:r>
    </w:p>
    <w:p w14:paraId="440DB994" w14:textId="77777777" w:rsidR="00C06061" w:rsidRPr="00AE3672" w:rsidRDefault="00C06061" w:rsidP="00C06061">
      <w:r w:rsidRPr="00AE3672">
        <w:t xml:space="preserve">The Costs Committee met in </w:t>
      </w:r>
      <w:r w:rsidRPr="00B367D5">
        <w:t>March and May 2015 to</w:t>
      </w:r>
      <w:r w:rsidRPr="00AE3672">
        <w:t xml:space="preserve"> consider a review of the Costs Determination. In April 2015 the Committee circulated a discussion paper to key stakeholders with proposals to am</w:t>
      </w:r>
      <w:r>
        <w:t>end part of the scale of costs.</w:t>
      </w:r>
    </w:p>
    <w:p w14:paraId="5D952FCA" w14:textId="77777777" w:rsidR="009013D5" w:rsidRDefault="00C06061" w:rsidP="00C06061">
      <w:r w:rsidRPr="00AE3672">
        <w:lastRenderedPageBreak/>
        <w:t xml:space="preserve">The proposals were considered and the Costs Committee amended the Costs Determination. The </w:t>
      </w:r>
      <w:r w:rsidRPr="00AA41BC">
        <w:rPr>
          <w:i/>
        </w:rPr>
        <w:t xml:space="preserve">Workers’ Compensation (Legal Practitioners and Registered Agents) Costs Determination 2015 </w:t>
      </w:r>
      <w:r w:rsidRPr="00AE3672">
        <w:t xml:space="preserve">came </w:t>
      </w:r>
      <w:r w:rsidRPr="00B367D5">
        <w:t>into effect on 1 July 2015.</w:t>
      </w:r>
    </w:p>
    <w:tbl>
      <w:tblPr>
        <w:tblStyle w:val="TableGrid"/>
        <w:tblW w:w="0" w:type="auto"/>
        <w:tblInd w:w="108"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38 Costs Committee attendance"/>
        <w:tblDescription w:val="Table 39 lists the costs committee members and the number of meetings they attended"/>
      </w:tblPr>
      <w:tblGrid>
        <w:gridCol w:w="2906"/>
        <w:gridCol w:w="3001"/>
        <w:gridCol w:w="3001"/>
      </w:tblGrid>
      <w:tr w:rsidR="00467489" w14:paraId="135BD646" w14:textId="77777777" w:rsidTr="00E22526">
        <w:trPr>
          <w:tblHeader/>
        </w:trPr>
        <w:tc>
          <w:tcPr>
            <w:tcW w:w="8908" w:type="dxa"/>
            <w:gridSpan w:val="3"/>
            <w:shd w:val="clear" w:color="auto" w:fill="2D4541" w:themeFill="accent2"/>
          </w:tcPr>
          <w:p w14:paraId="3F574E18" w14:textId="564C2804" w:rsidR="00467489" w:rsidRPr="00D31603" w:rsidRDefault="00467489" w:rsidP="009E75E3">
            <w:pPr>
              <w:rPr>
                <w:rStyle w:val="Strong"/>
                <w:color w:val="FFFFFF" w:themeColor="background1"/>
              </w:rPr>
            </w:pPr>
            <w:r w:rsidRPr="00F84279">
              <w:rPr>
                <w:rStyle w:val="Strong"/>
                <w:color w:val="FFFFFF" w:themeColor="background1"/>
              </w:rPr>
              <w:t xml:space="preserve">Table </w:t>
            </w:r>
            <w:r w:rsidR="009E75E3">
              <w:rPr>
                <w:rStyle w:val="Strong"/>
                <w:color w:val="FFFFFF" w:themeColor="background1"/>
              </w:rPr>
              <w:t>38</w:t>
            </w:r>
            <w:r w:rsidRPr="00F84279">
              <w:rPr>
                <w:rStyle w:val="Strong"/>
                <w:color w:val="FFFFFF" w:themeColor="background1"/>
              </w:rPr>
              <w:t>: Costs</w:t>
            </w:r>
            <w:r w:rsidRPr="00D31603">
              <w:rPr>
                <w:rStyle w:val="Strong"/>
                <w:color w:val="FFFFFF" w:themeColor="background1"/>
              </w:rPr>
              <w:t xml:space="preserve"> Committee attendance </w:t>
            </w:r>
          </w:p>
        </w:tc>
      </w:tr>
      <w:tr w:rsidR="009013D5" w14:paraId="5A4E88F8" w14:textId="77777777" w:rsidTr="00E22526">
        <w:tc>
          <w:tcPr>
            <w:tcW w:w="2906" w:type="dxa"/>
            <w:shd w:val="clear" w:color="auto" w:fill="D4E2E0" w:themeFill="accent5"/>
          </w:tcPr>
          <w:p w14:paraId="4537EFF4" w14:textId="77777777" w:rsidR="009013D5" w:rsidRPr="009013D5" w:rsidRDefault="009013D5" w:rsidP="009013D5">
            <w:pPr>
              <w:rPr>
                <w:rStyle w:val="Strong"/>
              </w:rPr>
            </w:pPr>
            <w:r w:rsidRPr="009013D5">
              <w:rPr>
                <w:rStyle w:val="Strong"/>
              </w:rPr>
              <w:t>Costs Committee Member</w:t>
            </w:r>
          </w:p>
        </w:tc>
        <w:tc>
          <w:tcPr>
            <w:tcW w:w="3001" w:type="dxa"/>
            <w:shd w:val="clear" w:color="auto" w:fill="CEDFDC" w:themeFill="accent2" w:themeFillTint="33"/>
          </w:tcPr>
          <w:p w14:paraId="0DFD4A25" w14:textId="77777777" w:rsidR="009013D5" w:rsidRPr="009013D5" w:rsidRDefault="009013D5" w:rsidP="009013D5">
            <w:pPr>
              <w:rPr>
                <w:rStyle w:val="Strong"/>
              </w:rPr>
            </w:pPr>
            <w:r w:rsidRPr="009013D5">
              <w:rPr>
                <w:rStyle w:val="Strong"/>
              </w:rPr>
              <w:t>No. of meetings eligible to attend</w:t>
            </w:r>
          </w:p>
        </w:tc>
        <w:tc>
          <w:tcPr>
            <w:tcW w:w="3001" w:type="dxa"/>
            <w:shd w:val="clear" w:color="auto" w:fill="CEDFDC" w:themeFill="accent2" w:themeFillTint="33"/>
          </w:tcPr>
          <w:p w14:paraId="49123380" w14:textId="77777777" w:rsidR="009013D5" w:rsidRPr="009013D5" w:rsidRDefault="009013D5" w:rsidP="009013D5">
            <w:pPr>
              <w:rPr>
                <w:rStyle w:val="Strong"/>
              </w:rPr>
            </w:pPr>
            <w:r w:rsidRPr="009013D5">
              <w:rPr>
                <w:rStyle w:val="Strong"/>
              </w:rPr>
              <w:t>No. of meetings attended</w:t>
            </w:r>
          </w:p>
        </w:tc>
      </w:tr>
      <w:tr w:rsidR="009013D5" w14:paraId="011BD35D" w14:textId="77777777" w:rsidTr="00E22526">
        <w:trPr>
          <w:trHeight w:val="855"/>
        </w:trPr>
        <w:tc>
          <w:tcPr>
            <w:tcW w:w="2906" w:type="dxa"/>
            <w:shd w:val="clear" w:color="auto" w:fill="D4E2E0" w:themeFill="accent5"/>
          </w:tcPr>
          <w:p w14:paraId="11E97946" w14:textId="77777777" w:rsidR="009013D5" w:rsidRPr="0078040C" w:rsidRDefault="00C06061" w:rsidP="0078040C">
            <w:pPr>
              <w:rPr>
                <w:rStyle w:val="Strong"/>
                <w:b w:val="0"/>
              </w:rPr>
            </w:pPr>
            <w:r>
              <w:rPr>
                <w:rStyle w:val="Strong"/>
                <w:b w:val="0"/>
              </w:rPr>
              <w:t>Michelle Reynolds (Chair)</w:t>
            </w:r>
          </w:p>
        </w:tc>
        <w:tc>
          <w:tcPr>
            <w:tcW w:w="3001" w:type="dxa"/>
          </w:tcPr>
          <w:p w14:paraId="44DE2A7A" w14:textId="77777777" w:rsidR="009013D5" w:rsidRPr="00B367D5" w:rsidRDefault="00C06061" w:rsidP="009013D5">
            <w:r w:rsidRPr="00B367D5">
              <w:t>2</w:t>
            </w:r>
          </w:p>
        </w:tc>
        <w:tc>
          <w:tcPr>
            <w:tcW w:w="3001" w:type="dxa"/>
          </w:tcPr>
          <w:p w14:paraId="1A105F11" w14:textId="77777777" w:rsidR="009013D5" w:rsidRPr="00B367D5" w:rsidRDefault="00C06061" w:rsidP="009013D5">
            <w:r w:rsidRPr="00B367D5">
              <w:t>2</w:t>
            </w:r>
          </w:p>
        </w:tc>
      </w:tr>
      <w:tr w:rsidR="009013D5" w14:paraId="4B844182" w14:textId="77777777" w:rsidTr="00E22526">
        <w:trPr>
          <w:trHeight w:val="570"/>
        </w:trPr>
        <w:tc>
          <w:tcPr>
            <w:tcW w:w="2906" w:type="dxa"/>
            <w:shd w:val="clear" w:color="auto" w:fill="D4E2E0" w:themeFill="accent5"/>
          </w:tcPr>
          <w:p w14:paraId="23885581" w14:textId="77777777" w:rsidR="009013D5" w:rsidRPr="0078040C" w:rsidRDefault="009013D5" w:rsidP="0078040C">
            <w:pPr>
              <w:rPr>
                <w:rStyle w:val="Strong"/>
                <w:b w:val="0"/>
              </w:rPr>
            </w:pPr>
            <w:r w:rsidRPr="0078040C">
              <w:rPr>
                <w:rStyle w:val="Strong"/>
                <w:b w:val="0"/>
              </w:rPr>
              <w:t>Karin Lee</w:t>
            </w:r>
          </w:p>
        </w:tc>
        <w:tc>
          <w:tcPr>
            <w:tcW w:w="3001" w:type="dxa"/>
          </w:tcPr>
          <w:p w14:paraId="4044EA9D" w14:textId="77777777" w:rsidR="009013D5" w:rsidRPr="00B367D5" w:rsidRDefault="00C06061" w:rsidP="009013D5">
            <w:r w:rsidRPr="00B367D5">
              <w:t>2</w:t>
            </w:r>
          </w:p>
        </w:tc>
        <w:tc>
          <w:tcPr>
            <w:tcW w:w="3001" w:type="dxa"/>
          </w:tcPr>
          <w:p w14:paraId="2EE96995" w14:textId="77777777" w:rsidR="009013D5" w:rsidRPr="00B367D5" w:rsidRDefault="00C06061" w:rsidP="009013D5">
            <w:r w:rsidRPr="00B367D5">
              <w:t>2</w:t>
            </w:r>
          </w:p>
        </w:tc>
      </w:tr>
      <w:tr w:rsidR="009013D5" w14:paraId="1759CE32" w14:textId="77777777" w:rsidTr="00E22526">
        <w:tc>
          <w:tcPr>
            <w:tcW w:w="2906" w:type="dxa"/>
            <w:shd w:val="clear" w:color="auto" w:fill="D4E2E0" w:themeFill="accent5"/>
          </w:tcPr>
          <w:p w14:paraId="2BD203E6" w14:textId="77777777" w:rsidR="009013D5" w:rsidRPr="0078040C" w:rsidRDefault="009013D5" w:rsidP="0078040C">
            <w:pPr>
              <w:rPr>
                <w:rStyle w:val="Strong"/>
                <w:b w:val="0"/>
              </w:rPr>
            </w:pPr>
            <w:r w:rsidRPr="0078040C">
              <w:rPr>
                <w:rStyle w:val="Strong"/>
                <w:b w:val="0"/>
              </w:rPr>
              <w:t>Marcus Cocker</w:t>
            </w:r>
          </w:p>
        </w:tc>
        <w:tc>
          <w:tcPr>
            <w:tcW w:w="3001" w:type="dxa"/>
          </w:tcPr>
          <w:p w14:paraId="32EC6912" w14:textId="77777777" w:rsidR="009013D5" w:rsidRPr="00B367D5" w:rsidRDefault="00C06061" w:rsidP="009013D5">
            <w:r w:rsidRPr="00B367D5">
              <w:t>2</w:t>
            </w:r>
          </w:p>
        </w:tc>
        <w:tc>
          <w:tcPr>
            <w:tcW w:w="3001" w:type="dxa"/>
          </w:tcPr>
          <w:p w14:paraId="32879B33" w14:textId="77777777" w:rsidR="009013D5" w:rsidRPr="00B367D5" w:rsidRDefault="00C06061" w:rsidP="009013D5">
            <w:r w:rsidRPr="00B367D5">
              <w:t>2</w:t>
            </w:r>
          </w:p>
        </w:tc>
      </w:tr>
      <w:tr w:rsidR="009013D5" w14:paraId="45EF0B80" w14:textId="77777777" w:rsidTr="00E22526">
        <w:trPr>
          <w:trHeight w:val="377"/>
        </w:trPr>
        <w:tc>
          <w:tcPr>
            <w:tcW w:w="2906" w:type="dxa"/>
            <w:shd w:val="clear" w:color="auto" w:fill="D4E2E0" w:themeFill="accent5"/>
          </w:tcPr>
          <w:p w14:paraId="6B47FF65" w14:textId="77777777" w:rsidR="009013D5" w:rsidRPr="0078040C" w:rsidRDefault="009013D5" w:rsidP="0078040C">
            <w:pPr>
              <w:rPr>
                <w:rStyle w:val="Strong"/>
                <w:b w:val="0"/>
              </w:rPr>
            </w:pPr>
            <w:r w:rsidRPr="0078040C">
              <w:rPr>
                <w:rStyle w:val="Strong"/>
                <w:b w:val="0"/>
              </w:rPr>
              <w:t>David Bruns</w:t>
            </w:r>
          </w:p>
        </w:tc>
        <w:tc>
          <w:tcPr>
            <w:tcW w:w="3001" w:type="dxa"/>
          </w:tcPr>
          <w:p w14:paraId="441DBE7A" w14:textId="77777777" w:rsidR="009013D5" w:rsidRPr="00B367D5" w:rsidRDefault="00C06061" w:rsidP="009013D5">
            <w:r w:rsidRPr="00B367D5">
              <w:t>2</w:t>
            </w:r>
          </w:p>
        </w:tc>
        <w:tc>
          <w:tcPr>
            <w:tcW w:w="3001" w:type="dxa"/>
          </w:tcPr>
          <w:p w14:paraId="442120AB" w14:textId="77777777" w:rsidR="009013D5" w:rsidRPr="00B367D5" w:rsidRDefault="00C06061" w:rsidP="009013D5">
            <w:r w:rsidRPr="00B367D5">
              <w:t>2</w:t>
            </w:r>
          </w:p>
        </w:tc>
      </w:tr>
    </w:tbl>
    <w:p w14:paraId="7E98FCFF" w14:textId="47A7B1AE" w:rsidR="00AC1F00" w:rsidRDefault="00AC1F00">
      <w:pPr>
        <w:keepLines w:val="0"/>
        <w:spacing w:after="0" w:line="240" w:lineRule="auto"/>
        <w:rPr>
          <w:rFonts w:ascii="Verdana" w:eastAsiaTheme="majorEastAsia" w:hAnsi="Verdana" w:cstheme="majorBidi"/>
          <w:b/>
          <w:bCs/>
          <w:color w:val="2D4541" w:themeColor="accent2"/>
          <w:szCs w:val="28"/>
          <w:lang w:val="en-US" w:eastAsia="en-AU"/>
        </w:rPr>
      </w:pPr>
    </w:p>
    <w:p w14:paraId="4E2EB820" w14:textId="77777777" w:rsidR="003356A1" w:rsidRDefault="003356A1" w:rsidP="006F296F">
      <w:pPr>
        <w:pStyle w:val="Heading3nonumber"/>
      </w:pPr>
      <w:bookmarkStart w:id="516" w:name="_Toc426617588"/>
      <w:bookmarkStart w:id="517" w:name="_Toc430091318"/>
      <w:r w:rsidRPr="003356A1">
        <w:t>Medical Committee</w:t>
      </w:r>
      <w:bookmarkEnd w:id="516"/>
      <w:bookmarkEnd w:id="517"/>
    </w:p>
    <w:p w14:paraId="715A7645" w14:textId="77777777" w:rsidR="00C06061" w:rsidRPr="007373DB" w:rsidRDefault="00C06061" w:rsidP="00C06061">
      <w:r w:rsidRPr="007373DB">
        <w:t>The Medical Committee is an advisory committee established under section 100A of the Act. The Committee provides guidance on matters of a medical nature within the Western Australian workers’ compensation scheme and advises the Board on medical matters, such as:</w:t>
      </w:r>
    </w:p>
    <w:p w14:paraId="36781C52" w14:textId="7CDF7B96" w:rsidR="00C06061" w:rsidRPr="007373DB" w:rsidRDefault="00C06061" w:rsidP="00A16123">
      <w:pPr>
        <w:pStyle w:val="ListParagraph"/>
        <w:keepLines w:val="0"/>
        <w:numPr>
          <w:ilvl w:val="0"/>
          <w:numId w:val="8"/>
        </w:numPr>
        <w:spacing w:after="160" w:line="259" w:lineRule="auto"/>
      </w:pPr>
      <w:r w:rsidRPr="007373DB">
        <w:t xml:space="preserve">the </w:t>
      </w:r>
      <w:r w:rsidR="00C726B0">
        <w:t>WorkCover WA</w:t>
      </w:r>
      <w:r w:rsidRPr="007373DB">
        <w:t xml:space="preserve"> Guides for the Evaluation of Permanent Impairment</w:t>
      </w:r>
    </w:p>
    <w:p w14:paraId="38E334F4" w14:textId="09DDEC6D" w:rsidR="00C06061" w:rsidRPr="007373DB" w:rsidRDefault="00C06061" w:rsidP="00A16123">
      <w:pPr>
        <w:pStyle w:val="ListParagraph"/>
        <w:keepLines w:val="0"/>
        <w:numPr>
          <w:ilvl w:val="0"/>
          <w:numId w:val="8"/>
        </w:numPr>
        <w:spacing w:after="160" w:line="259" w:lineRule="auto"/>
      </w:pPr>
      <w:r w:rsidRPr="007373DB">
        <w:t xml:space="preserve">the criteria for designation and monitoring of </w:t>
      </w:r>
      <w:r w:rsidR="00A63873">
        <w:t>Approved Medical Specialists (</w:t>
      </w:r>
      <w:r w:rsidR="00B26741">
        <w:t>AMS</w:t>
      </w:r>
      <w:r w:rsidR="00A63873">
        <w:t>)</w:t>
      </w:r>
      <w:r w:rsidR="00B26741">
        <w:t xml:space="preserve"> </w:t>
      </w:r>
      <w:r w:rsidRPr="007373DB">
        <w:t>providing impairment assessments</w:t>
      </w:r>
    </w:p>
    <w:p w14:paraId="7F735332" w14:textId="6C8F110A" w:rsidR="00C06061" w:rsidRPr="007373DB" w:rsidRDefault="009660BC" w:rsidP="00A16123">
      <w:pPr>
        <w:pStyle w:val="ListParagraph"/>
        <w:keepLines w:val="0"/>
        <w:numPr>
          <w:ilvl w:val="0"/>
          <w:numId w:val="8"/>
        </w:numPr>
        <w:spacing w:after="160" w:line="259" w:lineRule="auto"/>
      </w:pPr>
      <w:r w:rsidRPr="007373DB">
        <w:t xml:space="preserve">the role of </w:t>
      </w:r>
      <w:r w:rsidR="00A63873">
        <w:t>AMS</w:t>
      </w:r>
      <w:r>
        <w:t xml:space="preserve"> </w:t>
      </w:r>
      <w:r w:rsidRPr="007373DB">
        <w:t>within the scheme</w:t>
      </w:r>
      <w:r w:rsidR="00C06061" w:rsidRPr="007373DB">
        <w:t>.</w:t>
      </w:r>
    </w:p>
    <w:p w14:paraId="064BAE36" w14:textId="7FB35D44" w:rsidR="00C06061" w:rsidRDefault="00C06061" w:rsidP="00C06061">
      <w:r w:rsidRPr="007373DB">
        <w:t xml:space="preserve">In 2014/15, the Medical Committee </w:t>
      </w:r>
      <w:r w:rsidR="007603F0">
        <w:t>recommended</w:t>
      </w:r>
      <w:r w:rsidRPr="007373DB">
        <w:t xml:space="preserve"> 10 </w:t>
      </w:r>
      <w:r w:rsidR="001916CE">
        <w:t>medical practitioners</w:t>
      </w:r>
      <w:r w:rsidRPr="007373DB">
        <w:t xml:space="preserve"> for designation as an AMS. The applicants were subsequently added to the AMS register. The Committee also provided advice on several key </w:t>
      </w:r>
      <w:r w:rsidR="00C726B0">
        <w:t>WorkCover WA</w:t>
      </w:r>
      <w:r w:rsidRPr="007373DB">
        <w:t xml:space="preserve"> initiatives and offered opinions on the format of </w:t>
      </w:r>
      <w:r w:rsidR="00C726B0">
        <w:t>WorkCover WA</w:t>
      </w:r>
      <w:r w:rsidRPr="007373DB">
        <w:t>’s peer review evenings.</w:t>
      </w:r>
    </w:p>
    <w:p w14:paraId="206709A3" w14:textId="797F37D8" w:rsidR="00E22526" w:rsidRDefault="00C06061" w:rsidP="00C06061">
      <w:r w:rsidRPr="007373DB">
        <w:t xml:space="preserve">After consultation with the </w:t>
      </w:r>
      <w:r w:rsidR="00C726B0">
        <w:t>WorkCover WA</w:t>
      </w:r>
      <w:r w:rsidRPr="007373DB">
        <w:t xml:space="preserve"> Medical Co</w:t>
      </w:r>
      <w:r>
        <w:t>mmittee, the first Psychiatric Peer R</w:t>
      </w:r>
      <w:r w:rsidRPr="007373DB">
        <w:t xml:space="preserve">eview </w:t>
      </w:r>
      <w:r w:rsidR="001916CE">
        <w:t xml:space="preserve">session was held in </w:t>
      </w:r>
      <w:r w:rsidR="007603F0">
        <w:t>May</w:t>
      </w:r>
      <w:r w:rsidRPr="007373DB">
        <w:t xml:space="preserve"> 2015</w:t>
      </w:r>
      <w:r w:rsidR="009D7698">
        <w:t>.</w:t>
      </w:r>
    </w:p>
    <w:p w14:paraId="208E4B36" w14:textId="77777777" w:rsidR="00E22526" w:rsidRDefault="00E22526">
      <w:pPr>
        <w:keepLines w:val="0"/>
        <w:spacing w:after="0" w:line="240" w:lineRule="auto"/>
      </w:pPr>
      <w:r>
        <w:br w:type="page"/>
      </w: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39 Medical Committee attendance"/>
        <w:tblDescription w:val="Table 39 details the medical committee members and the number of meetings they attended"/>
      </w:tblPr>
      <w:tblGrid>
        <w:gridCol w:w="3019"/>
        <w:gridCol w:w="3001"/>
        <w:gridCol w:w="3001"/>
      </w:tblGrid>
      <w:tr w:rsidR="00F6104A" w:rsidRPr="004640D9" w14:paraId="36C64841" w14:textId="77777777" w:rsidTr="005E3D56">
        <w:trPr>
          <w:tblHeader/>
        </w:trPr>
        <w:tc>
          <w:tcPr>
            <w:tcW w:w="9021" w:type="dxa"/>
            <w:gridSpan w:val="3"/>
            <w:shd w:val="clear" w:color="auto" w:fill="2D4541" w:themeFill="accent2"/>
          </w:tcPr>
          <w:p w14:paraId="2BE978A6" w14:textId="188CA72B" w:rsidR="00F6104A" w:rsidRPr="0044251E" w:rsidRDefault="00F6104A" w:rsidP="009E75E3">
            <w:pPr>
              <w:rPr>
                <w:rStyle w:val="Strong"/>
              </w:rPr>
            </w:pPr>
            <w:r w:rsidRPr="00F84279">
              <w:rPr>
                <w:rStyle w:val="Strong"/>
                <w:color w:val="FFFFFF" w:themeColor="background1"/>
              </w:rPr>
              <w:lastRenderedPageBreak/>
              <w:t xml:space="preserve">Table </w:t>
            </w:r>
            <w:r w:rsidR="009E75E3">
              <w:rPr>
                <w:rStyle w:val="Strong"/>
                <w:color w:val="FFFFFF" w:themeColor="background1"/>
              </w:rPr>
              <w:t>39</w:t>
            </w:r>
            <w:r w:rsidRPr="00F84279">
              <w:rPr>
                <w:rStyle w:val="Strong"/>
                <w:color w:val="FFFFFF" w:themeColor="background1"/>
              </w:rPr>
              <w:t>: Medical Committee attendance</w:t>
            </w:r>
            <w:r w:rsidRPr="0044251E">
              <w:rPr>
                <w:rStyle w:val="Strong"/>
                <w:color w:val="FFFFFF" w:themeColor="background1"/>
              </w:rPr>
              <w:t xml:space="preserve"> </w:t>
            </w:r>
          </w:p>
        </w:tc>
      </w:tr>
      <w:tr w:rsidR="00213514" w:rsidRPr="004640D9" w14:paraId="077E1512" w14:textId="77777777" w:rsidTr="0006449E">
        <w:trPr>
          <w:trHeight w:val="990"/>
        </w:trPr>
        <w:tc>
          <w:tcPr>
            <w:tcW w:w="3019" w:type="dxa"/>
            <w:shd w:val="clear" w:color="auto" w:fill="CEDFDC" w:themeFill="accent2" w:themeFillTint="33"/>
          </w:tcPr>
          <w:p w14:paraId="6FCEB82F" w14:textId="77777777" w:rsidR="00213514" w:rsidRPr="0044251E" w:rsidRDefault="00213514" w:rsidP="0044251E">
            <w:pPr>
              <w:rPr>
                <w:rStyle w:val="Strong"/>
              </w:rPr>
            </w:pPr>
            <w:r w:rsidRPr="0044251E">
              <w:rPr>
                <w:rStyle w:val="Strong"/>
              </w:rPr>
              <w:t>Medical Committee Member</w:t>
            </w:r>
          </w:p>
        </w:tc>
        <w:tc>
          <w:tcPr>
            <w:tcW w:w="3001" w:type="dxa"/>
            <w:shd w:val="clear" w:color="auto" w:fill="CEDFDC" w:themeFill="accent2" w:themeFillTint="33"/>
          </w:tcPr>
          <w:p w14:paraId="687CC35B" w14:textId="77777777" w:rsidR="00213514" w:rsidRPr="0044251E" w:rsidRDefault="00213514" w:rsidP="0044251E">
            <w:pPr>
              <w:rPr>
                <w:rStyle w:val="Strong"/>
              </w:rPr>
            </w:pPr>
            <w:r w:rsidRPr="0044251E">
              <w:rPr>
                <w:rStyle w:val="Strong"/>
              </w:rPr>
              <w:t>No. of meetings eligible to attend</w:t>
            </w:r>
          </w:p>
        </w:tc>
        <w:tc>
          <w:tcPr>
            <w:tcW w:w="3001" w:type="dxa"/>
            <w:shd w:val="clear" w:color="auto" w:fill="CEDFDC" w:themeFill="accent2" w:themeFillTint="33"/>
          </w:tcPr>
          <w:p w14:paraId="155F63A3" w14:textId="77777777" w:rsidR="00213514" w:rsidRPr="0044251E" w:rsidRDefault="00213514" w:rsidP="0044251E">
            <w:pPr>
              <w:rPr>
                <w:rStyle w:val="Strong"/>
              </w:rPr>
            </w:pPr>
            <w:r w:rsidRPr="0044251E">
              <w:rPr>
                <w:rStyle w:val="Strong"/>
              </w:rPr>
              <w:t>No. of meetings attended</w:t>
            </w:r>
          </w:p>
        </w:tc>
      </w:tr>
      <w:tr w:rsidR="00213514" w:rsidRPr="004640D9" w14:paraId="78706B49" w14:textId="77777777" w:rsidTr="0006449E">
        <w:tc>
          <w:tcPr>
            <w:tcW w:w="3019" w:type="dxa"/>
            <w:shd w:val="clear" w:color="auto" w:fill="D4E2E0" w:themeFill="accent5"/>
          </w:tcPr>
          <w:p w14:paraId="0AFB1781" w14:textId="77777777" w:rsidR="00E27DE7" w:rsidRPr="004640D9" w:rsidRDefault="00E27DE7" w:rsidP="00065772">
            <w:pPr>
              <w:spacing w:before="120"/>
              <w:rPr>
                <w:rFonts w:cs="Arial"/>
              </w:rPr>
            </w:pPr>
            <w:r>
              <w:rPr>
                <w:rFonts w:cs="Arial"/>
              </w:rPr>
              <w:t>Michelle Reynolds (Chair)</w:t>
            </w:r>
          </w:p>
        </w:tc>
        <w:tc>
          <w:tcPr>
            <w:tcW w:w="3001" w:type="dxa"/>
          </w:tcPr>
          <w:p w14:paraId="5DC159AC" w14:textId="77777777" w:rsidR="00E27DE7" w:rsidRPr="001844E8" w:rsidRDefault="00E27DE7" w:rsidP="00065772">
            <w:pPr>
              <w:spacing w:before="120"/>
              <w:rPr>
                <w:rFonts w:cs="Arial"/>
              </w:rPr>
            </w:pPr>
            <w:r w:rsidRPr="001844E8">
              <w:rPr>
                <w:rFonts w:cs="Arial"/>
              </w:rPr>
              <w:t>2</w:t>
            </w:r>
          </w:p>
        </w:tc>
        <w:tc>
          <w:tcPr>
            <w:tcW w:w="3001" w:type="dxa"/>
          </w:tcPr>
          <w:p w14:paraId="5D9A02F5" w14:textId="77777777" w:rsidR="00E27DE7" w:rsidRPr="001844E8" w:rsidRDefault="00E27DE7" w:rsidP="00065772">
            <w:pPr>
              <w:spacing w:before="120"/>
              <w:rPr>
                <w:rFonts w:cs="Arial"/>
              </w:rPr>
            </w:pPr>
            <w:r w:rsidRPr="001844E8">
              <w:rPr>
                <w:rFonts w:cs="Arial"/>
              </w:rPr>
              <w:t>2</w:t>
            </w:r>
          </w:p>
        </w:tc>
      </w:tr>
      <w:tr w:rsidR="00213514" w:rsidRPr="004640D9" w14:paraId="4D7101B5" w14:textId="77777777" w:rsidTr="0006449E">
        <w:tc>
          <w:tcPr>
            <w:tcW w:w="3019" w:type="dxa"/>
            <w:shd w:val="clear" w:color="auto" w:fill="D4E2E0" w:themeFill="accent5"/>
          </w:tcPr>
          <w:p w14:paraId="0BD0BA25" w14:textId="77777777" w:rsidR="00213514" w:rsidRPr="004640D9" w:rsidRDefault="00213514" w:rsidP="00065772">
            <w:pPr>
              <w:spacing w:before="120"/>
              <w:rPr>
                <w:rFonts w:cs="Arial"/>
              </w:rPr>
            </w:pPr>
            <w:r w:rsidRPr="004640D9">
              <w:rPr>
                <w:rFonts w:cs="Arial"/>
              </w:rPr>
              <w:t>Dr Marcus Adonis</w:t>
            </w:r>
          </w:p>
        </w:tc>
        <w:tc>
          <w:tcPr>
            <w:tcW w:w="3001" w:type="dxa"/>
          </w:tcPr>
          <w:p w14:paraId="6181E333" w14:textId="77777777" w:rsidR="00213514" w:rsidRPr="001844E8" w:rsidRDefault="00E27DE7" w:rsidP="00065772">
            <w:pPr>
              <w:spacing w:before="120"/>
              <w:rPr>
                <w:rFonts w:cs="Arial"/>
              </w:rPr>
            </w:pPr>
            <w:r w:rsidRPr="001844E8">
              <w:rPr>
                <w:rFonts w:cs="Arial"/>
              </w:rPr>
              <w:t>2</w:t>
            </w:r>
          </w:p>
        </w:tc>
        <w:tc>
          <w:tcPr>
            <w:tcW w:w="3001" w:type="dxa"/>
          </w:tcPr>
          <w:p w14:paraId="4EF5F97D" w14:textId="77777777" w:rsidR="00213514" w:rsidRPr="001844E8" w:rsidRDefault="00E27DE7" w:rsidP="00065772">
            <w:pPr>
              <w:spacing w:before="120"/>
              <w:rPr>
                <w:rFonts w:cs="Arial"/>
              </w:rPr>
            </w:pPr>
            <w:r w:rsidRPr="001844E8">
              <w:rPr>
                <w:rFonts w:cs="Arial"/>
              </w:rPr>
              <w:t>2</w:t>
            </w:r>
          </w:p>
        </w:tc>
      </w:tr>
      <w:tr w:rsidR="00213514" w:rsidRPr="004640D9" w14:paraId="491D84E2" w14:textId="77777777" w:rsidTr="0006449E">
        <w:tc>
          <w:tcPr>
            <w:tcW w:w="3019" w:type="dxa"/>
            <w:shd w:val="clear" w:color="auto" w:fill="D4E2E0" w:themeFill="accent5"/>
          </w:tcPr>
          <w:p w14:paraId="035B59AB" w14:textId="77777777" w:rsidR="00213514" w:rsidRPr="004640D9" w:rsidRDefault="00213514" w:rsidP="00065772">
            <w:pPr>
              <w:spacing w:before="120"/>
              <w:rPr>
                <w:rFonts w:cs="Arial"/>
              </w:rPr>
            </w:pPr>
            <w:r w:rsidRPr="004640D9">
              <w:rPr>
                <w:rFonts w:cs="Arial"/>
              </w:rPr>
              <w:t>Dr Heather Campbell</w:t>
            </w:r>
          </w:p>
        </w:tc>
        <w:tc>
          <w:tcPr>
            <w:tcW w:w="3001" w:type="dxa"/>
          </w:tcPr>
          <w:p w14:paraId="628BB196" w14:textId="77777777" w:rsidR="00213514" w:rsidRPr="001844E8" w:rsidRDefault="00E27DE7" w:rsidP="00065772">
            <w:pPr>
              <w:spacing w:before="120"/>
              <w:rPr>
                <w:rFonts w:cs="Arial"/>
              </w:rPr>
            </w:pPr>
            <w:r w:rsidRPr="001844E8">
              <w:rPr>
                <w:rFonts w:cs="Arial"/>
              </w:rPr>
              <w:t>2</w:t>
            </w:r>
          </w:p>
        </w:tc>
        <w:tc>
          <w:tcPr>
            <w:tcW w:w="3001" w:type="dxa"/>
          </w:tcPr>
          <w:p w14:paraId="2428B7BD" w14:textId="77777777" w:rsidR="00213514" w:rsidRPr="001844E8" w:rsidRDefault="00E27DE7" w:rsidP="00065772">
            <w:pPr>
              <w:spacing w:before="120"/>
              <w:rPr>
                <w:rFonts w:cs="Arial"/>
              </w:rPr>
            </w:pPr>
            <w:r w:rsidRPr="001844E8">
              <w:rPr>
                <w:rFonts w:cs="Arial"/>
              </w:rPr>
              <w:t>1</w:t>
            </w:r>
          </w:p>
        </w:tc>
      </w:tr>
      <w:tr w:rsidR="00213514" w:rsidRPr="004640D9" w14:paraId="79A9E1B8" w14:textId="77777777" w:rsidTr="0006449E">
        <w:tc>
          <w:tcPr>
            <w:tcW w:w="3019" w:type="dxa"/>
            <w:shd w:val="clear" w:color="auto" w:fill="D4E2E0" w:themeFill="accent5"/>
          </w:tcPr>
          <w:p w14:paraId="0C7FA6ED" w14:textId="77777777" w:rsidR="00213514" w:rsidRPr="004640D9" w:rsidRDefault="00213514" w:rsidP="00065772">
            <w:pPr>
              <w:spacing w:before="120"/>
              <w:rPr>
                <w:rFonts w:cs="Arial"/>
              </w:rPr>
            </w:pPr>
            <w:r w:rsidRPr="004640D9">
              <w:rPr>
                <w:rFonts w:cs="Arial"/>
              </w:rPr>
              <w:t>Dr Alan Home</w:t>
            </w:r>
          </w:p>
        </w:tc>
        <w:tc>
          <w:tcPr>
            <w:tcW w:w="3001" w:type="dxa"/>
          </w:tcPr>
          <w:p w14:paraId="183376E4" w14:textId="77777777" w:rsidR="00213514" w:rsidRPr="001844E8" w:rsidRDefault="00E27DE7" w:rsidP="00065772">
            <w:pPr>
              <w:spacing w:before="120"/>
              <w:rPr>
                <w:rFonts w:cs="Arial"/>
              </w:rPr>
            </w:pPr>
            <w:r w:rsidRPr="001844E8">
              <w:rPr>
                <w:rFonts w:cs="Arial"/>
              </w:rPr>
              <w:t>2</w:t>
            </w:r>
          </w:p>
        </w:tc>
        <w:tc>
          <w:tcPr>
            <w:tcW w:w="3001" w:type="dxa"/>
          </w:tcPr>
          <w:p w14:paraId="0964C36D" w14:textId="77777777" w:rsidR="00213514" w:rsidRPr="001844E8" w:rsidRDefault="00E27DE7" w:rsidP="00065772">
            <w:pPr>
              <w:spacing w:before="120"/>
              <w:rPr>
                <w:rFonts w:cs="Arial"/>
              </w:rPr>
            </w:pPr>
            <w:r w:rsidRPr="001844E8">
              <w:rPr>
                <w:rFonts w:cs="Arial"/>
              </w:rPr>
              <w:t>2</w:t>
            </w:r>
          </w:p>
        </w:tc>
      </w:tr>
      <w:tr w:rsidR="00213514" w:rsidRPr="004640D9" w14:paraId="32DE6554" w14:textId="77777777" w:rsidTr="0006449E">
        <w:tc>
          <w:tcPr>
            <w:tcW w:w="3019" w:type="dxa"/>
            <w:shd w:val="clear" w:color="auto" w:fill="D4E2E0" w:themeFill="accent5"/>
          </w:tcPr>
          <w:p w14:paraId="054547BC" w14:textId="77777777" w:rsidR="00213514" w:rsidRPr="004640D9" w:rsidRDefault="00213514" w:rsidP="00065772">
            <w:pPr>
              <w:spacing w:before="120"/>
              <w:rPr>
                <w:rFonts w:cs="Arial"/>
              </w:rPr>
            </w:pPr>
            <w:r w:rsidRPr="004640D9">
              <w:rPr>
                <w:rFonts w:cs="Arial"/>
              </w:rPr>
              <w:t>Dr Neil Ozanne</w:t>
            </w:r>
          </w:p>
        </w:tc>
        <w:tc>
          <w:tcPr>
            <w:tcW w:w="3001" w:type="dxa"/>
          </w:tcPr>
          <w:p w14:paraId="4DDD9C63" w14:textId="77777777" w:rsidR="00213514" w:rsidRPr="001844E8" w:rsidRDefault="00E27DE7" w:rsidP="00065772">
            <w:pPr>
              <w:spacing w:before="120"/>
              <w:rPr>
                <w:rFonts w:cs="Arial"/>
              </w:rPr>
            </w:pPr>
            <w:r w:rsidRPr="001844E8">
              <w:rPr>
                <w:rFonts w:cs="Arial"/>
              </w:rPr>
              <w:t>2</w:t>
            </w:r>
          </w:p>
        </w:tc>
        <w:tc>
          <w:tcPr>
            <w:tcW w:w="3001" w:type="dxa"/>
          </w:tcPr>
          <w:p w14:paraId="49C5586F" w14:textId="77777777" w:rsidR="00213514" w:rsidRPr="001844E8" w:rsidRDefault="00E27DE7" w:rsidP="00065772">
            <w:pPr>
              <w:spacing w:before="120"/>
              <w:rPr>
                <w:rFonts w:cs="Arial"/>
              </w:rPr>
            </w:pPr>
            <w:r w:rsidRPr="001844E8">
              <w:rPr>
                <w:rFonts w:cs="Arial"/>
              </w:rPr>
              <w:t>2</w:t>
            </w:r>
          </w:p>
        </w:tc>
      </w:tr>
      <w:tr w:rsidR="00213514" w:rsidRPr="004640D9" w14:paraId="128777EE" w14:textId="77777777" w:rsidTr="0006449E">
        <w:tc>
          <w:tcPr>
            <w:tcW w:w="3019" w:type="dxa"/>
            <w:shd w:val="clear" w:color="auto" w:fill="D4E2E0" w:themeFill="accent5"/>
          </w:tcPr>
          <w:p w14:paraId="18E21A8A" w14:textId="06B223A4" w:rsidR="00213514" w:rsidRPr="004640D9" w:rsidRDefault="00C608F7" w:rsidP="00065772">
            <w:pPr>
              <w:spacing w:before="120"/>
              <w:rPr>
                <w:rFonts w:cs="Arial"/>
              </w:rPr>
            </w:pPr>
            <w:r>
              <w:rPr>
                <w:rFonts w:cs="Arial"/>
              </w:rPr>
              <w:t xml:space="preserve">Mr </w:t>
            </w:r>
            <w:r w:rsidR="00213514" w:rsidRPr="004640D9">
              <w:rPr>
                <w:rFonts w:cs="Arial"/>
              </w:rPr>
              <w:t>David Colvin</w:t>
            </w:r>
          </w:p>
        </w:tc>
        <w:tc>
          <w:tcPr>
            <w:tcW w:w="3001" w:type="dxa"/>
          </w:tcPr>
          <w:p w14:paraId="3520DD80" w14:textId="77777777" w:rsidR="00213514" w:rsidRPr="001844E8" w:rsidRDefault="00E27DE7" w:rsidP="00065772">
            <w:pPr>
              <w:spacing w:before="120"/>
              <w:rPr>
                <w:rFonts w:cs="Arial"/>
              </w:rPr>
            </w:pPr>
            <w:r w:rsidRPr="001844E8">
              <w:rPr>
                <w:rFonts w:cs="Arial"/>
              </w:rPr>
              <w:t>2</w:t>
            </w:r>
          </w:p>
        </w:tc>
        <w:tc>
          <w:tcPr>
            <w:tcW w:w="3001" w:type="dxa"/>
          </w:tcPr>
          <w:p w14:paraId="48DE4846" w14:textId="77777777" w:rsidR="00213514" w:rsidRPr="001844E8" w:rsidRDefault="00213514" w:rsidP="00065772">
            <w:pPr>
              <w:spacing w:before="120"/>
              <w:rPr>
                <w:rFonts w:cs="Arial"/>
              </w:rPr>
            </w:pPr>
            <w:r w:rsidRPr="001844E8">
              <w:rPr>
                <w:rFonts w:cs="Arial"/>
              </w:rPr>
              <w:t>2</w:t>
            </w:r>
          </w:p>
        </w:tc>
      </w:tr>
      <w:tr w:rsidR="00213514" w:rsidRPr="000D2453" w14:paraId="3EB866BE" w14:textId="77777777" w:rsidTr="0006449E">
        <w:tc>
          <w:tcPr>
            <w:tcW w:w="3019" w:type="dxa"/>
            <w:shd w:val="clear" w:color="auto" w:fill="D4E2E0" w:themeFill="accent5"/>
          </w:tcPr>
          <w:p w14:paraId="72109869" w14:textId="117D1598" w:rsidR="00213514" w:rsidRPr="000D2453" w:rsidRDefault="00C608F7" w:rsidP="00065772">
            <w:pPr>
              <w:spacing w:before="120"/>
              <w:rPr>
                <w:rFonts w:cs="Arial"/>
              </w:rPr>
            </w:pPr>
            <w:r>
              <w:rPr>
                <w:rFonts w:cs="Arial"/>
              </w:rPr>
              <w:t xml:space="preserve">Mr </w:t>
            </w:r>
            <w:r w:rsidR="00213514" w:rsidRPr="000D2453">
              <w:rPr>
                <w:rFonts w:cs="Arial"/>
              </w:rPr>
              <w:t>Paul Taylor</w:t>
            </w:r>
          </w:p>
        </w:tc>
        <w:tc>
          <w:tcPr>
            <w:tcW w:w="3001" w:type="dxa"/>
          </w:tcPr>
          <w:p w14:paraId="01B3E1C5" w14:textId="77777777" w:rsidR="00213514" w:rsidRPr="001844E8" w:rsidRDefault="00213514" w:rsidP="00065772">
            <w:pPr>
              <w:spacing w:before="120"/>
              <w:rPr>
                <w:rFonts w:cs="Arial"/>
              </w:rPr>
            </w:pPr>
            <w:r w:rsidRPr="001844E8">
              <w:rPr>
                <w:rFonts w:cs="Arial"/>
              </w:rPr>
              <w:t>2</w:t>
            </w:r>
          </w:p>
        </w:tc>
        <w:tc>
          <w:tcPr>
            <w:tcW w:w="3001" w:type="dxa"/>
          </w:tcPr>
          <w:p w14:paraId="6CE8EC26" w14:textId="77777777" w:rsidR="00213514" w:rsidRPr="001844E8" w:rsidRDefault="00E27DE7" w:rsidP="00065772">
            <w:pPr>
              <w:spacing w:before="120"/>
              <w:rPr>
                <w:rFonts w:cs="Arial"/>
              </w:rPr>
            </w:pPr>
            <w:r w:rsidRPr="001844E8">
              <w:rPr>
                <w:rFonts w:cs="Arial"/>
              </w:rPr>
              <w:t>1</w:t>
            </w:r>
          </w:p>
        </w:tc>
      </w:tr>
    </w:tbl>
    <w:p w14:paraId="434A5805" w14:textId="77777777" w:rsidR="00C76727" w:rsidRDefault="00C76727" w:rsidP="004D1A18">
      <w:pPr>
        <w:pStyle w:val="Heading3nonumber"/>
      </w:pPr>
      <w:bookmarkStart w:id="518" w:name="_Toc426617589"/>
      <w:bookmarkStart w:id="519" w:name="_Toc430091319"/>
      <w:r w:rsidRPr="00C76727">
        <w:t>Industrial Diseases Medical Panel</w:t>
      </w:r>
      <w:bookmarkEnd w:id="518"/>
      <w:bookmarkEnd w:id="519"/>
      <w:r w:rsidRPr="00C76727">
        <w:t xml:space="preserve"> </w:t>
      </w:r>
    </w:p>
    <w:p w14:paraId="161F9F38" w14:textId="0B1510BF" w:rsidR="00BF5B3D" w:rsidRPr="00BF5B3D" w:rsidRDefault="000050ED" w:rsidP="00BF5B3D">
      <w:r w:rsidRPr="00BF5B3D">
        <w:t>The Industrial D</w:t>
      </w:r>
      <w:r w:rsidR="001916CE">
        <w:t>iseases Medical Panel</w:t>
      </w:r>
      <w:r w:rsidR="001E4E36">
        <w:t>s (IDMP) are</w:t>
      </w:r>
      <w:r w:rsidRPr="00BF5B3D">
        <w:t xml:space="preserve"> established to determine </w:t>
      </w:r>
      <w:r>
        <w:t xml:space="preserve">prescribed </w:t>
      </w:r>
      <w:r w:rsidRPr="00BF5B3D">
        <w:t>questions in relation to asbestos related diseases</w:t>
      </w:r>
      <w:r>
        <w:t xml:space="preserve">. </w:t>
      </w:r>
      <w:r w:rsidR="00BF5B3D" w:rsidRPr="00BF5B3D">
        <w:t>All claims for compensation in relation to pneumoconiosis, mesothelioma, lung cancer and diffuse pleural fibr</w:t>
      </w:r>
      <w:r w:rsidR="00AA41BC">
        <w:t>osis are referred to the IDMP to determine:</w:t>
      </w:r>
    </w:p>
    <w:p w14:paraId="562BF44B" w14:textId="4FB44A5D" w:rsidR="00BF5B3D" w:rsidRPr="0044251E" w:rsidRDefault="00AA41BC" w:rsidP="0044251E">
      <w:pPr>
        <w:pStyle w:val="BulletListLevel1"/>
      </w:pPr>
      <w:r>
        <w:t xml:space="preserve">whether </w:t>
      </w:r>
      <w:r w:rsidR="00137392">
        <w:t>t</w:t>
      </w:r>
      <w:r w:rsidR="00BF5B3D" w:rsidRPr="0044251E">
        <w:t>he worker is or was sufferi</w:t>
      </w:r>
      <w:r>
        <w:t>ng from the prescribed diseases</w:t>
      </w:r>
    </w:p>
    <w:p w14:paraId="6F47CFFD" w14:textId="77777777" w:rsidR="00BF5B3D" w:rsidRPr="0044251E" w:rsidRDefault="00137392" w:rsidP="0044251E">
      <w:pPr>
        <w:pStyle w:val="BulletListLevel1"/>
      </w:pPr>
      <w:r>
        <w:t>t</w:t>
      </w:r>
      <w:r w:rsidR="00BF5B3D" w:rsidRPr="0044251E">
        <w:t>he worker’s degree of permanent whole of person impairment.</w:t>
      </w:r>
    </w:p>
    <w:p w14:paraId="31030895" w14:textId="4AE97F81" w:rsidR="00BF5B3D" w:rsidRPr="00BF5B3D" w:rsidRDefault="00BF5B3D" w:rsidP="00BF5B3D">
      <w:r w:rsidRPr="00BF5B3D">
        <w:t>The IDMP</w:t>
      </w:r>
      <w:r w:rsidR="00AA41BC">
        <w:t xml:space="preserve"> is comprised</w:t>
      </w:r>
      <w:r w:rsidRPr="00BF5B3D">
        <w:t xml:space="preserve"> </w:t>
      </w:r>
      <w:r w:rsidR="000B6EA4">
        <w:t xml:space="preserve">of </w:t>
      </w:r>
      <w:r w:rsidRPr="00BF5B3D">
        <w:t>physicians who specialise in diseases of the chest or occupational diseases. IDMPs operate independently</w:t>
      </w:r>
      <w:r w:rsidR="00AA41BC">
        <w:t xml:space="preserve"> with</w:t>
      </w:r>
      <w:r w:rsidR="001A2B42">
        <w:t xml:space="preserve"> </w:t>
      </w:r>
      <w:r w:rsidR="00C726B0">
        <w:t>WorkCover WA</w:t>
      </w:r>
      <w:r w:rsidR="00AA41BC">
        <w:t xml:space="preserve"> providing</w:t>
      </w:r>
      <w:r w:rsidRPr="00BF5B3D">
        <w:t xml:space="preserve"> administrative support and funding.</w:t>
      </w:r>
    </w:p>
    <w:p w14:paraId="2D75FA4F" w14:textId="4C71218D" w:rsidR="00E22526" w:rsidRDefault="000333EA" w:rsidP="001E4E36">
      <w:r w:rsidRPr="00A776AD">
        <w:t>In 2014/15</w:t>
      </w:r>
      <w:r w:rsidR="00024550" w:rsidRPr="00A776AD">
        <w:t xml:space="preserve">, the panel convened on </w:t>
      </w:r>
      <w:r w:rsidR="00A776AD" w:rsidRPr="00A776AD">
        <w:t xml:space="preserve">26 </w:t>
      </w:r>
      <w:r w:rsidR="00024550" w:rsidRPr="00A776AD">
        <w:t xml:space="preserve">occasions and made </w:t>
      </w:r>
      <w:r w:rsidR="00A776AD" w:rsidRPr="00A776AD">
        <w:t xml:space="preserve">49 </w:t>
      </w:r>
      <w:r w:rsidR="0050712A">
        <w:t xml:space="preserve">determinations. </w:t>
      </w:r>
      <w:r w:rsidR="001E4E36">
        <w:br/>
      </w:r>
      <w:r w:rsidR="00E22526">
        <w:br w:type="page"/>
      </w:r>
    </w:p>
    <w:tbl>
      <w:tblPr>
        <w:tblStyle w:val="TableGrid"/>
        <w:tblW w:w="0" w:type="auto"/>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40 Industrial Diseases Medical Panel Members"/>
        <w:tblDescription w:val="Table 40 details the Industrial Diseases Medical Panel members"/>
      </w:tblPr>
      <w:tblGrid>
        <w:gridCol w:w="4492"/>
        <w:gridCol w:w="4524"/>
      </w:tblGrid>
      <w:tr w:rsidR="00F6104A" w:rsidRPr="004640D9" w14:paraId="7B7B077F" w14:textId="77777777" w:rsidTr="005E3D56">
        <w:trPr>
          <w:tblHeader/>
        </w:trPr>
        <w:tc>
          <w:tcPr>
            <w:tcW w:w="9016" w:type="dxa"/>
            <w:gridSpan w:val="2"/>
            <w:shd w:val="clear" w:color="auto" w:fill="2D4541" w:themeFill="accent2"/>
          </w:tcPr>
          <w:p w14:paraId="600D5B78" w14:textId="7E6B4A31" w:rsidR="00F6104A" w:rsidRPr="00D31603" w:rsidRDefault="009A4532" w:rsidP="00F65E4D">
            <w:pPr>
              <w:rPr>
                <w:rStyle w:val="Strong"/>
                <w:color w:val="FFFFFF" w:themeColor="background1"/>
              </w:rPr>
            </w:pPr>
            <w:r>
              <w:lastRenderedPageBreak/>
              <w:br w:type="page"/>
            </w:r>
            <w:r w:rsidR="00F6104A" w:rsidRPr="00F84279">
              <w:rPr>
                <w:rStyle w:val="Strong"/>
                <w:color w:val="FFFFFF" w:themeColor="background1"/>
              </w:rPr>
              <w:t xml:space="preserve">Table </w:t>
            </w:r>
            <w:r w:rsidR="009E75E3">
              <w:rPr>
                <w:rStyle w:val="Strong"/>
                <w:color w:val="FFFFFF" w:themeColor="background1"/>
              </w:rPr>
              <w:t>40</w:t>
            </w:r>
            <w:r w:rsidR="00F6104A" w:rsidRPr="00F84279">
              <w:rPr>
                <w:rStyle w:val="Strong"/>
                <w:color w:val="FFFFFF" w:themeColor="background1"/>
              </w:rPr>
              <w:t xml:space="preserve">: </w:t>
            </w:r>
            <w:r w:rsidR="00F6104A" w:rsidRPr="00923EAB">
              <w:rPr>
                <w:rStyle w:val="Strong"/>
                <w:color w:val="FFFFFF" w:themeColor="background1"/>
                <w:bdr w:val="single" w:sz="4" w:space="0" w:color="2D4541" w:themeColor="accent2"/>
              </w:rPr>
              <w:t>Industrial Diseases Medical Panel Members</w:t>
            </w:r>
          </w:p>
        </w:tc>
      </w:tr>
      <w:tr w:rsidR="00EB2E7C" w:rsidRPr="004640D9" w14:paraId="450FC867" w14:textId="77777777" w:rsidTr="009A4532">
        <w:tc>
          <w:tcPr>
            <w:tcW w:w="4492" w:type="dxa"/>
            <w:shd w:val="clear" w:color="auto" w:fill="CEDFDC" w:themeFill="accent2" w:themeFillTint="33"/>
          </w:tcPr>
          <w:p w14:paraId="39DB8B79" w14:textId="47F6BB5A" w:rsidR="00EB2E7C" w:rsidRPr="00DF5AD1" w:rsidRDefault="00EB2E7C" w:rsidP="00A776AD">
            <w:pPr>
              <w:rPr>
                <w:rStyle w:val="Strong"/>
              </w:rPr>
            </w:pPr>
            <w:r w:rsidRPr="00DF5AD1">
              <w:rPr>
                <w:rStyle w:val="Strong"/>
              </w:rPr>
              <w:t>201</w:t>
            </w:r>
            <w:r w:rsidR="00A776AD">
              <w:rPr>
                <w:rStyle w:val="Strong"/>
              </w:rPr>
              <w:t>4</w:t>
            </w:r>
            <w:r w:rsidRPr="00DF5AD1">
              <w:rPr>
                <w:rStyle w:val="Strong"/>
              </w:rPr>
              <w:t>/1</w:t>
            </w:r>
            <w:r w:rsidR="00A776AD">
              <w:rPr>
                <w:rStyle w:val="Strong"/>
              </w:rPr>
              <w:t>5</w:t>
            </w:r>
            <w:r w:rsidRPr="00DF5AD1">
              <w:rPr>
                <w:rStyle w:val="Strong"/>
              </w:rPr>
              <w:t xml:space="preserve"> Industrial Diseases Medical Panel Chairman (Rotating)</w:t>
            </w:r>
          </w:p>
        </w:tc>
        <w:tc>
          <w:tcPr>
            <w:tcW w:w="4524" w:type="dxa"/>
            <w:shd w:val="clear" w:color="auto" w:fill="CEDFDC" w:themeFill="accent2" w:themeFillTint="33"/>
          </w:tcPr>
          <w:p w14:paraId="36827002" w14:textId="77777777" w:rsidR="00EB2E7C" w:rsidRPr="00DF5AD1" w:rsidRDefault="00EB2E7C" w:rsidP="00A0489E">
            <w:pPr>
              <w:rPr>
                <w:rStyle w:val="Strong"/>
              </w:rPr>
            </w:pPr>
            <w:r w:rsidRPr="00DF5AD1">
              <w:rPr>
                <w:rStyle w:val="Strong"/>
              </w:rPr>
              <w:t>Members</w:t>
            </w:r>
          </w:p>
        </w:tc>
      </w:tr>
      <w:tr w:rsidR="00EB2E7C" w:rsidRPr="004640D9" w14:paraId="45497E1C" w14:textId="77777777" w:rsidTr="009A4532">
        <w:tc>
          <w:tcPr>
            <w:tcW w:w="4492" w:type="dxa"/>
            <w:shd w:val="clear" w:color="auto" w:fill="auto"/>
            <w:vAlign w:val="center"/>
          </w:tcPr>
          <w:p w14:paraId="098802CB" w14:textId="77777777" w:rsidR="00EB2E7C" w:rsidRPr="00024550" w:rsidRDefault="00024550" w:rsidP="00A0489E">
            <w:pPr>
              <w:spacing w:before="120"/>
              <w:rPr>
                <w:rFonts w:cs="Arial"/>
              </w:rPr>
            </w:pPr>
            <w:r w:rsidRPr="00024550">
              <w:rPr>
                <w:rFonts w:cs="Arial"/>
              </w:rPr>
              <w:t>Dr E Gabbay</w:t>
            </w:r>
          </w:p>
        </w:tc>
        <w:tc>
          <w:tcPr>
            <w:tcW w:w="4524" w:type="dxa"/>
            <w:vAlign w:val="center"/>
          </w:tcPr>
          <w:p w14:paraId="41DFE463" w14:textId="77777777" w:rsidR="00EB2E7C" w:rsidRPr="00024550" w:rsidRDefault="000333EA" w:rsidP="00A0489E">
            <w:pPr>
              <w:spacing w:before="120"/>
              <w:rPr>
                <w:rFonts w:cs="Arial"/>
              </w:rPr>
            </w:pPr>
            <w:r>
              <w:rPr>
                <w:rFonts w:cs="Arial"/>
              </w:rPr>
              <w:t>Dr D Bucens</w:t>
            </w:r>
          </w:p>
        </w:tc>
      </w:tr>
      <w:tr w:rsidR="00EB2E7C" w:rsidRPr="004640D9" w14:paraId="6FB7EF36" w14:textId="77777777" w:rsidTr="009A4532">
        <w:tc>
          <w:tcPr>
            <w:tcW w:w="4492" w:type="dxa"/>
            <w:shd w:val="clear" w:color="auto" w:fill="auto"/>
            <w:vAlign w:val="center"/>
          </w:tcPr>
          <w:p w14:paraId="2F77D156" w14:textId="77777777" w:rsidR="00EB2E7C" w:rsidRPr="00024550" w:rsidRDefault="00024550" w:rsidP="00A0489E">
            <w:pPr>
              <w:spacing w:before="120"/>
              <w:rPr>
                <w:rFonts w:cs="Arial"/>
              </w:rPr>
            </w:pPr>
            <w:r w:rsidRPr="00024550">
              <w:rPr>
                <w:rFonts w:cs="Arial"/>
              </w:rPr>
              <w:t>Dr M K Tandon</w:t>
            </w:r>
          </w:p>
        </w:tc>
        <w:tc>
          <w:tcPr>
            <w:tcW w:w="4524" w:type="dxa"/>
            <w:vAlign w:val="center"/>
          </w:tcPr>
          <w:p w14:paraId="22A6AFED" w14:textId="77777777" w:rsidR="00EB2E7C" w:rsidRPr="00024550" w:rsidRDefault="000333EA" w:rsidP="00A0489E">
            <w:pPr>
              <w:spacing w:before="120"/>
              <w:rPr>
                <w:rFonts w:cs="Arial"/>
              </w:rPr>
            </w:pPr>
            <w:r>
              <w:rPr>
                <w:rFonts w:cs="Arial"/>
              </w:rPr>
              <w:t>Dr P Psalia-Savona</w:t>
            </w:r>
          </w:p>
        </w:tc>
      </w:tr>
      <w:tr w:rsidR="00EB2E7C" w:rsidRPr="004640D9" w14:paraId="42F81B92" w14:textId="77777777" w:rsidTr="002001BD">
        <w:tc>
          <w:tcPr>
            <w:tcW w:w="4492" w:type="dxa"/>
            <w:tcBorders>
              <w:bottom w:val="single" w:sz="4" w:space="0" w:color="BAD0CD" w:themeColor="accent5" w:themeShade="E6"/>
            </w:tcBorders>
            <w:shd w:val="clear" w:color="auto" w:fill="auto"/>
            <w:vAlign w:val="center"/>
          </w:tcPr>
          <w:p w14:paraId="7E60DBD5" w14:textId="77777777" w:rsidR="00EB2E7C" w:rsidRPr="00024550" w:rsidRDefault="00024550" w:rsidP="00A0489E">
            <w:pPr>
              <w:spacing w:before="120"/>
              <w:rPr>
                <w:rFonts w:cs="Arial"/>
              </w:rPr>
            </w:pPr>
            <w:r w:rsidRPr="00024550">
              <w:rPr>
                <w:rFonts w:cs="Arial"/>
              </w:rPr>
              <w:t>Dr K C Wan</w:t>
            </w:r>
          </w:p>
        </w:tc>
        <w:tc>
          <w:tcPr>
            <w:tcW w:w="4524" w:type="dxa"/>
            <w:tcBorders>
              <w:bottom w:val="single" w:sz="4" w:space="0" w:color="BAD0CD" w:themeColor="accent5" w:themeShade="E6"/>
            </w:tcBorders>
            <w:vAlign w:val="center"/>
          </w:tcPr>
          <w:p w14:paraId="64DE65E6" w14:textId="77777777" w:rsidR="00EB2E7C" w:rsidRPr="00024550" w:rsidRDefault="000333EA" w:rsidP="00137392">
            <w:pPr>
              <w:spacing w:before="120"/>
              <w:rPr>
                <w:rFonts w:cs="Arial"/>
              </w:rPr>
            </w:pPr>
            <w:r>
              <w:rPr>
                <w:rFonts w:cs="Arial"/>
              </w:rPr>
              <w:t>Dr J Wrobel</w:t>
            </w:r>
          </w:p>
        </w:tc>
      </w:tr>
      <w:tr w:rsidR="000333EA" w:rsidRPr="004640D9" w14:paraId="704C73B3" w14:textId="77777777" w:rsidTr="002001BD">
        <w:tc>
          <w:tcPr>
            <w:tcW w:w="4492" w:type="dxa"/>
            <w:tcBorders>
              <w:bottom w:val="single" w:sz="4" w:space="0" w:color="FFFFFF" w:themeColor="background1"/>
            </w:tcBorders>
            <w:shd w:val="clear" w:color="auto" w:fill="auto"/>
            <w:vAlign w:val="center"/>
          </w:tcPr>
          <w:p w14:paraId="434682E9" w14:textId="77777777" w:rsidR="000333EA" w:rsidRPr="00024550" w:rsidRDefault="000333EA" w:rsidP="00A0489E">
            <w:pPr>
              <w:spacing w:before="120"/>
              <w:rPr>
                <w:rFonts w:cs="Arial"/>
              </w:rPr>
            </w:pPr>
            <w:r w:rsidRPr="00024550">
              <w:rPr>
                <w:rFonts w:cs="Arial"/>
              </w:rPr>
              <w:t>Dr Q Summers</w:t>
            </w:r>
          </w:p>
        </w:tc>
        <w:tc>
          <w:tcPr>
            <w:tcW w:w="4524" w:type="dxa"/>
            <w:vMerge w:val="restart"/>
            <w:tcBorders>
              <w:bottom w:val="single" w:sz="4" w:space="0" w:color="FFFFFF" w:themeColor="background1"/>
              <w:right w:val="single" w:sz="4" w:space="0" w:color="FFFFFF" w:themeColor="background1"/>
            </w:tcBorders>
            <w:vAlign w:val="center"/>
          </w:tcPr>
          <w:p w14:paraId="0318FA71" w14:textId="77777777" w:rsidR="000333EA" w:rsidRPr="00024550" w:rsidRDefault="000333EA" w:rsidP="00A0489E">
            <w:pPr>
              <w:spacing w:before="120"/>
              <w:rPr>
                <w:rFonts w:cs="Arial"/>
              </w:rPr>
            </w:pPr>
          </w:p>
        </w:tc>
      </w:tr>
      <w:tr w:rsidR="000333EA" w:rsidRPr="004640D9" w14:paraId="0125004F" w14:textId="77777777" w:rsidTr="002001BD">
        <w:tc>
          <w:tcPr>
            <w:tcW w:w="4492" w:type="dxa"/>
            <w:tcBorders>
              <w:bottom w:val="single" w:sz="4" w:space="0" w:color="BAD0CD" w:themeColor="accent5" w:themeShade="E6"/>
            </w:tcBorders>
            <w:shd w:val="clear" w:color="auto" w:fill="auto"/>
            <w:vAlign w:val="center"/>
          </w:tcPr>
          <w:p w14:paraId="3FFF9224" w14:textId="77777777" w:rsidR="000333EA" w:rsidRPr="00024550" w:rsidRDefault="000333EA" w:rsidP="00A0489E">
            <w:pPr>
              <w:spacing w:before="120"/>
              <w:rPr>
                <w:rFonts w:cs="Arial"/>
              </w:rPr>
            </w:pPr>
            <w:r>
              <w:rPr>
                <w:rFonts w:cs="Arial"/>
              </w:rPr>
              <w:t>Dr M Musk</w:t>
            </w:r>
          </w:p>
        </w:tc>
        <w:tc>
          <w:tcPr>
            <w:tcW w:w="4524" w:type="dxa"/>
            <w:vMerge/>
            <w:tcBorders>
              <w:bottom w:val="single" w:sz="4" w:space="0" w:color="FFFFFF" w:themeColor="background1"/>
              <w:right w:val="single" w:sz="4" w:space="0" w:color="FFFFFF" w:themeColor="background1"/>
            </w:tcBorders>
            <w:vAlign w:val="center"/>
          </w:tcPr>
          <w:p w14:paraId="4A964013" w14:textId="77777777" w:rsidR="000333EA" w:rsidRPr="00024550" w:rsidRDefault="000333EA" w:rsidP="00A0489E">
            <w:pPr>
              <w:spacing w:before="120"/>
              <w:rPr>
                <w:rFonts w:cs="Arial"/>
              </w:rPr>
            </w:pPr>
          </w:p>
        </w:tc>
      </w:tr>
      <w:tr w:rsidR="000333EA" w:rsidRPr="004640D9" w14:paraId="09192983" w14:textId="77777777" w:rsidTr="002001BD">
        <w:tc>
          <w:tcPr>
            <w:tcW w:w="4492" w:type="dxa"/>
            <w:tcBorders>
              <w:bottom w:val="single" w:sz="4" w:space="0" w:color="BAD0CD" w:themeColor="accent5" w:themeShade="E6"/>
            </w:tcBorders>
            <w:shd w:val="clear" w:color="auto" w:fill="auto"/>
            <w:vAlign w:val="center"/>
          </w:tcPr>
          <w:p w14:paraId="03897D4B" w14:textId="77777777" w:rsidR="000333EA" w:rsidRPr="00024550" w:rsidRDefault="000333EA" w:rsidP="00A0489E">
            <w:pPr>
              <w:spacing w:before="120"/>
              <w:rPr>
                <w:rFonts w:cs="Arial"/>
              </w:rPr>
            </w:pPr>
            <w:r>
              <w:rPr>
                <w:rFonts w:cs="Arial"/>
              </w:rPr>
              <w:t>Dr J Sim</w:t>
            </w:r>
          </w:p>
        </w:tc>
        <w:tc>
          <w:tcPr>
            <w:tcW w:w="4524" w:type="dxa"/>
            <w:vMerge/>
            <w:tcBorders>
              <w:bottom w:val="single" w:sz="4" w:space="0" w:color="FFFFFF" w:themeColor="background1"/>
              <w:right w:val="single" w:sz="4" w:space="0" w:color="FFFFFF" w:themeColor="background1"/>
            </w:tcBorders>
            <w:vAlign w:val="center"/>
          </w:tcPr>
          <w:p w14:paraId="4C984844" w14:textId="77777777" w:rsidR="000333EA" w:rsidRPr="00024550" w:rsidRDefault="000333EA" w:rsidP="00A0489E">
            <w:pPr>
              <w:spacing w:before="120"/>
              <w:rPr>
                <w:rFonts w:cs="Arial"/>
              </w:rPr>
            </w:pPr>
          </w:p>
        </w:tc>
      </w:tr>
    </w:tbl>
    <w:p w14:paraId="255A41C9" w14:textId="77777777" w:rsidR="00AC1F00" w:rsidRDefault="00AC1F00">
      <w:pPr>
        <w:keepLines w:val="0"/>
        <w:spacing w:after="0" w:line="240" w:lineRule="auto"/>
        <w:rPr>
          <w:rStyle w:val="Emphasis"/>
          <w:sz w:val="22"/>
        </w:rPr>
      </w:pPr>
    </w:p>
    <w:tbl>
      <w:tblPr>
        <w:tblStyle w:val="TableGrid"/>
        <w:tblW w:w="9185" w:type="dxa"/>
        <w:tblInd w:w="-34"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41 Number of IDMP applications"/>
        <w:tblDescription w:val="Table 41 lists the number if industrial disease medical panel applications"/>
      </w:tblPr>
      <w:tblGrid>
        <w:gridCol w:w="1720"/>
        <w:gridCol w:w="1265"/>
        <w:gridCol w:w="1439"/>
        <w:gridCol w:w="1417"/>
        <w:gridCol w:w="1418"/>
        <w:gridCol w:w="1926"/>
      </w:tblGrid>
      <w:tr w:rsidR="007C45D2" w:rsidRPr="00701E2F" w14:paraId="0A04EAD2" w14:textId="77777777" w:rsidTr="00A32760">
        <w:trPr>
          <w:tblHeader/>
        </w:trPr>
        <w:tc>
          <w:tcPr>
            <w:tcW w:w="9185" w:type="dxa"/>
            <w:gridSpan w:val="6"/>
            <w:shd w:val="clear" w:color="auto" w:fill="2D4541" w:themeFill="accent2"/>
          </w:tcPr>
          <w:p w14:paraId="4C8E4BF6" w14:textId="52B11701" w:rsidR="007C45D2" w:rsidRPr="00F84279" w:rsidRDefault="007C45D2" w:rsidP="00364E02">
            <w:pPr>
              <w:pStyle w:val="ListParagraph"/>
              <w:spacing w:after="240"/>
              <w:ind w:left="0"/>
              <w:rPr>
                <w:rStyle w:val="Strong"/>
                <w:color w:val="FFFFFF" w:themeColor="background1"/>
              </w:rPr>
            </w:pPr>
            <w:r w:rsidRPr="00F84279">
              <w:rPr>
                <w:rStyle w:val="Strong"/>
                <w:color w:val="FFFFFF" w:themeColor="background1"/>
              </w:rPr>
              <w:t>Table</w:t>
            </w:r>
            <w:r>
              <w:rPr>
                <w:rStyle w:val="Strong"/>
                <w:color w:val="FFFFFF" w:themeColor="background1"/>
              </w:rPr>
              <w:t xml:space="preserve"> </w:t>
            </w:r>
            <w:r>
              <w:rPr>
                <w:rStyle w:val="Strong"/>
                <w:color w:val="FFFFFF" w:themeColor="background1"/>
                <w:bdr w:val="single" w:sz="4" w:space="0" w:color="2D4541" w:themeColor="accent2"/>
              </w:rPr>
              <w:t>41</w:t>
            </w:r>
            <w:r w:rsidRPr="00923EAB">
              <w:rPr>
                <w:rStyle w:val="Strong"/>
                <w:color w:val="FFFFFF" w:themeColor="background1"/>
                <w:bdr w:val="single" w:sz="4" w:space="0" w:color="2D4541" w:themeColor="accent2"/>
              </w:rPr>
              <w:t>: Number of IDMP</w:t>
            </w:r>
            <w:r w:rsidRPr="00D31603">
              <w:rPr>
                <w:rStyle w:val="Strong"/>
                <w:color w:val="FFFFFF" w:themeColor="background1"/>
              </w:rPr>
              <w:t xml:space="preserve"> applications</w:t>
            </w:r>
          </w:p>
        </w:tc>
      </w:tr>
      <w:tr w:rsidR="002001BD" w:rsidRPr="00701E2F" w14:paraId="4124E5D0" w14:textId="77777777" w:rsidTr="007C45D2">
        <w:tc>
          <w:tcPr>
            <w:tcW w:w="1720" w:type="dxa"/>
            <w:shd w:val="clear" w:color="auto" w:fill="CEDFDC" w:themeFill="accent2" w:themeFillTint="33"/>
          </w:tcPr>
          <w:p w14:paraId="79B13495" w14:textId="77777777" w:rsidR="002001BD" w:rsidRPr="0044251E" w:rsidRDefault="002001BD" w:rsidP="0044251E">
            <w:pPr>
              <w:rPr>
                <w:rStyle w:val="Strong"/>
              </w:rPr>
            </w:pPr>
            <w:r w:rsidRPr="0044251E">
              <w:rPr>
                <w:rStyle w:val="Strong"/>
              </w:rPr>
              <w:t>Applications</w:t>
            </w:r>
          </w:p>
        </w:tc>
        <w:tc>
          <w:tcPr>
            <w:tcW w:w="1265" w:type="dxa"/>
            <w:shd w:val="clear" w:color="auto" w:fill="CEDFDC" w:themeFill="accent2" w:themeFillTint="33"/>
          </w:tcPr>
          <w:p w14:paraId="1E3B1E1C" w14:textId="77777777" w:rsidR="002001BD" w:rsidRPr="0044251E" w:rsidRDefault="002001BD" w:rsidP="0044251E">
            <w:pPr>
              <w:rPr>
                <w:rStyle w:val="Strong"/>
              </w:rPr>
            </w:pPr>
            <w:r w:rsidRPr="0044251E">
              <w:rPr>
                <w:rStyle w:val="Strong"/>
              </w:rPr>
              <w:t>2010/11</w:t>
            </w:r>
          </w:p>
        </w:tc>
        <w:tc>
          <w:tcPr>
            <w:tcW w:w="1439" w:type="dxa"/>
            <w:shd w:val="clear" w:color="auto" w:fill="CEDFDC" w:themeFill="accent2" w:themeFillTint="33"/>
          </w:tcPr>
          <w:p w14:paraId="5CFED3E3" w14:textId="77777777" w:rsidR="002001BD" w:rsidRPr="0044251E" w:rsidRDefault="002001BD" w:rsidP="0044251E">
            <w:pPr>
              <w:rPr>
                <w:rStyle w:val="Strong"/>
              </w:rPr>
            </w:pPr>
            <w:r w:rsidRPr="0044251E">
              <w:rPr>
                <w:rStyle w:val="Strong"/>
              </w:rPr>
              <w:t>2011/12</w:t>
            </w:r>
          </w:p>
        </w:tc>
        <w:tc>
          <w:tcPr>
            <w:tcW w:w="1417" w:type="dxa"/>
            <w:shd w:val="clear" w:color="auto" w:fill="CEDFDC" w:themeFill="accent2" w:themeFillTint="33"/>
          </w:tcPr>
          <w:p w14:paraId="3713A2C0" w14:textId="77777777" w:rsidR="002001BD" w:rsidRPr="0044251E" w:rsidRDefault="002001BD" w:rsidP="0044251E">
            <w:pPr>
              <w:rPr>
                <w:rStyle w:val="Strong"/>
              </w:rPr>
            </w:pPr>
            <w:r w:rsidRPr="0044251E">
              <w:rPr>
                <w:rStyle w:val="Strong"/>
              </w:rPr>
              <w:t>2012/13</w:t>
            </w:r>
          </w:p>
        </w:tc>
        <w:tc>
          <w:tcPr>
            <w:tcW w:w="1418" w:type="dxa"/>
            <w:shd w:val="clear" w:color="auto" w:fill="CEDFDC" w:themeFill="accent2" w:themeFillTint="33"/>
          </w:tcPr>
          <w:p w14:paraId="07578030" w14:textId="77777777" w:rsidR="002001BD" w:rsidRPr="0044251E" w:rsidRDefault="002001BD" w:rsidP="0044251E">
            <w:pPr>
              <w:rPr>
                <w:rStyle w:val="Strong"/>
              </w:rPr>
            </w:pPr>
            <w:r w:rsidRPr="0044251E">
              <w:rPr>
                <w:rStyle w:val="Strong"/>
              </w:rPr>
              <w:t>2013/14</w:t>
            </w:r>
          </w:p>
        </w:tc>
        <w:tc>
          <w:tcPr>
            <w:tcW w:w="1926" w:type="dxa"/>
            <w:shd w:val="clear" w:color="auto" w:fill="CEDFDC" w:themeFill="accent2" w:themeFillTint="33"/>
          </w:tcPr>
          <w:p w14:paraId="42DD5C26" w14:textId="77777777" w:rsidR="002001BD" w:rsidRPr="0044251E" w:rsidRDefault="002001BD" w:rsidP="0044251E">
            <w:pPr>
              <w:rPr>
                <w:rStyle w:val="Strong"/>
              </w:rPr>
            </w:pPr>
            <w:r w:rsidRPr="00A776AD">
              <w:rPr>
                <w:rStyle w:val="Strong"/>
              </w:rPr>
              <w:t>2014/15</w:t>
            </w:r>
          </w:p>
        </w:tc>
      </w:tr>
      <w:tr w:rsidR="002001BD" w:rsidRPr="00494D5C" w14:paraId="1151A53F" w14:textId="77777777" w:rsidTr="007C45D2">
        <w:tc>
          <w:tcPr>
            <w:tcW w:w="1720" w:type="dxa"/>
            <w:shd w:val="clear" w:color="auto" w:fill="D4E2E0" w:themeFill="accent5"/>
          </w:tcPr>
          <w:p w14:paraId="3F912565" w14:textId="77777777" w:rsidR="002001BD" w:rsidRPr="00F12697" w:rsidRDefault="002001BD" w:rsidP="00F12697">
            <w:r w:rsidRPr="00F12697">
              <w:t>New</w:t>
            </w:r>
          </w:p>
        </w:tc>
        <w:tc>
          <w:tcPr>
            <w:tcW w:w="1265" w:type="dxa"/>
          </w:tcPr>
          <w:p w14:paraId="3E545C72" w14:textId="77777777" w:rsidR="002001BD" w:rsidRPr="00D43AE6" w:rsidRDefault="002001BD" w:rsidP="00D43AE6">
            <w:r w:rsidRPr="00D43AE6">
              <w:t>38</w:t>
            </w:r>
          </w:p>
        </w:tc>
        <w:tc>
          <w:tcPr>
            <w:tcW w:w="1439" w:type="dxa"/>
          </w:tcPr>
          <w:p w14:paraId="456B6990" w14:textId="77777777" w:rsidR="002001BD" w:rsidRPr="00D43AE6" w:rsidRDefault="002001BD" w:rsidP="00D43AE6">
            <w:r w:rsidRPr="00D43AE6">
              <w:t>42</w:t>
            </w:r>
          </w:p>
        </w:tc>
        <w:tc>
          <w:tcPr>
            <w:tcW w:w="1417" w:type="dxa"/>
            <w:shd w:val="clear" w:color="auto" w:fill="auto"/>
          </w:tcPr>
          <w:p w14:paraId="44BDA595" w14:textId="77777777" w:rsidR="002001BD" w:rsidRPr="00D43AE6" w:rsidRDefault="002001BD" w:rsidP="00D43AE6">
            <w:r w:rsidRPr="00D43AE6">
              <w:t>38</w:t>
            </w:r>
          </w:p>
        </w:tc>
        <w:tc>
          <w:tcPr>
            <w:tcW w:w="1418" w:type="dxa"/>
            <w:shd w:val="clear" w:color="auto" w:fill="auto"/>
          </w:tcPr>
          <w:p w14:paraId="3A863107" w14:textId="77777777" w:rsidR="002001BD" w:rsidRPr="00D43AE6" w:rsidRDefault="002001BD" w:rsidP="00D43AE6">
            <w:r w:rsidRPr="00D43AE6">
              <w:t>42</w:t>
            </w:r>
          </w:p>
        </w:tc>
        <w:tc>
          <w:tcPr>
            <w:tcW w:w="1926" w:type="dxa"/>
            <w:shd w:val="clear" w:color="auto" w:fill="F2F2F2" w:themeFill="background1" w:themeFillShade="F2"/>
          </w:tcPr>
          <w:p w14:paraId="4913A299" w14:textId="66083322" w:rsidR="002001BD" w:rsidRPr="00A776AD" w:rsidRDefault="00A776AD" w:rsidP="00D43AE6">
            <w:r w:rsidRPr="00A776AD">
              <w:t>49</w:t>
            </w:r>
          </w:p>
        </w:tc>
      </w:tr>
      <w:tr w:rsidR="002001BD" w:rsidRPr="00494D5C" w14:paraId="6C951236" w14:textId="77777777" w:rsidTr="007C45D2">
        <w:trPr>
          <w:trHeight w:val="425"/>
        </w:trPr>
        <w:tc>
          <w:tcPr>
            <w:tcW w:w="1720" w:type="dxa"/>
            <w:shd w:val="clear" w:color="auto" w:fill="D4E2E0" w:themeFill="accent5"/>
          </w:tcPr>
          <w:p w14:paraId="043D1751" w14:textId="77777777" w:rsidR="002001BD" w:rsidRPr="00F12697" w:rsidRDefault="002001BD" w:rsidP="00F12697">
            <w:r w:rsidRPr="00F12697">
              <w:t>Reviewed</w:t>
            </w:r>
          </w:p>
        </w:tc>
        <w:tc>
          <w:tcPr>
            <w:tcW w:w="1265" w:type="dxa"/>
          </w:tcPr>
          <w:p w14:paraId="36B41F18" w14:textId="77777777" w:rsidR="002001BD" w:rsidRPr="00D43AE6" w:rsidRDefault="002001BD" w:rsidP="00D43AE6">
            <w:r w:rsidRPr="00D43AE6">
              <w:t>6</w:t>
            </w:r>
          </w:p>
        </w:tc>
        <w:tc>
          <w:tcPr>
            <w:tcW w:w="1439" w:type="dxa"/>
          </w:tcPr>
          <w:p w14:paraId="3719BD0D" w14:textId="77777777" w:rsidR="002001BD" w:rsidRPr="00D43AE6" w:rsidRDefault="002001BD" w:rsidP="00D43AE6">
            <w:r w:rsidRPr="00D43AE6">
              <w:t>7</w:t>
            </w:r>
          </w:p>
        </w:tc>
        <w:tc>
          <w:tcPr>
            <w:tcW w:w="1417" w:type="dxa"/>
            <w:shd w:val="clear" w:color="auto" w:fill="auto"/>
          </w:tcPr>
          <w:p w14:paraId="717673B0" w14:textId="77777777" w:rsidR="002001BD" w:rsidRPr="00D43AE6" w:rsidRDefault="002001BD" w:rsidP="00D43AE6">
            <w:r w:rsidRPr="00D43AE6">
              <w:t>2</w:t>
            </w:r>
          </w:p>
        </w:tc>
        <w:tc>
          <w:tcPr>
            <w:tcW w:w="1418" w:type="dxa"/>
            <w:shd w:val="clear" w:color="auto" w:fill="auto"/>
          </w:tcPr>
          <w:p w14:paraId="68410A37" w14:textId="77777777" w:rsidR="002001BD" w:rsidRPr="00D43AE6" w:rsidRDefault="002001BD" w:rsidP="00D43AE6">
            <w:r w:rsidRPr="00D43AE6">
              <w:t>11</w:t>
            </w:r>
          </w:p>
        </w:tc>
        <w:tc>
          <w:tcPr>
            <w:tcW w:w="1926" w:type="dxa"/>
            <w:shd w:val="clear" w:color="auto" w:fill="F2F2F2" w:themeFill="background1" w:themeFillShade="F2"/>
          </w:tcPr>
          <w:p w14:paraId="2231D3BF" w14:textId="245D87BE" w:rsidR="002001BD" w:rsidRPr="00A776AD" w:rsidRDefault="00A776AD" w:rsidP="0044514B">
            <w:r w:rsidRPr="00A776AD">
              <w:t>10</w:t>
            </w:r>
          </w:p>
        </w:tc>
      </w:tr>
      <w:tr w:rsidR="002001BD" w:rsidRPr="00494D5C" w14:paraId="2210AA74" w14:textId="77777777" w:rsidTr="007C45D2">
        <w:tc>
          <w:tcPr>
            <w:tcW w:w="1720" w:type="dxa"/>
            <w:shd w:val="clear" w:color="auto" w:fill="2D4541" w:themeFill="accent2"/>
          </w:tcPr>
          <w:p w14:paraId="2DE89AED" w14:textId="77777777" w:rsidR="002001BD" w:rsidRPr="00916F27" w:rsidRDefault="002001BD" w:rsidP="00065772">
            <w:pPr>
              <w:pStyle w:val="ListParagraph"/>
              <w:spacing w:after="240"/>
              <w:ind w:left="0"/>
              <w:rPr>
                <w:rFonts w:cs="Arial"/>
                <w:b/>
                <w:color w:val="FFFFFF" w:themeColor="background1"/>
              </w:rPr>
            </w:pPr>
            <w:r w:rsidRPr="00916F27">
              <w:rPr>
                <w:rFonts w:cs="Arial"/>
                <w:b/>
                <w:color w:val="FFFFFF" w:themeColor="background1"/>
              </w:rPr>
              <w:t>Total</w:t>
            </w:r>
          </w:p>
        </w:tc>
        <w:tc>
          <w:tcPr>
            <w:tcW w:w="1265" w:type="dxa"/>
            <w:shd w:val="clear" w:color="auto" w:fill="2D4541" w:themeFill="accent2"/>
          </w:tcPr>
          <w:p w14:paraId="4F8C52EF" w14:textId="77777777" w:rsidR="002001BD" w:rsidRPr="00916F27" w:rsidRDefault="002001BD" w:rsidP="00065772">
            <w:pPr>
              <w:pStyle w:val="ListParagraph"/>
              <w:spacing w:after="240"/>
              <w:ind w:left="0"/>
              <w:rPr>
                <w:rFonts w:cs="Arial"/>
                <w:b/>
                <w:color w:val="FFFFFF" w:themeColor="background1"/>
              </w:rPr>
            </w:pPr>
            <w:r w:rsidRPr="00916F27">
              <w:rPr>
                <w:rFonts w:cs="Arial"/>
                <w:b/>
                <w:color w:val="FFFFFF" w:themeColor="background1"/>
              </w:rPr>
              <w:t>44</w:t>
            </w:r>
          </w:p>
        </w:tc>
        <w:tc>
          <w:tcPr>
            <w:tcW w:w="1439" w:type="dxa"/>
            <w:shd w:val="clear" w:color="auto" w:fill="2D4541" w:themeFill="accent2"/>
          </w:tcPr>
          <w:p w14:paraId="555676AF" w14:textId="77777777" w:rsidR="002001BD" w:rsidRPr="00916F27" w:rsidRDefault="002001BD" w:rsidP="00065772">
            <w:pPr>
              <w:pStyle w:val="ListParagraph"/>
              <w:spacing w:after="240"/>
              <w:ind w:left="0"/>
              <w:rPr>
                <w:rFonts w:cs="Arial"/>
                <w:b/>
                <w:color w:val="FFFFFF" w:themeColor="background1"/>
              </w:rPr>
            </w:pPr>
            <w:r w:rsidRPr="00916F27">
              <w:rPr>
                <w:rFonts w:cs="Arial"/>
                <w:b/>
                <w:color w:val="FFFFFF" w:themeColor="background1"/>
              </w:rPr>
              <w:t>49</w:t>
            </w:r>
          </w:p>
        </w:tc>
        <w:tc>
          <w:tcPr>
            <w:tcW w:w="1417" w:type="dxa"/>
            <w:shd w:val="clear" w:color="auto" w:fill="2D4541" w:themeFill="accent2"/>
          </w:tcPr>
          <w:p w14:paraId="71140BEF" w14:textId="221F1BB2" w:rsidR="002001BD" w:rsidRPr="00916F27" w:rsidRDefault="002001BD" w:rsidP="00065772">
            <w:pPr>
              <w:pStyle w:val="ListParagraph"/>
              <w:spacing w:after="240"/>
              <w:ind w:left="0"/>
              <w:rPr>
                <w:rFonts w:cs="Arial"/>
                <w:b/>
                <w:color w:val="FFFFFF" w:themeColor="background1"/>
              </w:rPr>
            </w:pPr>
            <w:r w:rsidRPr="00916F27">
              <w:rPr>
                <w:rFonts w:cs="Arial"/>
                <w:b/>
                <w:color w:val="FFFFFF" w:themeColor="background1"/>
              </w:rPr>
              <w:t>4</w:t>
            </w:r>
            <w:r w:rsidR="00916F27" w:rsidRPr="00916F27">
              <w:rPr>
                <w:rFonts w:cs="Arial"/>
                <w:b/>
                <w:color w:val="FFFFFF" w:themeColor="background1"/>
              </w:rPr>
              <w:t>0</w:t>
            </w:r>
          </w:p>
        </w:tc>
        <w:tc>
          <w:tcPr>
            <w:tcW w:w="1418" w:type="dxa"/>
            <w:shd w:val="clear" w:color="auto" w:fill="2D4541" w:themeFill="accent2"/>
          </w:tcPr>
          <w:p w14:paraId="291AD366" w14:textId="77777777" w:rsidR="002001BD" w:rsidRPr="00916F27" w:rsidRDefault="002001BD" w:rsidP="00065772">
            <w:pPr>
              <w:pStyle w:val="ListParagraph"/>
              <w:spacing w:after="240"/>
              <w:ind w:left="0"/>
              <w:rPr>
                <w:rFonts w:cs="Arial"/>
                <w:b/>
                <w:color w:val="FFFFFF" w:themeColor="background1"/>
              </w:rPr>
            </w:pPr>
            <w:r w:rsidRPr="00916F27">
              <w:rPr>
                <w:rFonts w:cs="Arial"/>
                <w:b/>
                <w:color w:val="FFFFFF" w:themeColor="background1"/>
              </w:rPr>
              <w:t>53</w:t>
            </w:r>
          </w:p>
        </w:tc>
        <w:tc>
          <w:tcPr>
            <w:tcW w:w="1926" w:type="dxa"/>
            <w:shd w:val="clear" w:color="auto" w:fill="2D4541" w:themeFill="accent2"/>
          </w:tcPr>
          <w:p w14:paraId="052CC866" w14:textId="332D3840" w:rsidR="002001BD" w:rsidRPr="00916F27" w:rsidRDefault="00A776AD" w:rsidP="00065772">
            <w:pPr>
              <w:pStyle w:val="ListParagraph"/>
              <w:spacing w:after="240"/>
              <w:ind w:left="0"/>
              <w:rPr>
                <w:rFonts w:cs="Arial"/>
                <w:b/>
                <w:color w:val="FFFFFF" w:themeColor="background1"/>
              </w:rPr>
            </w:pPr>
            <w:r w:rsidRPr="00916F27">
              <w:rPr>
                <w:rFonts w:cs="Arial"/>
                <w:b/>
                <w:color w:val="FFFFFF" w:themeColor="background1"/>
              </w:rPr>
              <w:t>59</w:t>
            </w:r>
          </w:p>
        </w:tc>
      </w:tr>
    </w:tbl>
    <w:p w14:paraId="7467DCDC" w14:textId="0A0C0C47" w:rsidR="009E75E3" w:rsidRDefault="009E75E3" w:rsidP="00BD48C0"/>
    <w:p w14:paraId="0B3FBD16" w14:textId="77777777" w:rsidR="009E75E3" w:rsidRDefault="009E75E3">
      <w:pPr>
        <w:keepLines w:val="0"/>
        <w:spacing w:after="0" w:line="240" w:lineRule="auto"/>
      </w:pPr>
      <w:r>
        <w:br w:type="page"/>
      </w:r>
    </w:p>
    <w:tbl>
      <w:tblPr>
        <w:tblStyle w:val="TableGrid"/>
        <w:tblW w:w="8930" w:type="dxa"/>
        <w:tblInd w:w="-34"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Look w:val="04A0" w:firstRow="1" w:lastRow="0" w:firstColumn="1" w:lastColumn="0" w:noHBand="0" w:noVBand="1"/>
        <w:tblCaption w:val="Table 42 Number of diseases determinations"/>
        <w:tblDescription w:val="Table 42 lists the number of disease determinations over the last five years"/>
      </w:tblPr>
      <w:tblGrid>
        <w:gridCol w:w="2312"/>
        <w:gridCol w:w="1232"/>
        <w:gridCol w:w="1276"/>
        <w:gridCol w:w="1276"/>
        <w:gridCol w:w="1417"/>
        <w:gridCol w:w="1417"/>
      </w:tblGrid>
      <w:tr w:rsidR="0021069B" w:rsidRPr="00494D5C" w14:paraId="42BFCFE1" w14:textId="77777777" w:rsidTr="0021069B">
        <w:trPr>
          <w:tblHeader/>
        </w:trPr>
        <w:tc>
          <w:tcPr>
            <w:tcW w:w="7513" w:type="dxa"/>
            <w:gridSpan w:val="5"/>
            <w:tcBorders>
              <w:top w:val="single" w:sz="4" w:space="0" w:color="2D4541" w:themeColor="accent2"/>
              <w:left w:val="single" w:sz="4" w:space="0" w:color="2D4541" w:themeColor="accent2"/>
              <w:bottom w:val="single" w:sz="4" w:space="0" w:color="2D4541" w:themeColor="accent2"/>
              <w:right w:val="single" w:sz="4" w:space="0" w:color="2D4541" w:themeColor="accent2"/>
            </w:tcBorders>
            <w:shd w:val="clear" w:color="auto" w:fill="2D4541" w:themeFill="accent2"/>
          </w:tcPr>
          <w:p w14:paraId="4F90D104" w14:textId="5897C3D9" w:rsidR="0021069B" w:rsidRPr="00D31603" w:rsidRDefault="0021069B" w:rsidP="00F65E4D">
            <w:pPr>
              <w:pStyle w:val="ListParagraph"/>
              <w:spacing w:after="240" w:line="271" w:lineRule="auto"/>
              <w:ind w:left="0"/>
              <w:rPr>
                <w:rStyle w:val="Strong"/>
                <w:color w:val="FFFFFF" w:themeColor="background1"/>
              </w:rPr>
            </w:pPr>
            <w:r>
              <w:lastRenderedPageBreak/>
              <w:br w:type="page"/>
            </w:r>
            <w:r w:rsidRPr="00F84279">
              <w:rPr>
                <w:rStyle w:val="Strong"/>
                <w:color w:val="FFFFFF" w:themeColor="background1"/>
              </w:rPr>
              <w:t xml:space="preserve">Table </w:t>
            </w:r>
            <w:r w:rsidR="00F73A0E">
              <w:rPr>
                <w:rStyle w:val="Strong"/>
                <w:color w:val="FFFFFF" w:themeColor="background1"/>
                <w:bdr w:val="single" w:sz="4" w:space="0" w:color="2D4541" w:themeColor="accent2"/>
              </w:rPr>
              <w:t>4</w:t>
            </w:r>
            <w:r w:rsidR="009E75E3">
              <w:rPr>
                <w:rStyle w:val="Strong"/>
                <w:color w:val="FFFFFF" w:themeColor="background1"/>
                <w:bdr w:val="single" w:sz="4" w:space="0" w:color="2D4541" w:themeColor="accent2"/>
              </w:rPr>
              <w:t>2</w:t>
            </w:r>
            <w:r w:rsidRPr="00923EAB">
              <w:rPr>
                <w:rStyle w:val="Strong"/>
                <w:color w:val="FFFFFF" w:themeColor="background1"/>
                <w:bdr w:val="single" w:sz="4" w:space="0" w:color="2D4541" w:themeColor="accent2"/>
              </w:rPr>
              <w:t>: Number of diseases determinations</w:t>
            </w:r>
            <w:r w:rsidRPr="00D31603">
              <w:rPr>
                <w:rStyle w:val="Strong"/>
                <w:color w:val="FFFFFF" w:themeColor="background1"/>
              </w:rPr>
              <w:t xml:space="preserve"> </w:t>
            </w:r>
          </w:p>
        </w:tc>
        <w:tc>
          <w:tcPr>
            <w:tcW w:w="1417" w:type="dxa"/>
            <w:tcBorders>
              <w:top w:val="single" w:sz="4" w:space="0" w:color="2D4541" w:themeColor="accent2"/>
              <w:left w:val="single" w:sz="4" w:space="0" w:color="2D4541" w:themeColor="accent2"/>
              <w:bottom w:val="single" w:sz="4" w:space="0" w:color="2D4541" w:themeColor="accent2"/>
              <w:right w:val="single" w:sz="4" w:space="0" w:color="2D4541" w:themeColor="accent2"/>
            </w:tcBorders>
            <w:shd w:val="clear" w:color="auto" w:fill="2D4541" w:themeFill="accent2"/>
          </w:tcPr>
          <w:p w14:paraId="01AF7247" w14:textId="77777777" w:rsidR="0021069B" w:rsidRDefault="0021069B" w:rsidP="00364E02">
            <w:pPr>
              <w:pStyle w:val="ListParagraph"/>
              <w:spacing w:after="240" w:line="271" w:lineRule="auto"/>
              <w:ind w:left="0"/>
            </w:pPr>
          </w:p>
        </w:tc>
      </w:tr>
      <w:tr w:rsidR="0021069B" w:rsidRPr="00494D5C" w14:paraId="311A1390" w14:textId="77777777" w:rsidTr="0021069B">
        <w:tc>
          <w:tcPr>
            <w:tcW w:w="2312" w:type="dxa"/>
            <w:tcBorders>
              <w:top w:val="single" w:sz="4" w:space="0" w:color="2D4541" w:themeColor="accent2"/>
            </w:tcBorders>
            <w:shd w:val="clear" w:color="auto" w:fill="CEDFDC" w:themeFill="accent2" w:themeFillTint="33"/>
          </w:tcPr>
          <w:p w14:paraId="5396CC85" w14:textId="77777777" w:rsidR="0021069B" w:rsidRPr="0044251E" w:rsidRDefault="0021069B" w:rsidP="0044251E">
            <w:pPr>
              <w:rPr>
                <w:rStyle w:val="Strong"/>
              </w:rPr>
            </w:pPr>
            <w:r w:rsidRPr="0044251E">
              <w:rPr>
                <w:rStyle w:val="Strong"/>
              </w:rPr>
              <w:t>Disease</w:t>
            </w:r>
          </w:p>
        </w:tc>
        <w:tc>
          <w:tcPr>
            <w:tcW w:w="1232" w:type="dxa"/>
            <w:tcBorders>
              <w:top w:val="single" w:sz="4" w:space="0" w:color="2D4541" w:themeColor="accent2"/>
            </w:tcBorders>
            <w:shd w:val="clear" w:color="auto" w:fill="CEDFDC" w:themeFill="accent2" w:themeFillTint="33"/>
          </w:tcPr>
          <w:p w14:paraId="5B30FCBB" w14:textId="77777777" w:rsidR="0021069B" w:rsidRPr="0044251E" w:rsidRDefault="0021069B" w:rsidP="0044251E">
            <w:pPr>
              <w:rPr>
                <w:rStyle w:val="Strong"/>
              </w:rPr>
            </w:pPr>
            <w:r w:rsidRPr="0044251E">
              <w:rPr>
                <w:rStyle w:val="Strong"/>
              </w:rPr>
              <w:t>2010/11</w:t>
            </w:r>
          </w:p>
        </w:tc>
        <w:tc>
          <w:tcPr>
            <w:tcW w:w="1276" w:type="dxa"/>
            <w:tcBorders>
              <w:top w:val="single" w:sz="4" w:space="0" w:color="2D4541" w:themeColor="accent2"/>
            </w:tcBorders>
            <w:shd w:val="clear" w:color="auto" w:fill="CEDFDC" w:themeFill="accent2" w:themeFillTint="33"/>
          </w:tcPr>
          <w:p w14:paraId="015C79CA" w14:textId="77777777" w:rsidR="0021069B" w:rsidRPr="0044251E" w:rsidRDefault="0021069B" w:rsidP="0044251E">
            <w:pPr>
              <w:rPr>
                <w:rStyle w:val="Strong"/>
              </w:rPr>
            </w:pPr>
            <w:r w:rsidRPr="0044251E">
              <w:rPr>
                <w:rStyle w:val="Strong"/>
              </w:rPr>
              <w:t>2011/12</w:t>
            </w:r>
          </w:p>
        </w:tc>
        <w:tc>
          <w:tcPr>
            <w:tcW w:w="1276" w:type="dxa"/>
            <w:tcBorders>
              <w:top w:val="single" w:sz="4" w:space="0" w:color="2D4541" w:themeColor="accent2"/>
            </w:tcBorders>
            <w:shd w:val="clear" w:color="auto" w:fill="CEDFDC" w:themeFill="accent2" w:themeFillTint="33"/>
          </w:tcPr>
          <w:p w14:paraId="53B8E46B" w14:textId="77777777" w:rsidR="0021069B" w:rsidRPr="0044251E" w:rsidRDefault="0021069B" w:rsidP="0044251E">
            <w:pPr>
              <w:rPr>
                <w:rStyle w:val="Strong"/>
              </w:rPr>
            </w:pPr>
            <w:r w:rsidRPr="0044251E">
              <w:rPr>
                <w:rStyle w:val="Strong"/>
              </w:rPr>
              <w:t>2012/13</w:t>
            </w:r>
          </w:p>
        </w:tc>
        <w:tc>
          <w:tcPr>
            <w:tcW w:w="1417" w:type="dxa"/>
            <w:tcBorders>
              <w:top w:val="single" w:sz="4" w:space="0" w:color="2D4541" w:themeColor="accent2"/>
            </w:tcBorders>
            <w:shd w:val="clear" w:color="auto" w:fill="CEDFDC" w:themeFill="accent2" w:themeFillTint="33"/>
          </w:tcPr>
          <w:p w14:paraId="771FB2E3" w14:textId="77777777" w:rsidR="0021069B" w:rsidRPr="0044251E" w:rsidRDefault="0021069B" w:rsidP="0044251E">
            <w:pPr>
              <w:rPr>
                <w:rStyle w:val="Strong"/>
              </w:rPr>
            </w:pPr>
            <w:r w:rsidRPr="0044251E">
              <w:rPr>
                <w:rStyle w:val="Strong"/>
              </w:rPr>
              <w:t>2013/14</w:t>
            </w:r>
          </w:p>
        </w:tc>
        <w:tc>
          <w:tcPr>
            <w:tcW w:w="1417" w:type="dxa"/>
            <w:tcBorders>
              <w:top w:val="single" w:sz="4" w:space="0" w:color="2D4541" w:themeColor="accent2"/>
            </w:tcBorders>
            <w:shd w:val="clear" w:color="auto" w:fill="CEDFDC" w:themeFill="accent2" w:themeFillTint="33"/>
          </w:tcPr>
          <w:p w14:paraId="161EA7DA" w14:textId="77777777" w:rsidR="0021069B" w:rsidRPr="00793391" w:rsidRDefault="0021069B" w:rsidP="0044251E">
            <w:pPr>
              <w:rPr>
                <w:rStyle w:val="Strong"/>
              </w:rPr>
            </w:pPr>
            <w:r w:rsidRPr="00793391">
              <w:rPr>
                <w:rStyle w:val="Strong"/>
              </w:rPr>
              <w:t>2014/15</w:t>
            </w:r>
          </w:p>
        </w:tc>
      </w:tr>
      <w:tr w:rsidR="0044514B" w:rsidRPr="00494D5C" w14:paraId="0024365E" w14:textId="77777777" w:rsidTr="00793391">
        <w:tc>
          <w:tcPr>
            <w:tcW w:w="2312" w:type="dxa"/>
            <w:shd w:val="clear" w:color="auto" w:fill="D4E2E0" w:themeFill="accent5"/>
          </w:tcPr>
          <w:p w14:paraId="506D4C16" w14:textId="77777777" w:rsidR="0044514B" w:rsidRPr="00F12697" w:rsidRDefault="0044514B" w:rsidP="0044514B">
            <w:r w:rsidRPr="00F12697">
              <w:t>Pneumoconiosis</w:t>
            </w:r>
          </w:p>
        </w:tc>
        <w:tc>
          <w:tcPr>
            <w:tcW w:w="1232" w:type="dxa"/>
          </w:tcPr>
          <w:p w14:paraId="0C0CBA7E" w14:textId="77777777" w:rsidR="0044514B" w:rsidRPr="0044251E" w:rsidRDefault="0044514B" w:rsidP="0044514B">
            <w:r w:rsidRPr="0044251E">
              <w:t>9</w:t>
            </w:r>
          </w:p>
        </w:tc>
        <w:tc>
          <w:tcPr>
            <w:tcW w:w="1276" w:type="dxa"/>
          </w:tcPr>
          <w:p w14:paraId="5F5B26B9" w14:textId="77777777" w:rsidR="0044514B" w:rsidRPr="0044251E" w:rsidRDefault="0044514B" w:rsidP="0044514B">
            <w:r w:rsidRPr="0044251E">
              <w:t>12</w:t>
            </w:r>
          </w:p>
        </w:tc>
        <w:tc>
          <w:tcPr>
            <w:tcW w:w="1276" w:type="dxa"/>
            <w:shd w:val="clear" w:color="auto" w:fill="auto"/>
          </w:tcPr>
          <w:p w14:paraId="46E974D4" w14:textId="77777777" w:rsidR="0044514B" w:rsidRPr="0044251E" w:rsidRDefault="0044514B" w:rsidP="0044514B">
            <w:r w:rsidRPr="0044251E">
              <w:t>12</w:t>
            </w:r>
          </w:p>
        </w:tc>
        <w:tc>
          <w:tcPr>
            <w:tcW w:w="1417" w:type="dxa"/>
            <w:shd w:val="clear" w:color="auto" w:fill="auto"/>
          </w:tcPr>
          <w:p w14:paraId="0533B8E5" w14:textId="77777777" w:rsidR="0044514B" w:rsidRPr="00793391" w:rsidRDefault="0044514B" w:rsidP="0044514B">
            <w:r w:rsidRPr="00793391">
              <w:t>18</w:t>
            </w:r>
          </w:p>
        </w:tc>
        <w:tc>
          <w:tcPr>
            <w:tcW w:w="1417" w:type="dxa"/>
            <w:shd w:val="clear" w:color="auto" w:fill="F2F2F2" w:themeFill="background1" w:themeFillShade="F2"/>
          </w:tcPr>
          <w:p w14:paraId="2C48CE6F" w14:textId="5B82D4D2" w:rsidR="0044514B" w:rsidRPr="00793391" w:rsidRDefault="00A776AD" w:rsidP="0044514B">
            <w:r w:rsidRPr="00793391">
              <w:t>28</w:t>
            </w:r>
          </w:p>
        </w:tc>
      </w:tr>
      <w:tr w:rsidR="0044514B" w:rsidRPr="00494D5C" w14:paraId="01C53C5F" w14:textId="77777777" w:rsidTr="00793391">
        <w:tc>
          <w:tcPr>
            <w:tcW w:w="2312" w:type="dxa"/>
            <w:shd w:val="clear" w:color="auto" w:fill="D4E2E0" w:themeFill="accent5"/>
          </w:tcPr>
          <w:p w14:paraId="084676EA" w14:textId="77777777" w:rsidR="0044514B" w:rsidRPr="00F12697" w:rsidRDefault="0044514B" w:rsidP="0044514B">
            <w:r w:rsidRPr="00F12697">
              <w:t>Pneumoconiosis &amp; Diffuse Pleural Fibrosis</w:t>
            </w:r>
          </w:p>
        </w:tc>
        <w:tc>
          <w:tcPr>
            <w:tcW w:w="1232" w:type="dxa"/>
          </w:tcPr>
          <w:p w14:paraId="124C9C6B" w14:textId="77777777" w:rsidR="0044514B" w:rsidRPr="0044251E" w:rsidRDefault="0044514B" w:rsidP="0044514B">
            <w:r w:rsidRPr="0044251E">
              <w:t>N/A</w:t>
            </w:r>
          </w:p>
        </w:tc>
        <w:tc>
          <w:tcPr>
            <w:tcW w:w="1276" w:type="dxa"/>
          </w:tcPr>
          <w:p w14:paraId="20197993" w14:textId="77777777" w:rsidR="0044514B" w:rsidRPr="0044251E" w:rsidRDefault="0044514B" w:rsidP="0044514B">
            <w:r w:rsidRPr="0044251E">
              <w:t>5</w:t>
            </w:r>
          </w:p>
        </w:tc>
        <w:tc>
          <w:tcPr>
            <w:tcW w:w="1276" w:type="dxa"/>
            <w:shd w:val="clear" w:color="auto" w:fill="auto"/>
          </w:tcPr>
          <w:p w14:paraId="0C59B64A" w14:textId="77777777" w:rsidR="0044514B" w:rsidRPr="0044251E" w:rsidRDefault="0044514B" w:rsidP="0044514B">
            <w:r w:rsidRPr="0044251E">
              <w:t>3</w:t>
            </w:r>
          </w:p>
        </w:tc>
        <w:tc>
          <w:tcPr>
            <w:tcW w:w="1417" w:type="dxa"/>
            <w:shd w:val="clear" w:color="auto" w:fill="auto"/>
          </w:tcPr>
          <w:p w14:paraId="68B2E15A" w14:textId="77777777" w:rsidR="0044514B" w:rsidRPr="00793391" w:rsidRDefault="0044514B" w:rsidP="0044514B">
            <w:r w:rsidRPr="00793391">
              <w:t>4</w:t>
            </w:r>
          </w:p>
        </w:tc>
        <w:tc>
          <w:tcPr>
            <w:tcW w:w="1417" w:type="dxa"/>
            <w:shd w:val="clear" w:color="auto" w:fill="F2F2F2" w:themeFill="background1" w:themeFillShade="F2"/>
          </w:tcPr>
          <w:p w14:paraId="317C1F30" w14:textId="2AF2DD65" w:rsidR="0044514B" w:rsidRPr="00793391" w:rsidRDefault="00A776AD" w:rsidP="0044514B">
            <w:r w:rsidRPr="00793391">
              <w:t>4</w:t>
            </w:r>
          </w:p>
        </w:tc>
      </w:tr>
      <w:tr w:rsidR="0044514B" w:rsidRPr="00494D5C" w14:paraId="71F69EE4" w14:textId="77777777" w:rsidTr="00793391">
        <w:tc>
          <w:tcPr>
            <w:tcW w:w="2312" w:type="dxa"/>
            <w:shd w:val="clear" w:color="auto" w:fill="D4E2E0" w:themeFill="accent5"/>
          </w:tcPr>
          <w:p w14:paraId="06A9CA61" w14:textId="77777777" w:rsidR="0044514B" w:rsidRPr="00F12697" w:rsidRDefault="0044514B" w:rsidP="0044514B">
            <w:r w:rsidRPr="00F12697">
              <w:t>Pneumoconiosis &amp; Lung Cancer</w:t>
            </w:r>
          </w:p>
        </w:tc>
        <w:tc>
          <w:tcPr>
            <w:tcW w:w="1232" w:type="dxa"/>
          </w:tcPr>
          <w:p w14:paraId="3AC591C1" w14:textId="77777777" w:rsidR="0044514B" w:rsidRPr="0044251E" w:rsidRDefault="0044514B" w:rsidP="0044514B">
            <w:r w:rsidRPr="0044251E">
              <w:t>0</w:t>
            </w:r>
          </w:p>
        </w:tc>
        <w:tc>
          <w:tcPr>
            <w:tcW w:w="1276" w:type="dxa"/>
          </w:tcPr>
          <w:p w14:paraId="48757185" w14:textId="77777777" w:rsidR="0044514B" w:rsidRPr="0044251E" w:rsidRDefault="0044514B" w:rsidP="0044514B">
            <w:r w:rsidRPr="0044251E">
              <w:t>1</w:t>
            </w:r>
          </w:p>
        </w:tc>
        <w:tc>
          <w:tcPr>
            <w:tcW w:w="1276" w:type="dxa"/>
            <w:shd w:val="clear" w:color="auto" w:fill="auto"/>
          </w:tcPr>
          <w:p w14:paraId="5C90D2C2" w14:textId="77777777" w:rsidR="0044514B" w:rsidRPr="0044251E" w:rsidRDefault="0044514B" w:rsidP="0044514B">
            <w:r w:rsidRPr="0044251E">
              <w:t>0</w:t>
            </w:r>
          </w:p>
        </w:tc>
        <w:tc>
          <w:tcPr>
            <w:tcW w:w="1417" w:type="dxa"/>
            <w:shd w:val="clear" w:color="auto" w:fill="auto"/>
          </w:tcPr>
          <w:p w14:paraId="3AF23558" w14:textId="77777777" w:rsidR="0044514B" w:rsidRPr="00793391" w:rsidRDefault="0044514B" w:rsidP="0044514B">
            <w:r w:rsidRPr="00793391">
              <w:t>0</w:t>
            </w:r>
          </w:p>
        </w:tc>
        <w:tc>
          <w:tcPr>
            <w:tcW w:w="1417" w:type="dxa"/>
            <w:shd w:val="clear" w:color="auto" w:fill="F2F2F2" w:themeFill="background1" w:themeFillShade="F2"/>
          </w:tcPr>
          <w:p w14:paraId="78F534C7" w14:textId="015908F1" w:rsidR="0044514B" w:rsidRPr="00793391" w:rsidRDefault="00A776AD" w:rsidP="0044514B">
            <w:r w:rsidRPr="00793391">
              <w:t>2</w:t>
            </w:r>
          </w:p>
        </w:tc>
      </w:tr>
      <w:tr w:rsidR="0044514B" w:rsidRPr="00494D5C" w14:paraId="581AD2F4" w14:textId="77777777" w:rsidTr="00793391">
        <w:tc>
          <w:tcPr>
            <w:tcW w:w="2312" w:type="dxa"/>
            <w:shd w:val="clear" w:color="auto" w:fill="D4E2E0" w:themeFill="accent5"/>
          </w:tcPr>
          <w:p w14:paraId="1D3A808C" w14:textId="77777777" w:rsidR="0044514B" w:rsidRPr="00F12697" w:rsidRDefault="0044514B" w:rsidP="0044514B">
            <w:r w:rsidRPr="00F12697">
              <w:t>Diffuse Pleural Fibrosis</w:t>
            </w:r>
          </w:p>
        </w:tc>
        <w:tc>
          <w:tcPr>
            <w:tcW w:w="1232" w:type="dxa"/>
          </w:tcPr>
          <w:p w14:paraId="68624E1A" w14:textId="77777777" w:rsidR="0044514B" w:rsidRPr="0044251E" w:rsidRDefault="0044514B" w:rsidP="0044514B">
            <w:r w:rsidRPr="0044251E">
              <w:t>N/A</w:t>
            </w:r>
          </w:p>
        </w:tc>
        <w:tc>
          <w:tcPr>
            <w:tcW w:w="1276" w:type="dxa"/>
          </w:tcPr>
          <w:p w14:paraId="1E5B3415" w14:textId="77777777" w:rsidR="0044514B" w:rsidRPr="0044251E" w:rsidRDefault="0044514B" w:rsidP="0044514B">
            <w:r w:rsidRPr="0044251E">
              <w:t>1</w:t>
            </w:r>
          </w:p>
        </w:tc>
        <w:tc>
          <w:tcPr>
            <w:tcW w:w="1276" w:type="dxa"/>
            <w:shd w:val="clear" w:color="auto" w:fill="auto"/>
          </w:tcPr>
          <w:p w14:paraId="2BE9CE0A" w14:textId="77777777" w:rsidR="0044514B" w:rsidRPr="0044251E" w:rsidRDefault="0044514B" w:rsidP="0044514B">
            <w:r w:rsidRPr="0044251E">
              <w:t>2</w:t>
            </w:r>
          </w:p>
        </w:tc>
        <w:tc>
          <w:tcPr>
            <w:tcW w:w="1417" w:type="dxa"/>
            <w:shd w:val="clear" w:color="auto" w:fill="auto"/>
          </w:tcPr>
          <w:p w14:paraId="43922941" w14:textId="77777777" w:rsidR="0044514B" w:rsidRPr="00793391" w:rsidRDefault="0044514B" w:rsidP="0044514B">
            <w:r w:rsidRPr="00793391">
              <w:t>5</w:t>
            </w:r>
          </w:p>
        </w:tc>
        <w:tc>
          <w:tcPr>
            <w:tcW w:w="1417" w:type="dxa"/>
            <w:shd w:val="clear" w:color="auto" w:fill="F2F2F2" w:themeFill="background1" w:themeFillShade="F2"/>
          </w:tcPr>
          <w:p w14:paraId="5945715D" w14:textId="7A578D77" w:rsidR="0044514B" w:rsidRPr="00793391" w:rsidRDefault="00A776AD" w:rsidP="0044514B">
            <w:r w:rsidRPr="00793391">
              <w:t>0</w:t>
            </w:r>
          </w:p>
        </w:tc>
      </w:tr>
      <w:tr w:rsidR="0044514B" w:rsidRPr="00494D5C" w14:paraId="71AB5F80" w14:textId="77777777" w:rsidTr="00793391">
        <w:tc>
          <w:tcPr>
            <w:tcW w:w="2312" w:type="dxa"/>
            <w:shd w:val="clear" w:color="auto" w:fill="D4E2E0" w:themeFill="accent5"/>
          </w:tcPr>
          <w:p w14:paraId="181BB023" w14:textId="77777777" w:rsidR="0044514B" w:rsidRPr="00F12697" w:rsidRDefault="0044514B" w:rsidP="0044514B">
            <w:r w:rsidRPr="00F12697">
              <w:t>Mesothelioma</w:t>
            </w:r>
          </w:p>
        </w:tc>
        <w:tc>
          <w:tcPr>
            <w:tcW w:w="1232" w:type="dxa"/>
          </w:tcPr>
          <w:p w14:paraId="7940EBDA" w14:textId="77777777" w:rsidR="0044514B" w:rsidRPr="0044251E" w:rsidRDefault="0044514B" w:rsidP="0044514B">
            <w:r w:rsidRPr="0044251E">
              <w:t>21</w:t>
            </w:r>
          </w:p>
        </w:tc>
        <w:tc>
          <w:tcPr>
            <w:tcW w:w="1276" w:type="dxa"/>
          </w:tcPr>
          <w:p w14:paraId="4AA512CA" w14:textId="77777777" w:rsidR="0044514B" w:rsidRPr="0044251E" w:rsidRDefault="0044514B" w:rsidP="0044514B">
            <w:r w:rsidRPr="0044251E">
              <w:t>20</w:t>
            </w:r>
          </w:p>
        </w:tc>
        <w:tc>
          <w:tcPr>
            <w:tcW w:w="1276" w:type="dxa"/>
            <w:shd w:val="clear" w:color="auto" w:fill="auto"/>
          </w:tcPr>
          <w:p w14:paraId="39CEAE51" w14:textId="77777777" w:rsidR="0044514B" w:rsidRPr="0044251E" w:rsidRDefault="0044514B" w:rsidP="0044514B">
            <w:r w:rsidRPr="0044251E">
              <w:t>13</w:t>
            </w:r>
          </w:p>
        </w:tc>
        <w:tc>
          <w:tcPr>
            <w:tcW w:w="1417" w:type="dxa"/>
            <w:shd w:val="clear" w:color="auto" w:fill="auto"/>
          </w:tcPr>
          <w:p w14:paraId="49023896" w14:textId="77777777" w:rsidR="0044514B" w:rsidRPr="00793391" w:rsidRDefault="0044514B" w:rsidP="0044514B">
            <w:r w:rsidRPr="00793391">
              <w:t>12</w:t>
            </w:r>
          </w:p>
        </w:tc>
        <w:tc>
          <w:tcPr>
            <w:tcW w:w="1417" w:type="dxa"/>
            <w:shd w:val="clear" w:color="auto" w:fill="F2F2F2" w:themeFill="background1" w:themeFillShade="F2"/>
          </w:tcPr>
          <w:p w14:paraId="7541A031" w14:textId="6E4F83DC" w:rsidR="0044514B" w:rsidRPr="00793391" w:rsidRDefault="00A776AD" w:rsidP="0044514B">
            <w:r w:rsidRPr="00793391">
              <w:t>6</w:t>
            </w:r>
          </w:p>
        </w:tc>
      </w:tr>
      <w:tr w:rsidR="0044514B" w:rsidRPr="00494D5C" w14:paraId="27E9B58B" w14:textId="77777777" w:rsidTr="00793391">
        <w:tc>
          <w:tcPr>
            <w:tcW w:w="2312" w:type="dxa"/>
            <w:shd w:val="clear" w:color="auto" w:fill="D4E2E0" w:themeFill="accent5"/>
          </w:tcPr>
          <w:p w14:paraId="567B9A53" w14:textId="77777777" w:rsidR="0044514B" w:rsidRPr="00F12697" w:rsidRDefault="0044514B" w:rsidP="0044514B">
            <w:r w:rsidRPr="00F12697">
              <w:t>Lung Cancer</w:t>
            </w:r>
          </w:p>
        </w:tc>
        <w:tc>
          <w:tcPr>
            <w:tcW w:w="1232" w:type="dxa"/>
          </w:tcPr>
          <w:p w14:paraId="5EDC407C" w14:textId="77777777" w:rsidR="0044514B" w:rsidRPr="0044251E" w:rsidRDefault="0044514B" w:rsidP="0044514B">
            <w:r w:rsidRPr="0044251E">
              <w:t>5</w:t>
            </w:r>
          </w:p>
        </w:tc>
        <w:tc>
          <w:tcPr>
            <w:tcW w:w="1276" w:type="dxa"/>
          </w:tcPr>
          <w:p w14:paraId="42A2C930" w14:textId="77777777" w:rsidR="0044514B" w:rsidRPr="0044251E" w:rsidRDefault="0044514B" w:rsidP="0044514B">
            <w:r w:rsidRPr="0044251E">
              <w:t>5</w:t>
            </w:r>
          </w:p>
        </w:tc>
        <w:tc>
          <w:tcPr>
            <w:tcW w:w="1276" w:type="dxa"/>
            <w:shd w:val="clear" w:color="auto" w:fill="auto"/>
          </w:tcPr>
          <w:p w14:paraId="7A0CFEBD" w14:textId="77777777" w:rsidR="0044514B" w:rsidRPr="0044251E" w:rsidRDefault="0044514B" w:rsidP="0044514B">
            <w:r w:rsidRPr="0044251E">
              <w:t>6</w:t>
            </w:r>
          </w:p>
        </w:tc>
        <w:tc>
          <w:tcPr>
            <w:tcW w:w="1417" w:type="dxa"/>
            <w:shd w:val="clear" w:color="auto" w:fill="auto"/>
          </w:tcPr>
          <w:p w14:paraId="5F95A3BA" w14:textId="77777777" w:rsidR="0044514B" w:rsidRPr="00793391" w:rsidRDefault="0044514B" w:rsidP="0044514B">
            <w:r w:rsidRPr="00793391">
              <w:t>9</w:t>
            </w:r>
          </w:p>
        </w:tc>
        <w:tc>
          <w:tcPr>
            <w:tcW w:w="1417" w:type="dxa"/>
            <w:shd w:val="clear" w:color="auto" w:fill="F2F2F2" w:themeFill="background1" w:themeFillShade="F2"/>
          </w:tcPr>
          <w:p w14:paraId="0AB6F535" w14:textId="5ACDAF8A" w:rsidR="0044514B" w:rsidRPr="00793391" w:rsidRDefault="00A776AD" w:rsidP="0044514B">
            <w:r w:rsidRPr="00793391">
              <w:t>1</w:t>
            </w:r>
          </w:p>
        </w:tc>
      </w:tr>
      <w:tr w:rsidR="0044514B" w:rsidRPr="00494D5C" w14:paraId="68AB0185" w14:textId="77777777" w:rsidTr="00793391">
        <w:tc>
          <w:tcPr>
            <w:tcW w:w="2312" w:type="dxa"/>
            <w:shd w:val="clear" w:color="auto" w:fill="D4E2E0" w:themeFill="accent5"/>
          </w:tcPr>
          <w:p w14:paraId="4BE64D51" w14:textId="77777777" w:rsidR="0044514B" w:rsidRPr="0044251E" w:rsidRDefault="0044514B" w:rsidP="0044514B">
            <w:pPr>
              <w:rPr>
                <w:rStyle w:val="Strong"/>
              </w:rPr>
            </w:pPr>
            <w:r w:rsidRPr="0044251E">
              <w:rPr>
                <w:rStyle w:val="Strong"/>
              </w:rPr>
              <w:t>Sub total</w:t>
            </w:r>
          </w:p>
        </w:tc>
        <w:tc>
          <w:tcPr>
            <w:tcW w:w="1232" w:type="dxa"/>
            <w:shd w:val="clear" w:color="auto" w:fill="D4E2E0" w:themeFill="accent5"/>
          </w:tcPr>
          <w:p w14:paraId="5D3102A0" w14:textId="77777777" w:rsidR="0044514B" w:rsidRPr="0044251E" w:rsidRDefault="0044514B" w:rsidP="0044514B">
            <w:r w:rsidRPr="0044251E">
              <w:t>35</w:t>
            </w:r>
          </w:p>
        </w:tc>
        <w:tc>
          <w:tcPr>
            <w:tcW w:w="1276" w:type="dxa"/>
            <w:shd w:val="clear" w:color="auto" w:fill="D4E2E0" w:themeFill="accent5"/>
          </w:tcPr>
          <w:p w14:paraId="3C3EAB09" w14:textId="77777777" w:rsidR="0044514B" w:rsidRPr="0044251E" w:rsidRDefault="0044514B" w:rsidP="0044514B">
            <w:r w:rsidRPr="0044251E">
              <w:t>44</w:t>
            </w:r>
          </w:p>
        </w:tc>
        <w:tc>
          <w:tcPr>
            <w:tcW w:w="1276" w:type="dxa"/>
            <w:shd w:val="clear" w:color="auto" w:fill="D4E2E0" w:themeFill="accent5"/>
          </w:tcPr>
          <w:p w14:paraId="4B345C39" w14:textId="77777777" w:rsidR="0044514B" w:rsidRPr="0044251E" w:rsidRDefault="0044514B" w:rsidP="0044514B">
            <w:r w:rsidRPr="0044251E">
              <w:t>36</w:t>
            </w:r>
          </w:p>
        </w:tc>
        <w:tc>
          <w:tcPr>
            <w:tcW w:w="1417" w:type="dxa"/>
            <w:shd w:val="clear" w:color="auto" w:fill="CEDFDC" w:themeFill="accent2" w:themeFillTint="33"/>
          </w:tcPr>
          <w:p w14:paraId="32C2DC63" w14:textId="77777777" w:rsidR="0044514B" w:rsidRPr="00793391" w:rsidRDefault="0044514B" w:rsidP="0044514B">
            <w:r w:rsidRPr="00793391">
              <w:t>48</w:t>
            </w:r>
          </w:p>
        </w:tc>
        <w:tc>
          <w:tcPr>
            <w:tcW w:w="1417" w:type="dxa"/>
            <w:shd w:val="clear" w:color="auto" w:fill="CEDFDC" w:themeFill="accent2" w:themeFillTint="33"/>
          </w:tcPr>
          <w:p w14:paraId="788D8818" w14:textId="096FC8EB" w:rsidR="0044514B" w:rsidRPr="00793391" w:rsidRDefault="00A776AD" w:rsidP="00A776AD">
            <w:r w:rsidRPr="00793391">
              <w:t>41</w:t>
            </w:r>
            <w:r w:rsidR="0044514B" w:rsidRPr="00793391">
              <w:t xml:space="preserve"> </w:t>
            </w:r>
          </w:p>
        </w:tc>
      </w:tr>
      <w:tr w:rsidR="0044514B" w:rsidRPr="00494D5C" w14:paraId="094338BE" w14:textId="77777777" w:rsidTr="00793391">
        <w:tc>
          <w:tcPr>
            <w:tcW w:w="2312" w:type="dxa"/>
            <w:tcBorders>
              <w:bottom w:val="single" w:sz="4" w:space="0" w:color="2D4541" w:themeColor="accent2"/>
            </w:tcBorders>
            <w:shd w:val="clear" w:color="auto" w:fill="D4E2E0" w:themeFill="accent5"/>
          </w:tcPr>
          <w:p w14:paraId="03662E73" w14:textId="77777777" w:rsidR="0044514B" w:rsidRPr="00171726" w:rsidRDefault="0044514B" w:rsidP="0044514B">
            <w:pPr>
              <w:rPr>
                <w:rStyle w:val="Strong"/>
                <w:b w:val="0"/>
              </w:rPr>
            </w:pPr>
            <w:r w:rsidRPr="00171726">
              <w:rPr>
                <w:rStyle w:val="Strong"/>
                <w:b w:val="0"/>
              </w:rPr>
              <w:t>Determinations where disease not present or disease present but a 0% level of impairment</w:t>
            </w:r>
          </w:p>
        </w:tc>
        <w:tc>
          <w:tcPr>
            <w:tcW w:w="1232" w:type="dxa"/>
            <w:tcBorders>
              <w:bottom w:val="single" w:sz="4" w:space="0" w:color="2D4541" w:themeColor="accent2"/>
            </w:tcBorders>
          </w:tcPr>
          <w:p w14:paraId="0210B12C" w14:textId="77777777" w:rsidR="0044514B" w:rsidRPr="0044251E" w:rsidRDefault="0044514B" w:rsidP="0044514B">
            <w:r w:rsidRPr="0044251E">
              <w:t>9</w:t>
            </w:r>
          </w:p>
        </w:tc>
        <w:tc>
          <w:tcPr>
            <w:tcW w:w="1276" w:type="dxa"/>
            <w:tcBorders>
              <w:bottom w:val="single" w:sz="4" w:space="0" w:color="2D4541" w:themeColor="accent2"/>
            </w:tcBorders>
          </w:tcPr>
          <w:p w14:paraId="55698BB9" w14:textId="77777777" w:rsidR="0044514B" w:rsidRPr="0044251E" w:rsidRDefault="0044514B" w:rsidP="0044514B">
            <w:r w:rsidRPr="0044251E">
              <w:t>5</w:t>
            </w:r>
          </w:p>
        </w:tc>
        <w:tc>
          <w:tcPr>
            <w:tcW w:w="1276" w:type="dxa"/>
            <w:tcBorders>
              <w:bottom w:val="single" w:sz="4" w:space="0" w:color="2D4541" w:themeColor="accent2"/>
            </w:tcBorders>
            <w:shd w:val="clear" w:color="auto" w:fill="auto"/>
          </w:tcPr>
          <w:p w14:paraId="4D220E87" w14:textId="77777777" w:rsidR="0044514B" w:rsidRPr="0044251E" w:rsidRDefault="0044514B" w:rsidP="0044514B">
            <w:r w:rsidRPr="0044251E">
              <w:t>4</w:t>
            </w:r>
          </w:p>
        </w:tc>
        <w:tc>
          <w:tcPr>
            <w:tcW w:w="1417" w:type="dxa"/>
            <w:tcBorders>
              <w:bottom w:val="single" w:sz="4" w:space="0" w:color="2D4541" w:themeColor="accent2"/>
            </w:tcBorders>
            <w:shd w:val="clear" w:color="auto" w:fill="auto"/>
          </w:tcPr>
          <w:p w14:paraId="2E94251D" w14:textId="77777777" w:rsidR="0044514B" w:rsidRPr="00793391" w:rsidRDefault="0044514B" w:rsidP="0044514B">
            <w:r w:rsidRPr="00793391">
              <w:t>5</w:t>
            </w:r>
          </w:p>
        </w:tc>
        <w:tc>
          <w:tcPr>
            <w:tcW w:w="1417" w:type="dxa"/>
            <w:tcBorders>
              <w:bottom w:val="single" w:sz="4" w:space="0" w:color="2D4541" w:themeColor="accent2"/>
            </w:tcBorders>
            <w:shd w:val="clear" w:color="auto" w:fill="F2F2F2" w:themeFill="background1" w:themeFillShade="F2"/>
          </w:tcPr>
          <w:p w14:paraId="04609BBC" w14:textId="41CE48B5" w:rsidR="0044514B" w:rsidRPr="00793391" w:rsidRDefault="00A776AD" w:rsidP="0044514B">
            <w:r w:rsidRPr="00793391">
              <w:t>6</w:t>
            </w:r>
          </w:p>
        </w:tc>
      </w:tr>
      <w:tr w:rsidR="0021069B" w:rsidRPr="00494D5C" w14:paraId="7D4B8307" w14:textId="77777777" w:rsidTr="0021069B">
        <w:tc>
          <w:tcPr>
            <w:tcW w:w="2312" w:type="dxa"/>
            <w:tcBorders>
              <w:top w:val="single" w:sz="4" w:space="0" w:color="2D4541" w:themeColor="accent2"/>
              <w:left w:val="single" w:sz="4" w:space="0" w:color="2D4541" w:themeColor="accent2"/>
              <w:bottom w:val="single" w:sz="4" w:space="0" w:color="2D4541" w:themeColor="accent2"/>
            </w:tcBorders>
            <w:shd w:val="clear" w:color="auto" w:fill="2D4541" w:themeFill="accent2"/>
          </w:tcPr>
          <w:p w14:paraId="72E48266" w14:textId="77777777" w:rsidR="0021069B" w:rsidRPr="0044251E" w:rsidRDefault="0021069B" w:rsidP="0044251E">
            <w:pPr>
              <w:rPr>
                <w:rStyle w:val="Strong"/>
                <w:color w:val="FFFFFF" w:themeColor="background1"/>
              </w:rPr>
            </w:pPr>
            <w:r w:rsidRPr="0044251E">
              <w:rPr>
                <w:rStyle w:val="Strong"/>
                <w:color w:val="FFFFFF" w:themeColor="background1"/>
              </w:rPr>
              <w:t>Total</w:t>
            </w:r>
          </w:p>
        </w:tc>
        <w:tc>
          <w:tcPr>
            <w:tcW w:w="1232" w:type="dxa"/>
            <w:tcBorders>
              <w:top w:val="single" w:sz="4" w:space="0" w:color="2D4541" w:themeColor="accent2"/>
              <w:bottom w:val="single" w:sz="4" w:space="0" w:color="2D4541" w:themeColor="accent2"/>
            </w:tcBorders>
            <w:shd w:val="clear" w:color="auto" w:fill="2D4541" w:themeFill="accent2"/>
          </w:tcPr>
          <w:p w14:paraId="436B77CB" w14:textId="77777777" w:rsidR="0021069B" w:rsidRPr="0044251E" w:rsidRDefault="0021069B" w:rsidP="0044251E">
            <w:pPr>
              <w:rPr>
                <w:rStyle w:val="Strong"/>
                <w:color w:val="FFFFFF" w:themeColor="background1"/>
              </w:rPr>
            </w:pPr>
            <w:r w:rsidRPr="0044251E">
              <w:rPr>
                <w:rStyle w:val="Strong"/>
                <w:color w:val="FFFFFF" w:themeColor="background1"/>
              </w:rPr>
              <w:t>44</w:t>
            </w:r>
          </w:p>
        </w:tc>
        <w:tc>
          <w:tcPr>
            <w:tcW w:w="1276" w:type="dxa"/>
            <w:tcBorders>
              <w:top w:val="single" w:sz="4" w:space="0" w:color="2D4541" w:themeColor="accent2"/>
              <w:bottom w:val="single" w:sz="4" w:space="0" w:color="2D4541" w:themeColor="accent2"/>
            </w:tcBorders>
            <w:shd w:val="clear" w:color="auto" w:fill="2D4541" w:themeFill="accent2"/>
          </w:tcPr>
          <w:p w14:paraId="0CDF8097" w14:textId="77777777" w:rsidR="0021069B" w:rsidRPr="0044251E" w:rsidRDefault="0021069B" w:rsidP="0044251E">
            <w:pPr>
              <w:rPr>
                <w:rStyle w:val="Strong"/>
                <w:color w:val="FFFFFF" w:themeColor="background1"/>
              </w:rPr>
            </w:pPr>
            <w:r w:rsidRPr="0044251E">
              <w:rPr>
                <w:rStyle w:val="Strong"/>
                <w:color w:val="FFFFFF" w:themeColor="background1"/>
              </w:rPr>
              <w:t>49</w:t>
            </w:r>
          </w:p>
        </w:tc>
        <w:tc>
          <w:tcPr>
            <w:tcW w:w="1276" w:type="dxa"/>
            <w:tcBorders>
              <w:top w:val="single" w:sz="4" w:space="0" w:color="2D4541" w:themeColor="accent2"/>
              <w:bottom w:val="single" w:sz="4" w:space="0" w:color="2D4541" w:themeColor="accent2"/>
            </w:tcBorders>
            <w:shd w:val="clear" w:color="auto" w:fill="2D4541" w:themeFill="accent2"/>
          </w:tcPr>
          <w:p w14:paraId="7554CC29" w14:textId="77777777" w:rsidR="0021069B" w:rsidRPr="0044251E" w:rsidRDefault="0021069B" w:rsidP="0044251E">
            <w:pPr>
              <w:rPr>
                <w:rStyle w:val="Strong"/>
                <w:color w:val="FFFFFF" w:themeColor="background1"/>
              </w:rPr>
            </w:pPr>
            <w:r w:rsidRPr="0044251E">
              <w:rPr>
                <w:rStyle w:val="Strong"/>
                <w:color w:val="FFFFFF" w:themeColor="background1"/>
              </w:rPr>
              <w:t>40</w:t>
            </w:r>
          </w:p>
        </w:tc>
        <w:tc>
          <w:tcPr>
            <w:tcW w:w="1417" w:type="dxa"/>
            <w:tcBorders>
              <w:top w:val="single" w:sz="4" w:space="0" w:color="2D4541" w:themeColor="accent2"/>
              <w:bottom w:val="single" w:sz="4" w:space="0" w:color="2D4541" w:themeColor="accent2"/>
              <w:right w:val="single" w:sz="4" w:space="0" w:color="2D4541" w:themeColor="accent2"/>
            </w:tcBorders>
            <w:shd w:val="clear" w:color="auto" w:fill="2D4541" w:themeFill="accent2"/>
          </w:tcPr>
          <w:p w14:paraId="512940A6" w14:textId="77777777" w:rsidR="0021069B" w:rsidRPr="00171726" w:rsidRDefault="0021069B" w:rsidP="0044251E">
            <w:pPr>
              <w:rPr>
                <w:rStyle w:val="Strong"/>
              </w:rPr>
            </w:pPr>
            <w:r w:rsidRPr="00171726">
              <w:rPr>
                <w:rStyle w:val="Strong"/>
                <w:color w:val="FFFFFF" w:themeColor="background1"/>
              </w:rPr>
              <w:t>53</w:t>
            </w:r>
          </w:p>
        </w:tc>
        <w:tc>
          <w:tcPr>
            <w:tcW w:w="1417" w:type="dxa"/>
            <w:tcBorders>
              <w:top w:val="single" w:sz="4" w:space="0" w:color="2D4541" w:themeColor="accent2"/>
              <w:bottom w:val="single" w:sz="4" w:space="0" w:color="2D4541" w:themeColor="accent2"/>
              <w:right w:val="single" w:sz="4" w:space="0" w:color="2D4541" w:themeColor="accent2"/>
            </w:tcBorders>
            <w:shd w:val="clear" w:color="auto" w:fill="2D4541" w:themeFill="accent2"/>
          </w:tcPr>
          <w:p w14:paraId="36A1EE9B" w14:textId="40874CC1" w:rsidR="0021069B" w:rsidRPr="00793391" w:rsidRDefault="00A776AD" w:rsidP="0044251E">
            <w:pPr>
              <w:rPr>
                <w:rStyle w:val="Strong"/>
                <w:b w:val="0"/>
                <w:color w:val="FFFFFF" w:themeColor="background1"/>
              </w:rPr>
            </w:pPr>
            <w:r w:rsidRPr="00793391">
              <w:rPr>
                <w:b/>
                <w:color w:val="FFFFFF" w:themeColor="background1"/>
              </w:rPr>
              <w:t>47</w:t>
            </w:r>
          </w:p>
        </w:tc>
      </w:tr>
    </w:tbl>
    <w:p w14:paraId="075953BD" w14:textId="77777777" w:rsidR="00AC1F00" w:rsidRDefault="00AC1F00">
      <w:pPr>
        <w:keepLines w:val="0"/>
        <w:spacing w:after="0" w:line="240" w:lineRule="auto"/>
        <w:rPr>
          <w:rFonts w:eastAsiaTheme="majorEastAsia" w:cs="Arial"/>
          <w:b/>
          <w:bCs/>
          <w:iCs/>
          <w:color w:val="205352"/>
          <w:sz w:val="30"/>
          <w:szCs w:val="30"/>
        </w:rPr>
      </w:pPr>
      <w:r>
        <w:br w:type="page"/>
      </w:r>
    </w:p>
    <w:p w14:paraId="08EE2FB0" w14:textId="77777777" w:rsidR="00C76727" w:rsidRDefault="00C76727" w:rsidP="00A375C0">
      <w:pPr>
        <w:pStyle w:val="Heading1nonumber"/>
      </w:pPr>
      <w:bookmarkStart w:id="520" w:name="_Toc399317039"/>
      <w:bookmarkStart w:id="521" w:name="_Toc426617590"/>
      <w:bookmarkStart w:id="522" w:name="_Toc430091320"/>
      <w:r>
        <w:lastRenderedPageBreak/>
        <w:t xml:space="preserve">Legal </w:t>
      </w:r>
      <w:r w:rsidR="002F30AF">
        <w:t>c</w:t>
      </w:r>
      <w:r>
        <w:t>ompliance</w:t>
      </w:r>
      <w:bookmarkEnd w:id="520"/>
      <w:bookmarkEnd w:id="521"/>
      <w:bookmarkEnd w:id="522"/>
      <w:r>
        <w:t xml:space="preserve"> </w:t>
      </w:r>
    </w:p>
    <w:p w14:paraId="34A824FE" w14:textId="77777777" w:rsidR="00F6104A" w:rsidRDefault="00F6104A" w:rsidP="00A375C0">
      <w:pPr>
        <w:pStyle w:val="Heading2nonumber"/>
      </w:pPr>
      <w:bookmarkStart w:id="523" w:name="_Toc399317040"/>
      <w:bookmarkStart w:id="524" w:name="_Toc426617591"/>
      <w:bookmarkStart w:id="525" w:name="_Toc430091321"/>
      <w:r>
        <w:t>Public Sector standards and ethical codes</w:t>
      </w:r>
      <w:bookmarkEnd w:id="523"/>
      <w:bookmarkEnd w:id="524"/>
      <w:bookmarkEnd w:id="525"/>
    </w:p>
    <w:p w14:paraId="1D42D8E7" w14:textId="77777777" w:rsidR="00587D30" w:rsidRDefault="00587D30" w:rsidP="00587D30">
      <w:r>
        <w:t xml:space="preserve">WorkCover WA has policies, procedures and guidelines in place to ensure Agency obligations are met with respect to the Public Sector Standards (Human Resource Management), the WA Public Sector Code of Ethics, and the WorkCover WA Code of Conduct. </w:t>
      </w:r>
    </w:p>
    <w:p w14:paraId="1E2CD7D2" w14:textId="77D1F02A" w:rsidR="00BF5B3D" w:rsidRPr="00587D30" w:rsidRDefault="00587D30" w:rsidP="00587D30">
      <w:r>
        <w:t>These policies and supporting guidelines are available to all staff via the WorkCover WA intranet and the online training system. To support knowledge of these Standards and Codes, training on accountable and ethical decision-making in the Western Australian Public Sector continued to be delivered to new staff via the online induction system in 2014/15</w:t>
      </w:r>
      <w:r w:rsidR="00BF5B3D" w:rsidRPr="00587D30">
        <w:t>.</w:t>
      </w:r>
    </w:p>
    <w:p w14:paraId="3960553A" w14:textId="77777777" w:rsidR="00C76727" w:rsidRPr="007E33E1" w:rsidRDefault="00D27C4D" w:rsidP="00A375C0">
      <w:pPr>
        <w:pStyle w:val="Heading3nonumber"/>
      </w:pPr>
      <w:bookmarkStart w:id="526" w:name="_Toc426617592"/>
      <w:bookmarkStart w:id="527" w:name="_Toc430091322"/>
      <w:r w:rsidRPr="007E33E1">
        <w:t>Public Sector Code of Ethics</w:t>
      </w:r>
      <w:bookmarkEnd w:id="526"/>
      <w:bookmarkEnd w:id="527"/>
    </w:p>
    <w:p w14:paraId="39FCA5AA" w14:textId="003A5787" w:rsidR="00C33D24" w:rsidRPr="0056613F" w:rsidRDefault="00C33D24" w:rsidP="00BD6637">
      <w:r w:rsidRPr="0056613F">
        <w:t>There were</w:t>
      </w:r>
      <w:r w:rsidR="00C608F7" w:rsidRPr="0056613F">
        <w:t xml:space="preserve"> </w:t>
      </w:r>
      <w:r w:rsidR="00D13185" w:rsidRPr="0056613F">
        <w:t>no</w:t>
      </w:r>
      <w:r w:rsidRPr="0056613F">
        <w:t xml:space="preserve"> claims lodged in </w:t>
      </w:r>
      <w:r w:rsidR="00C608F7" w:rsidRPr="0056613F">
        <w:t>2014/15</w:t>
      </w:r>
      <w:r w:rsidR="00A0489E" w:rsidRPr="0056613F">
        <w:t xml:space="preserve"> </w:t>
      </w:r>
      <w:r w:rsidRPr="0056613F">
        <w:t>relating to the Public Sector Code of Ethics.</w:t>
      </w:r>
    </w:p>
    <w:p w14:paraId="2C6C3490" w14:textId="6499B35F" w:rsidR="00BF5B3D" w:rsidRPr="0044251E" w:rsidRDefault="00C726B0" w:rsidP="00A375C0">
      <w:pPr>
        <w:pStyle w:val="Heading3nonumber"/>
      </w:pPr>
      <w:bookmarkStart w:id="528" w:name="_Toc426617593"/>
      <w:bookmarkStart w:id="529" w:name="_Toc430091323"/>
      <w:r>
        <w:t>WorkCover WA</w:t>
      </w:r>
      <w:r w:rsidR="00BF5B3D" w:rsidRPr="0044251E">
        <w:t xml:space="preserve"> Code of Conduct</w:t>
      </w:r>
      <w:bookmarkEnd w:id="528"/>
      <w:bookmarkEnd w:id="529"/>
      <w:r w:rsidR="00BF5B3D" w:rsidRPr="0044251E">
        <w:t xml:space="preserve"> </w:t>
      </w:r>
    </w:p>
    <w:p w14:paraId="21C5D967" w14:textId="7C4C8969" w:rsidR="00BF5B3D" w:rsidRPr="0056613F" w:rsidRDefault="00BF5B3D" w:rsidP="00BF5B3D">
      <w:r w:rsidRPr="0056613F">
        <w:t>In 201</w:t>
      </w:r>
      <w:r w:rsidR="00587D30" w:rsidRPr="0056613F">
        <w:t>4</w:t>
      </w:r>
      <w:r w:rsidRPr="0056613F">
        <w:t>/1</w:t>
      </w:r>
      <w:r w:rsidR="00587D30" w:rsidRPr="0056613F">
        <w:t>5</w:t>
      </w:r>
      <w:r w:rsidRPr="0056613F">
        <w:t xml:space="preserve">, the </w:t>
      </w:r>
      <w:r w:rsidR="00C726B0" w:rsidRPr="0056613F">
        <w:t>WorkCover WA</w:t>
      </w:r>
      <w:r w:rsidRPr="0056613F">
        <w:t xml:space="preserve"> Code of Conduct was revi</w:t>
      </w:r>
      <w:r w:rsidR="001A240C" w:rsidRPr="0056613F">
        <w:t>ewed, and minor amendments made</w:t>
      </w:r>
      <w:r w:rsidRPr="0056613F">
        <w:t xml:space="preserve"> to reflect current public sector and Agency policy.</w:t>
      </w:r>
    </w:p>
    <w:p w14:paraId="3E320F32" w14:textId="25675E16" w:rsidR="00BF5B3D" w:rsidRPr="0056613F" w:rsidRDefault="00BF5B3D" w:rsidP="00BF5B3D">
      <w:r w:rsidRPr="0056613F">
        <w:t xml:space="preserve">There were </w:t>
      </w:r>
      <w:r w:rsidR="00D13185" w:rsidRPr="0056613F">
        <w:rPr>
          <w:bCs/>
        </w:rPr>
        <w:t>no</w:t>
      </w:r>
      <w:r w:rsidRPr="0056613F">
        <w:t xml:space="preserve"> claims lodged in 201</w:t>
      </w:r>
      <w:r w:rsidR="001827D4" w:rsidRPr="0056613F">
        <w:t>4</w:t>
      </w:r>
      <w:r w:rsidRPr="0056613F">
        <w:t>/1</w:t>
      </w:r>
      <w:r w:rsidR="001827D4" w:rsidRPr="0056613F">
        <w:t>5</w:t>
      </w:r>
      <w:r w:rsidRPr="0056613F">
        <w:t xml:space="preserve"> relating to the </w:t>
      </w:r>
      <w:r w:rsidR="00C726B0" w:rsidRPr="0056613F">
        <w:t>WorkCover WA</w:t>
      </w:r>
      <w:r w:rsidRPr="0056613F">
        <w:t xml:space="preserve"> Code of Conduct.</w:t>
      </w:r>
    </w:p>
    <w:p w14:paraId="217DD5A5" w14:textId="77777777" w:rsidR="00C33D24" w:rsidRDefault="00C33D24" w:rsidP="00A375C0">
      <w:pPr>
        <w:pStyle w:val="Heading3nonumber"/>
      </w:pPr>
      <w:bookmarkStart w:id="530" w:name="_Toc426617594"/>
      <w:bookmarkStart w:id="531" w:name="_Toc430091324"/>
      <w:r>
        <w:t xml:space="preserve">Public Sector Commissioner’s </w:t>
      </w:r>
      <w:r w:rsidR="0014553D">
        <w:t>Instruction Employment Standard</w:t>
      </w:r>
      <w:bookmarkEnd w:id="530"/>
      <w:bookmarkEnd w:id="531"/>
    </w:p>
    <w:p w14:paraId="26466A23" w14:textId="34C8BC65" w:rsidR="0014553D" w:rsidRPr="0056613F" w:rsidRDefault="0014553D" w:rsidP="0014553D">
      <w:r w:rsidRPr="0056613F">
        <w:t xml:space="preserve">There were </w:t>
      </w:r>
      <w:r w:rsidR="0056613F" w:rsidRPr="0056613F">
        <w:t>no</w:t>
      </w:r>
      <w:r w:rsidRPr="0056613F">
        <w:t xml:space="preserve"> breaches of standard claims against the Employment Standard in 201</w:t>
      </w:r>
      <w:r w:rsidR="00C608F7" w:rsidRPr="0056613F">
        <w:t>4</w:t>
      </w:r>
      <w:r w:rsidRPr="0056613F">
        <w:t>/1</w:t>
      </w:r>
      <w:r w:rsidR="00C608F7" w:rsidRPr="0056613F">
        <w:t>5</w:t>
      </w:r>
      <w:r w:rsidRPr="0056613F">
        <w:t>.</w:t>
      </w:r>
    </w:p>
    <w:p w14:paraId="7662777C" w14:textId="77777777" w:rsidR="0014553D" w:rsidRDefault="0014553D" w:rsidP="00A375C0">
      <w:pPr>
        <w:pStyle w:val="Heading3nonumber"/>
      </w:pPr>
      <w:bookmarkStart w:id="532" w:name="_Toc426617595"/>
      <w:bookmarkStart w:id="533" w:name="_Toc430091325"/>
      <w:r w:rsidRPr="0014553D">
        <w:t>Grievance Resolution Standard</w:t>
      </w:r>
      <w:bookmarkEnd w:id="532"/>
      <w:bookmarkEnd w:id="533"/>
    </w:p>
    <w:p w14:paraId="129327B0" w14:textId="53EDFB73" w:rsidR="0014553D" w:rsidRPr="0056613F" w:rsidRDefault="00C608F7" w:rsidP="0014553D">
      <w:r w:rsidRPr="0056613F">
        <w:t xml:space="preserve">There were </w:t>
      </w:r>
      <w:r w:rsidR="0056613F" w:rsidRPr="0056613F">
        <w:t>no</w:t>
      </w:r>
      <w:r w:rsidR="0014553D" w:rsidRPr="0056613F">
        <w:t xml:space="preserve"> breaches of standard claims against the Grievance Resolution Standard in 201</w:t>
      </w:r>
      <w:r w:rsidRPr="0056613F">
        <w:t>4</w:t>
      </w:r>
      <w:r w:rsidR="0014553D" w:rsidRPr="0056613F">
        <w:t>/1</w:t>
      </w:r>
      <w:r w:rsidRPr="0056613F">
        <w:t>5.</w:t>
      </w:r>
    </w:p>
    <w:p w14:paraId="32665139" w14:textId="77777777" w:rsidR="0014553D" w:rsidRDefault="0014553D" w:rsidP="00A375C0">
      <w:pPr>
        <w:pStyle w:val="Heading2nonumber"/>
      </w:pPr>
      <w:bookmarkStart w:id="534" w:name="_Toc399317041"/>
      <w:bookmarkStart w:id="535" w:name="_Toc426617596"/>
      <w:bookmarkStart w:id="536" w:name="_Toc430091326"/>
      <w:r>
        <w:t>Disability Access and Inclusion Plan</w:t>
      </w:r>
      <w:bookmarkEnd w:id="534"/>
      <w:bookmarkEnd w:id="535"/>
      <w:bookmarkEnd w:id="536"/>
    </w:p>
    <w:p w14:paraId="1A46B9B9" w14:textId="196FCE9C" w:rsidR="0014553D" w:rsidRDefault="0014553D" w:rsidP="0014553D">
      <w:r w:rsidRPr="00A375C0">
        <w:t xml:space="preserve">The Agency’s Disability Access and Inclusion Plan is </w:t>
      </w:r>
      <w:r w:rsidRPr="00B746A1">
        <w:t xml:space="preserve">outlined </w:t>
      </w:r>
      <w:r w:rsidR="000A4A3B" w:rsidRPr="00B746A1">
        <w:t>on</w:t>
      </w:r>
      <w:r w:rsidRPr="00B746A1">
        <w:t xml:space="preserve"> </w:t>
      </w:r>
      <w:r w:rsidRPr="00395E32">
        <w:t xml:space="preserve">page </w:t>
      </w:r>
      <w:r w:rsidR="00395E32" w:rsidRPr="00395E32">
        <w:t>107</w:t>
      </w:r>
      <w:r w:rsidR="006B09EB" w:rsidRPr="00395E32">
        <w:t xml:space="preserve"> under </w:t>
      </w:r>
      <w:r w:rsidR="006B09EB">
        <w:t>‘Equality and inclusion’ in</w:t>
      </w:r>
      <w:r w:rsidRPr="00B746A1">
        <w:t xml:space="preserve"> </w:t>
      </w:r>
      <w:r w:rsidR="006B09EB">
        <w:rPr>
          <w:rStyle w:val="Emphasis"/>
        </w:rPr>
        <w:t>Section 4: Opportunities and c</w:t>
      </w:r>
      <w:r w:rsidRPr="00B746A1">
        <w:rPr>
          <w:rStyle w:val="Emphasis"/>
        </w:rPr>
        <w:t>hallenges.</w:t>
      </w:r>
    </w:p>
    <w:p w14:paraId="264FA2A9" w14:textId="77777777" w:rsidR="00937627" w:rsidRPr="004A00F9" w:rsidRDefault="00937627" w:rsidP="00A375C0">
      <w:pPr>
        <w:pStyle w:val="Heading2nonumber"/>
      </w:pPr>
      <w:bookmarkStart w:id="537" w:name="_Toc399317042"/>
      <w:bookmarkStart w:id="538" w:name="_Toc426617597"/>
      <w:bookmarkStart w:id="539" w:name="_Toc430091327"/>
      <w:r w:rsidRPr="004A00F9">
        <w:lastRenderedPageBreak/>
        <w:t>Recordkeeping Plan</w:t>
      </w:r>
      <w:bookmarkEnd w:id="537"/>
      <w:bookmarkEnd w:id="538"/>
      <w:bookmarkEnd w:id="539"/>
    </w:p>
    <w:p w14:paraId="710591D8" w14:textId="7DB8F08B" w:rsidR="004A00F9" w:rsidRPr="004A00F9" w:rsidRDefault="004A00F9" w:rsidP="004A00F9">
      <w:r w:rsidRPr="004A00F9">
        <w:t xml:space="preserve">Under the </w:t>
      </w:r>
      <w:r w:rsidRPr="004A00F9">
        <w:rPr>
          <w:i/>
        </w:rPr>
        <w:t>State Records Act 2000</w:t>
      </w:r>
      <w:r w:rsidRPr="004A00F9">
        <w:t xml:space="preserve"> every government organisation is required to have a Recordkeeping Plan (RKP). The RKP must provide an accurate reflection of the recordkeeping program within the organisation and must be complied with by the organisation and its officers. Under Part 3, Division 4 of the </w:t>
      </w:r>
      <w:r w:rsidRPr="004A00F9">
        <w:rPr>
          <w:i/>
        </w:rPr>
        <w:t>State Records Act 2000</w:t>
      </w:r>
      <w:r w:rsidRPr="004A00F9">
        <w:t>, the organisation must review its RKP every five years or when there is any significant change to the organisation’s functions.</w:t>
      </w:r>
    </w:p>
    <w:p w14:paraId="5A61AD3E" w14:textId="77777777" w:rsidR="004A00F9" w:rsidRPr="004A00F9" w:rsidRDefault="004A00F9" w:rsidP="004A00F9">
      <w:r w:rsidRPr="004A00F9">
        <w:t>WorkCover WA’s RKP has been reviewed and updated to reflect the Agency’s improved recordkeeping practices resulting from the implementation of the Electronic Document and Records Management System (EDRMS) and was submitted to the State Records Office in June 2015.</w:t>
      </w:r>
    </w:p>
    <w:p w14:paraId="3AF1060C" w14:textId="35BB38A3" w:rsidR="004A00F9" w:rsidRDefault="004A00F9" w:rsidP="004A00F9">
      <w:pPr>
        <w:rPr>
          <w:color w:val="000000"/>
          <w:szCs w:val="22"/>
          <w:lang w:val="en-GB" w:eastAsia="en-AU"/>
        </w:rPr>
      </w:pPr>
      <w:r w:rsidRPr="004A00F9">
        <w:rPr>
          <w:color w:val="000000"/>
          <w:szCs w:val="22"/>
          <w:lang w:val="en-GB" w:eastAsia="en-AU"/>
        </w:rPr>
        <w:t>The online records management training module within the Agency’s induction program has been reviewed and updated in the past financial year to reflect the new recordkeeping arrangements. Other training</w:t>
      </w:r>
      <w:r>
        <w:rPr>
          <w:color w:val="000000"/>
          <w:szCs w:val="22"/>
          <w:lang w:val="en-GB" w:eastAsia="en-AU"/>
        </w:rPr>
        <w:t xml:space="preserve"> and support was provided to staff to support them in the transition to TRIM.</w:t>
      </w:r>
    </w:p>
    <w:p w14:paraId="3CEFA75E" w14:textId="4B81D672" w:rsidR="00E734EE" w:rsidRDefault="00E734EE" w:rsidP="004A00F9">
      <w:pPr>
        <w:rPr>
          <w:rFonts w:ascii="Verdana" w:eastAsiaTheme="majorEastAsia" w:hAnsi="Verdana" w:cstheme="majorBidi"/>
          <w:b/>
          <w:bCs/>
          <w:color w:val="2D4541" w:themeColor="accent2"/>
          <w:szCs w:val="28"/>
          <w:lang w:val="en-US" w:eastAsia="en-AU"/>
        </w:rPr>
      </w:pPr>
      <w:r>
        <w:br w:type="page"/>
      </w:r>
    </w:p>
    <w:p w14:paraId="50F0C458" w14:textId="617D83BA" w:rsidR="00A375C0" w:rsidRPr="009B4627" w:rsidRDefault="00BF5B3D" w:rsidP="006750E2">
      <w:pPr>
        <w:pStyle w:val="Heading3nonumber"/>
        <w:ind w:left="-142"/>
      </w:pPr>
      <w:bookmarkStart w:id="540" w:name="_Toc426617598"/>
      <w:bookmarkStart w:id="541" w:name="_Toc430091328"/>
      <w:r w:rsidRPr="0044251E">
        <w:lastRenderedPageBreak/>
        <w:t xml:space="preserve">Report against </w:t>
      </w:r>
      <w:r w:rsidR="00C726B0">
        <w:t>WorkCover WA</w:t>
      </w:r>
      <w:r w:rsidRPr="0044251E">
        <w:t xml:space="preserve"> Recordkeeping Plan</w:t>
      </w:r>
      <w:bookmarkEnd w:id="540"/>
      <w:bookmarkEnd w:id="541"/>
    </w:p>
    <w:tbl>
      <w:tblPr>
        <w:tblStyle w:val="TableGrid"/>
        <w:tblW w:w="9356" w:type="dxa"/>
        <w:tblInd w:w="-34"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Report against workcover was recordkeeping plan"/>
      </w:tblPr>
      <w:tblGrid>
        <w:gridCol w:w="9356"/>
      </w:tblGrid>
      <w:tr w:rsidR="000B1C4F" w14:paraId="5A19C6DA" w14:textId="77777777" w:rsidTr="007E0E46">
        <w:tc>
          <w:tcPr>
            <w:tcW w:w="9356" w:type="dxa"/>
            <w:shd w:val="clear" w:color="auto" w:fill="BAD0CD" w:themeFill="accent5" w:themeFillShade="E6"/>
          </w:tcPr>
          <w:p w14:paraId="3FA939C3" w14:textId="180777DA" w:rsidR="000B1C4F" w:rsidRPr="00E22526" w:rsidRDefault="00303897" w:rsidP="00522089">
            <w:pPr>
              <w:rPr>
                <w:rStyle w:val="Strong"/>
              </w:rPr>
            </w:pPr>
            <w:r w:rsidRPr="00E22526">
              <w:rPr>
                <w:rStyle w:val="Strong"/>
              </w:rPr>
              <w:t>Evaluation of the efficiency and effectiveness of the organisation’s recordkeeping systems</w:t>
            </w:r>
          </w:p>
        </w:tc>
      </w:tr>
      <w:tr w:rsidR="000B1C4F" w14:paraId="54D09FC4" w14:textId="77777777" w:rsidTr="00905257">
        <w:tc>
          <w:tcPr>
            <w:tcW w:w="9356" w:type="dxa"/>
          </w:tcPr>
          <w:p w14:paraId="61AB2AE1" w14:textId="09B742F3" w:rsidR="00303897" w:rsidRDefault="00303897" w:rsidP="00303897">
            <w:r>
              <w:t xml:space="preserve">Implementation of an </w:t>
            </w:r>
            <w:r w:rsidRPr="009C135F">
              <w:t>Electronic Document and Records Manage</w:t>
            </w:r>
            <w:r>
              <w:t xml:space="preserve">ment System (EDRMS) in </w:t>
            </w:r>
            <w:r w:rsidRPr="009C135F">
              <w:t>WorkCover WA</w:t>
            </w:r>
            <w:r w:rsidR="00DA256A">
              <w:t xml:space="preserve"> was completed in 2014/15.</w:t>
            </w:r>
          </w:p>
          <w:p w14:paraId="40493DB2" w14:textId="17D2DA97" w:rsidR="000B1C4F" w:rsidRPr="009C135F" w:rsidRDefault="00303897" w:rsidP="00303897">
            <w:pPr>
              <w:rPr>
                <w:rStyle w:val="Strong"/>
                <w:b w:val="0"/>
                <w:highlight w:val="yellow"/>
              </w:rPr>
            </w:pPr>
            <w:r>
              <w:t>The Recordkeeping Plan (</w:t>
            </w:r>
            <w:r w:rsidRPr="009C135F">
              <w:t>RKP</w:t>
            </w:r>
            <w:r>
              <w:t>)</w:t>
            </w:r>
            <w:r w:rsidRPr="009C135F">
              <w:t xml:space="preserve"> has been reviewed and updated to reflect the </w:t>
            </w:r>
            <w:r>
              <w:t xml:space="preserve">Agency’s </w:t>
            </w:r>
            <w:r w:rsidRPr="009C135F">
              <w:t>i</w:t>
            </w:r>
            <w:r>
              <w:t>mproved recordkeeping practices</w:t>
            </w:r>
            <w:r w:rsidRPr="009C135F">
              <w:t xml:space="preserve"> </w:t>
            </w:r>
            <w:r>
              <w:t xml:space="preserve">and </w:t>
            </w:r>
            <w:r w:rsidRPr="009C135F">
              <w:t>was submitted to the State Records Office in June 2015.</w:t>
            </w:r>
            <w:r>
              <w:t xml:space="preserve"> </w:t>
            </w:r>
            <w:r w:rsidRPr="009C135F">
              <w:t xml:space="preserve">WorkCover WA’s </w:t>
            </w:r>
            <w:r>
              <w:t>Records Management Policy</w:t>
            </w:r>
            <w:r w:rsidRPr="009C135F">
              <w:t xml:space="preserve"> </w:t>
            </w:r>
            <w:r>
              <w:t xml:space="preserve">has </w:t>
            </w:r>
            <w:r w:rsidRPr="009C135F">
              <w:t>also been reviewed and updated to reflect our new digital recordkeeping practices.</w:t>
            </w:r>
          </w:p>
        </w:tc>
      </w:tr>
      <w:tr w:rsidR="000B1C4F" w14:paraId="7FBCB91E" w14:textId="77777777" w:rsidTr="007E0E46">
        <w:tc>
          <w:tcPr>
            <w:tcW w:w="9356" w:type="dxa"/>
            <w:shd w:val="clear" w:color="auto" w:fill="BAD0CD" w:themeFill="accent5" w:themeFillShade="E6"/>
          </w:tcPr>
          <w:p w14:paraId="628E14B1" w14:textId="676A6A67" w:rsidR="000B1C4F" w:rsidRPr="00303897" w:rsidRDefault="00303897" w:rsidP="00522089">
            <w:pPr>
              <w:rPr>
                <w:rStyle w:val="Strong"/>
              </w:rPr>
            </w:pPr>
            <w:r w:rsidRPr="00923EAB">
              <w:rPr>
                <w:rStyle w:val="Strong"/>
              </w:rPr>
              <w:t xml:space="preserve">The </w:t>
            </w:r>
            <w:r>
              <w:rPr>
                <w:rStyle w:val="Strong"/>
              </w:rPr>
              <w:t>nature and extent of the</w:t>
            </w:r>
            <w:r w:rsidRPr="00923EAB">
              <w:rPr>
                <w:rStyle w:val="Strong"/>
              </w:rPr>
              <w:t xml:space="preserve"> recordkeeping training program</w:t>
            </w:r>
            <w:r>
              <w:rPr>
                <w:rStyle w:val="Strong"/>
              </w:rPr>
              <w:t xml:space="preserve"> conducted by or for the organisation</w:t>
            </w:r>
          </w:p>
        </w:tc>
      </w:tr>
      <w:tr w:rsidR="000B1C4F" w14:paraId="4A4208D2" w14:textId="77777777" w:rsidTr="00905257">
        <w:tc>
          <w:tcPr>
            <w:tcW w:w="9356" w:type="dxa"/>
          </w:tcPr>
          <w:p w14:paraId="5D2C5468" w14:textId="63BAA5AC" w:rsidR="00303897" w:rsidRDefault="00303897" w:rsidP="00303897">
            <w:pPr>
              <w:keepLines w:val="0"/>
              <w:suppressAutoHyphens/>
              <w:autoSpaceDE w:val="0"/>
              <w:autoSpaceDN w:val="0"/>
              <w:adjustRightInd w:val="0"/>
              <w:spacing w:after="0" w:line="288" w:lineRule="auto"/>
              <w:textAlignment w:val="center"/>
              <w:rPr>
                <w:rFonts w:cs="Arial"/>
                <w:color w:val="000000"/>
                <w:lang w:val="en-GB" w:eastAsia="en-AU"/>
              </w:rPr>
            </w:pPr>
            <w:r w:rsidRPr="00053DD5">
              <w:rPr>
                <w:rFonts w:cs="Arial"/>
                <w:color w:val="000000"/>
                <w:szCs w:val="22"/>
                <w:lang w:val="en-GB" w:eastAsia="en-AU"/>
              </w:rPr>
              <w:t xml:space="preserve">At </w:t>
            </w:r>
            <w:r>
              <w:rPr>
                <w:rFonts w:cs="Arial"/>
                <w:color w:val="000000"/>
                <w:szCs w:val="22"/>
                <w:lang w:val="en-GB" w:eastAsia="en-AU"/>
              </w:rPr>
              <w:t>WorkCover WA</w:t>
            </w:r>
            <w:r w:rsidRPr="00053DD5">
              <w:rPr>
                <w:rFonts w:cs="Arial"/>
                <w:color w:val="000000"/>
                <w:szCs w:val="22"/>
                <w:lang w:val="en-GB" w:eastAsia="en-AU"/>
              </w:rPr>
              <w:t xml:space="preserve">, recordkeeping training is </w:t>
            </w:r>
            <w:r>
              <w:rPr>
                <w:rFonts w:cs="Arial"/>
                <w:color w:val="000000"/>
                <w:szCs w:val="22"/>
                <w:lang w:val="en-GB" w:eastAsia="en-AU"/>
              </w:rPr>
              <w:t>conducted through t</w:t>
            </w:r>
            <w:r w:rsidRPr="00053DD5">
              <w:rPr>
                <w:rFonts w:cs="Arial"/>
                <w:color w:val="000000"/>
                <w:szCs w:val="22"/>
                <w:lang w:val="en-GB" w:eastAsia="en-AU"/>
              </w:rPr>
              <w:t xml:space="preserve">he Records Management training module within the Agency’s </w:t>
            </w:r>
            <w:r>
              <w:rPr>
                <w:rFonts w:cs="Arial"/>
                <w:color w:val="000000"/>
                <w:szCs w:val="22"/>
                <w:lang w:val="en-GB" w:eastAsia="en-AU"/>
              </w:rPr>
              <w:t xml:space="preserve">online </w:t>
            </w:r>
            <w:r w:rsidRPr="00053DD5">
              <w:rPr>
                <w:rFonts w:cs="Arial"/>
                <w:color w:val="000000"/>
                <w:szCs w:val="22"/>
                <w:lang w:val="en-GB" w:eastAsia="en-AU"/>
              </w:rPr>
              <w:t>induction program</w:t>
            </w:r>
            <w:r w:rsidR="004A00F9">
              <w:rPr>
                <w:rFonts w:cs="Arial"/>
                <w:color w:val="000000"/>
                <w:szCs w:val="22"/>
                <w:lang w:val="en-GB" w:eastAsia="en-AU"/>
              </w:rPr>
              <w:t xml:space="preserve">. </w:t>
            </w:r>
            <w:r>
              <w:rPr>
                <w:rFonts w:cs="Arial"/>
                <w:color w:val="000000"/>
                <w:szCs w:val="22"/>
                <w:lang w:val="en-GB" w:eastAsia="en-AU"/>
              </w:rPr>
              <w:t xml:space="preserve">Completion of the induction program is </w:t>
            </w:r>
            <w:r w:rsidRPr="00053DD5">
              <w:rPr>
                <w:rFonts w:cs="Arial"/>
                <w:color w:val="000000"/>
                <w:szCs w:val="22"/>
                <w:lang w:val="en-GB" w:eastAsia="en-AU"/>
              </w:rPr>
              <w:t xml:space="preserve">compulsory for all </w:t>
            </w:r>
            <w:r>
              <w:rPr>
                <w:rFonts w:cs="Arial"/>
                <w:color w:val="000000"/>
                <w:szCs w:val="22"/>
                <w:lang w:val="en-GB" w:eastAsia="en-AU"/>
              </w:rPr>
              <w:t xml:space="preserve">new </w:t>
            </w:r>
            <w:r w:rsidRPr="00053DD5">
              <w:rPr>
                <w:rFonts w:cs="Arial"/>
                <w:color w:val="000000"/>
                <w:szCs w:val="22"/>
                <w:lang w:val="en-GB" w:eastAsia="en-AU"/>
              </w:rPr>
              <w:t>staff</w:t>
            </w:r>
            <w:r>
              <w:rPr>
                <w:rFonts w:cs="Arial"/>
                <w:color w:val="000000"/>
                <w:szCs w:val="22"/>
                <w:lang w:val="en-GB" w:eastAsia="en-AU"/>
              </w:rPr>
              <w:t xml:space="preserve">. A </w:t>
            </w:r>
            <w:r w:rsidR="004A00F9">
              <w:rPr>
                <w:rFonts w:cs="Arial"/>
                <w:color w:val="000000"/>
                <w:szCs w:val="22"/>
                <w:lang w:val="en-GB" w:eastAsia="en-AU"/>
              </w:rPr>
              <w:t>stand-alone</w:t>
            </w:r>
            <w:r>
              <w:rPr>
                <w:rFonts w:cs="Arial"/>
                <w:color w:val="000000"/>
                <w:szCs w:val="22"/>
                <w:lang w:val="en-GB" w:eastAsia="en-AU"/>
              </w:rPr>
              <w:t xml:space="preserve"> online records management course has been acquired and will be available for all staff to use early in 2015/16. </w:t>
            </w:r>
          </w:p>
          <w:p w14:paraId="08AEF918" w14:textId="77777777" w:rsidR="00303897" w:rsidRDefault="00303897" w:rsidP="00303897">
            <w:pPr>
              <w:keepLines w:val="0"/>
              <w:suppressAutoHyphens/>
              <w:autoSpaceDE w:val="0"/>
              <w:autoSpaceDN w:val="0"/>
              <w:adjustRightInd w:val="0"/>
              <w:spacing w:after="0" w:line="288" w:lineRule="auto"/>
              <w:textAlignment w:val="center"/>
              <w:rPr>
                <w:rFonts w:cs="Arial"/>
                <w:color w:val="000000"/>
                <w:lang w:val="en-GB" w:eastAsia="en-AU"/>
              </w:rPr>
            </w:pPr>
          </w:p>
          <w:p w14:paraId="2DFFD2AD" w14:textId="321D49EB" w:rsidR="000B1C4F" w:rsidRDefault="00303897" w:rsidP="00303897">
            <w:pPr>
              <w:rPr>
                <w:rStyle w:val="Strong"/>
                <w:b w:val="0"/>
              </w:rPr>
            </w:pPr>
            <w:r>
              <w:rPr>
                <w:rFonts w:cs="Arial"/>
                <w:color w:val="000000"/>
                <w:szCs w:val="22"/>
                <w:lang w:val="en-GB" w:eastAsia="en-AU"/>
              </w:rPr>
              <w:t>The Records Management Policy and supporting documentatio</w:t>
            </w:r>
            <w:r w:rsidR="009660BC">
              <w:rPr>
                <w:rFonts w:cs="Arial"/>
                <w:color w:val="000000"/>
                <w:szCs w:val="22"/>
                <w:lang w:val="en-GB" w:eastAsia="en-AU"/>
              </w:rPr>
              <w:t>n is available on the Intranet.</w:t>
            </w:r>
            <w:r>
              <w:rPr>
                <w:rFonts w:cs="Arial"/>
                <w:color w:val="000000"/>
                <w:szCs w:val="22"/>
                <w:lang w:val="en-GB" w:eastAsia="en-AU"/>
              </w:rPr>
              <w:t xml:space="preserve"> Further support is provided by the Corporate Information staff and from “Power Users” who act as the first point of escalation for any EDRMS issues within their teams.</w:t>
            </w:r>
          </w:p>
        </w:tc>
      </w:tr>
      <w:tr w:rsidR="000B1C4F" w14:paraId="1274288B" w14:textId="77777777" w:rsidTr="007E0E46">
        <w:tc>
          <w:tcPr>
            <w:tcW w:w="9356" w:type="dxa"/>
            <w:shd w:val="clear" w:color="auto" w:fill="BAD0CD" w:themeFill="accent5" w:themeFillShade="E6"/>
          </w:tcPr>
          <w:p w14:paraId="62592F30" w14:textId="0C9BD37F" w:rsidR="000B1C4F" w:rsidRPr="00923EAB" w:rsidRDefault="009C66DD" w:rsidP="00522089">
            <w:pPr>
              <w:rPr>
                <w:rStyle w:val="Strong"/>
                <w:b w:val="0"/>
              </w:rPr>
            </w:pPr>
            <w:r>
              <w:rPr>
                <w:rStyle w:val="Strong"/>
              </w:rPr>
              <w:t>Review of t</w:t>
            </w:r>
            <w:r w:rsidRPr="00923EAB">
              <w:rPr>
                <w:rStyle w:val="Strong"/>
              </w:rPr>
              <w:t>he efficiency and effectiveness of the recordkeeping training program</w:t>
            </w:r>
          </w:p>
        </w:tc>
      </w:tr>
      <w:tr w:rsidR="000B1C4F" w14:paraId="0B0268A5" w14:textId="77777777" w:rsidTr="00905257">
        <w:tc>
          <w:tcPr>
            <w:tcW w:w="9356" w:type="dxa"/>
          </w:tcPr>
          <w:p w14:paraId="0D4429C0" w14:textId="7183C8C7" w:rsidR="000B1C4F" w:rsidRPr="0044251E" w:rsidRDefault="009C66DD" w:rsidP="0044251E">
            <w:r w:rsidRPr="00053DD5">
              <w:rPr>
                <w:rFonts w:cs="Arial"/>
                <w:color w:val="000000"/>
                <w:szCs w:val="22"/>
                <w:lang w:val="en-GB" w:eastAsia="en-AU"/>
              </w:rPr>
              <w:t xml:space="preserve">The Records Management training module within the Agency’s online induction program has been </w:t>
            </w:r>
            <w:r>
              <w:rPr>
                <w:rFonts w:cs="Arial"/>
                <w:color w:val="000000"/>
                <w:szCs w:val="22"/>
                <w:lang w:val="en-GB" w:eastAsia="en-AU"/>
              </w:rPr>
              <w:t>reviewed</w:t>
            </w:r>
            <w:r w:rsidRPr="00053DD5">
              <w:rPr>
                <w:rFonts w:cs="Arial"/>
                <w:color w:val="000000"/>
                <w:szCs w:val="22"/>
                <w:lang w:val="en-GB" w:eastAsia="en-AU"/>
              </w:rPr>
              <w:t xml:space="preserve"> and updated in the past financial year</w:t>
            </w:r>
            <w:r>
              <w:rPr>
                <w:rFonts w:cs="Arial"/>
                <w:color w:val="000000"/>
                <w:szCs w:val="22"/>
                <w:lang w:val="en-GB" w:eastAsia="en-AU"/>
              </w:rPr>
              <w:t xml:space="preserve"> to ensure consistency with the EDRMS</w:t>
            </w:r>
            <w:r w:rsidRPr="00053DD5">
              <w:rPr>
                <w:rFonts w:cs="Arial"/>
                <w:color w:val="000000"/>
                <w:szCs w:val="22"/>
                <w:lang w:val="en-GB" w:eastAsia="en-AU"/>
              </w:rPr>
              <w:t xml:space="preserve">. Training initiatives and materials are reviewed regularly to ensure the information provided to </w:t>
            </w:r>
            <w:r>
              <w:rPr>
                <w:rFonts w:cs="Arial"/>
                <w:color w:val="000000"/>
                <w:szCs w:val="22"/>
                <w:lang w:val="en-GB" w:eastAsia="en-AU"/>
              </w:rPr>
              <w:t>WorkCover WA</w:t>
            </w:r>
            <w:r w:rsidRPr="00053DD5">
              <w:rPr>
                <w:rFonts w:cs="Arial"/>
                <w:color w:val="000000"/>
                <w:szCs w:val="22"/>
                <w:lang w:val="en-GB" w:eastAsia="en-AU"/>
              </w:rPr>
              <w:t xml:space="preserve"> staff is meeting requirements and complies with relevant legislation and standards.</w:t>
            </w:r>
          </w:p>
        </w:tc>
      </w:tr>
      <w:tr w:rsidR="000B1C4F" w14:paraId="09C2D938" w14:textId="77777777" w:rsidTr="007E0E46">
        <w:tc>
          <w:tcPr>
            <w:tcW w:w="9356" w:type="dxa"/>
            <w:shd w:val="clear" w:color="auto" w:fill="BAD0CD" w:themeFill="accent5" w:themeFillShade="E6"/>
          </w:tcPr>
          <w:p w14:paraId="767536C3" w14:textId="546C6FDD" w:rsidR="000B1C4F" w:rsidRPr="00923EAB" w:rsidRDefault="009C66DD" w:rsidP="00522089">
            <w:pPr>
              <w:rPr>
                <w:rStyle w:val="Strong"/>
                <w:b w:val="0"/>
              </w:rPr>
            </w:pPr>
            <w:r>
              <w:rPr>
                <w:rStyle w:val="Strong"/>
              </w:rPr>
              <w:t>Assurance that t</w:t>
            </w:r>
            <w:r w:rsidRPr="00923EAB">
              <w:rPr>
                <w:rStyle w:val="Strong"/>
              </w:rPr>
              <w:t xml:space="preserve">he organisation’s induction program addresses employee roles and responsibilities in regard to their compliance with the organisation’s recordkeeping </w:t>
            </w:r>
            <w:r>
              <w:rPr>
                <w:rStyle w:val="Strong"/>
              </w:rPr>
              <w:t>plan</w:t>
            </w:r>
          </w:p>
        </w:tc>
      </w:tr>
      <w:tr w:rsidR="000B1C4F" w14:paraId="60B21CB2" w14:textId="77777777" w:rsidTr="00905257">
        <w:tc>
          <w:tcPr>
            <w:tcW w:w="9356" w:type="dxa"/>
          </w:tcPr>
          <w:p w14:paraId="7EC18256" w14:textId="28A98354" w:rsidR="000B1C4F" w:rsidRDefault="009C66DD" w:rsidP="00D91F61">
            <w:pPr>
              <w:keepLines w:val="0"/>
              <w:suppressAutoHyphens/>
              <w:autoSpaceDE w:val="0"/>
              <w:autoSpaceDN w:val="0"/>
              <w:adjustRightInd w:val="0"/>
              <w:spacing w:after="0" w:line="288" w:lineRule="auto"/>
              <w:textAlignment w:val="center"/>
              <w:rPr>
                <w:rStyle w:val="Strong"/>
                <w:b w:val="0"/>
              </w:rPr>
            </w:pPr>
            <w:r>
              <w:rPr>
                <w:rFonts w:cs="Arial"/>
                <w:szCs w:val="22"/>
                <w:lang w:val="en-GB" w:eastAsia="en-AU"/>
              </w:rPr>
              <w:t xml:space="preserve">The </w:t>
            </w:r>
            <w:r w:rsidRPr="00053DD5">
              <w:rPr>
                <w:rFonts w:cs="Arial"/>
                <w:color w:val="000000"/>
                <w:szCs w:val="22"/>
                <w:lang w:val="en-GB" w:eastAsia="en-AU"/>
              </w:rPr>
              <w:t xml:space="preserve">Records Management </w:t>
            </w:r>
            <w:r>
              <w:rPr>
                <w:rFonts w:cs="Arial"/>
                <w:color w:val="000000"/>
                <w:szCs w:val="22"/>
                <w:lang w:val="en-GB" w:eastAsia="en-AU"/>
              </w:rPr>
              <w:t xml:space="preserve">induction </w:t>
            </w:r>
            <w:r w:rsidRPr="00053DD5">
              <w:rPr>
                <w:rFonts w:cs="Arial"/>
                <w:color w:val="000000"/>
                <w:szCs w:val="22"/>
                <w:lang w:val="en-GB" w:eastAsia="en-AU"/>
              </w:rPr>
              <w:t xml:space="preserve">training module </w:t>
            </w:r>
            <w:r>
              <w:rPr>
                <w:rFonts w:cs="Arial"/>
                <w:szCs w:val="22"/>
                <w:lang w:val="en-GB" w:eastAsia="en-AU"/>
              </w:rPr>
              <w:t xml:space="preserve">addresses employee roles and responsibilities </w:t>
            </w:r>
            <w:r w:rsidRPr="00905257">
              <w:rPr>
                <w:rFonts w:cs="Arial"/>
                <w:szCs w:val="22"/>
                <w:lang w:val="en-GB" w:eastAsia="en-AU"/>
              </w:rPr>
              <w:t xml:space="preserve">to ensure compliance with the Recordkeeping Plan and the </w:t>
            </w:r>
            <w:r w:rsidRPr="00905257">
              <w:rPr>
                <w:rFonts w:cs="Arial"/>
                <w:i/>
                <w:iCs/>
                <w:szCs w:val="22"/>
                <w:lang w:val="en-GB" w:eastAsia="en-AU"/>
              </w:rPr>
              <w:t>State Records Act 2000</w:t>
            </w:r>
            <w:r w:rsidRPr="00905257">
              <w:rPr>
                <w:rFonts w:cs="Arial"/>
                <w:szCs w:val="22"/>
                <w:lang w:val="en-GB" w:eastAsia="en-AU"/>
              </w:rPr>
              <w:t>.</w:t>
            </w:r>
            <w:r>
              <w:rPr>
                <w:rFonts w:cs="Arial"/>
                <w:szCs w:val="22"/>
                <w:lang w:val="en-GB" w:eastAsia="en-AU"/>
              </w:rPr>
              <w:t xml:space="preserve"> The training module is regularly reviewed to ensure employees meet current compliance requirements.</w:t>
            </w:r>
          </w:p>
        </w:tc>
      </w:tr>
    </w:tbl>
    <w:p w14:paraId="2C03B175" w14:textId="59445CC6" w:rsidR="00714CBA" w:rsidRPr="00714CBA" w:rsidRDefault="00714CBA" w:rsidP="00C00700">
      <w:pPr>
        <w:pStyle w:val="Heading1nonumber"/>
      </w:pPr>
      <w:bookmarkStart w:id="542" w:name="_Toc399317044"/>
      <w:bookmarkStart w:id="543" w:name="_Toc426617599"/>
      <w:bookmarkStart w:id="544" w:name="_Toc430091329"/>
      <w:r>
        <w:lastRenderedPageBreak/>
        <w:t xml:space="preserve">Government </w:t>
      </w:r>
      <w:r w:rsidR="002F30AF">
        <w:t>p</w:t>
      </w:r>
      <w:r>
        <w:t xml:space="preserve">olicy </w:t>
      </w:r>
      <w:r w:rsidR="002F30AF">
        <w:t>r</w:t>
      </w:r>
      <w:r>
        <w:t>equirements</w:t>
      </w:r>
      <w:bookmarkEnd w:id="542"/>
      <w:bookmarkEnd w:id="543"/>
      <w:bookmarkEnd w:id="544"/>
    </w:p>
    <w:p w14:paraId="24BB9259" w14:textId="77777777" w:rsidR="00973F57" w:rsidRDefault="00973F57" w:rsidP="00C00700">
      <w:pPr>
        <w:pStyle w:val="Heading2nonumber"/>
      </w:pPr>
      <w:bookmarkStart w:id="545" w:name="_Toc399317045"/>
      <w:bookmarkStart w:id="546" w:name="_Toc426617600"/>
      <w:bookmarkStart w:id="547" w:name="_Toc430091330"/>
      <w:r>
        <w:t>Substantive equality</w:t>
      </w:r>
      <w:bookmarkEnd w:id="545"/>
      <w:bookmarkEnd w:id="546"/>
      <w:bookmarkEnd w:id="547"/>
    </w:p>
    <w:p w14:paraId="4AEA26B0" w14:textId="47EFB516" w:rsidR="00BF5B3D" w:rsidRPr="00E22526" w:rsidRDefault="00C726B0" w:rsidP="00D91F61">
      <w:r w:rsidRPr="00D91F61">
        <w:t>WorkCover WA</w:t>
      </w:r>
      <w:r w:rsidR="00BF5B3D" w:rsidRPr="00D91F61">
        <w:t>’s compliance with Public Sector Standards and Ethical Codes is detailed under ‘</w:t>
      </w:r>
      <w:r w:rsidR="007B55AA">
        <w:t>Equality and inclusion</w:t>
      </w:r>
      <w:r w:rsidR="00BF5B3D" w:rsidRPr="00CA66C0">
        <w:t xml:space="preserve">’ in </w:t>
      </w:r>
      <w:r w:rsidR="00271C47" w:rsidRPr="00CA66C0">
        <w:rPr>
          <w:rStyle w:val="Emphasis"/>
        </w:rPr>
        <w:t>Section 4: Opportunities and C</w:t>
      </w:r>
      <w:r w:rsidR="00BF5B3D" w:rsidRPr="00CA66C0">
        <w:rPr>
          <w:rStyle w:val="Emphasis"/>
        </w:rPr>
        <w:t xml:space="preserve">hallenges </w:t>
      </w:r>
      <w:r w:rsidR="00BF5B3D" w:rsidRPr="00395E32">
        <w:t xml:space="preserve">from page </w:t>
      </w:r>
      <w:r w:rsidR="00395E32" w:rsidRPr="00395E32">
        <w:t>107</w:t>
      </w:r>
      <w:r w:rsidR="00664937" w:rsidRPr="00395E32">
        <w:t xml:space="preserve"> </w:t>
      </w:r>
      <w:r w:rsidR="00BF5B3D" w:rsidRPr="00395E32">
        <w:t xml:space="preserve">of </w:t>
      </w:r>
      <w:r w:rsidR="00BF5B3D" w:rsidRPr="00CA66C0">
        <w:t>this report.</w:t>
      </w:r>
    </w:p>
    <w:p w14:paraId="13DB1D49" w14:textId="2EA80BFF" w:rsidR="00973F57" w:rsidRDefault="00973F57" w:rsidP="00C00700">
      <w:pPr>
        <w:pStyle w:val="Heading2nonumber"/>
      </w:pPr>
      <w:bookmarkStart w:id="548" w:name="_Toc399317046"/>
      <w:bookmarkStart w:id="549" w:name="_Toc426617601"/>
      <w:bookmarkStart w:id="550" w:name="_Toc430091331"/>
      <w:r>
        <w:t>Occupational safety, health and injury management</w:t>
      </w:r>
      <w:bookmarkEnd w:id="548"/>
      <w:bookmarkEnd w:id="549"/>
      <w:bookmarkEnd w:id="550"/>
    </w:p>
    <w:p w14:paraId="57FF29D9" w14:textId="73B7E960" w:rsidR="00BF5B3D" w:rsidRPr="00BF5B3D" w:rsidRDefault="00C726B0" w:rsidP="00BF5B3D">
      <w:pPr>
        <w:rPr>
          <w:b/>
          <w:bCs/>
        </w:rPr>
      </w:pPr>
      <w:r>
        <w:t>WorkCover WA</w:t>
      </w:r>
      <w:r w:rsidR="00BF5B3D" w:rsidRPr="00BF5B3D">
        <w:t>’s Occupational Safety, Health and Injury Management policies are detailed under ‘</w:t>
      </w:r>
      <w:r w:rsidR="007B55AA">
        <w:t>Safety, health and wellbeing</w:t>
      </w:r>
      <w:r w:rsidR="00BF5B3D" w:rsidRPr="00E35122">
        <w:t xml:space="preserve">’ in </w:t>
      </w:r>
      <w:r w:rsidR="00BF5B3D" w:rsidRPr="00E35122">
        <w:rPr>
          <w:rStyle w:val="Emphasis"/>
        </w:rPr>
        <w:t>Section 4</w:t>
      </w:r>
      <w:r w:rsidR="00BF5B3D" w:rsidRPr="00E35122">
        <w:t xml:space="preserve">: </w:t>
      </w:r>
      <w:r w:rsidR="00271C47" w:rsidRPr="00E35122">
        <w:rPr>
          <w:i/>
          <w:iCs/>
        </w:rPr>
        <w:t>Opportunities and C</w:t>
      </w:r>
      <w:r w:rsidR="00BF5B3D" w:rsidRPr="00E35122">
        <w:rPr>
          <w:i/>
          <w:iCs/>
        </w:rPr>
        <w:t>hallenges</w:t>
      </w:r>
      <w:r w:rsidR="00BF5B3D" w:rsidRPr="00E35122">
        <w:t xml:space="preserve"> from </w:t>
      </w:r>
      <w:r w:rsidR="00E35122" w:rsidRPr="00395E32">
        <w:t xml:space="preserve">page </w:t>
      </w:r>
      <w:r w:rsidR="00395E32" w:rsidRPr="00395E32">
        <w:t>109</w:t>
      </w:r>
      <w:r w:rsidR="00D91F61" w:rsidRPr="00395E32">
        <w:t xml:space="preserve"> </w:t>
      </w:r>
      <w:r w:rsidR="00BF5B3D" w:rsidRPr="00395E32">
        <w:t xml:space="preserve">of </w:t>
      </w:r>
      <w:r w:rsidR="00BF5B3D" w:rsidRPr="00E35122">
        <w:t>this report.</w:t>
      </w:r>
    </w:p>
    <w:p w14:paraId="72F549BD" w14:textId="363A678F" w:rsidR="002B37AB" w:rsidRDefault="00BC34DB">
      <w:pPr>
        <w:keepLines w:val="0"/>
        <w:spacing w:after="0" w:line="240" w:lineRule="auto"/>
      </w:pPr>
      <w:r>
        <w:t xml:space="preserve">The Agency’s OSH and injury management performance is detailed </w:t>
      </w:r>
      <w:r w:rsidR="009660BC">
        <w:t>in the following section.</w:t>
      </w:r>
    </w:p>
    <w:p w14:paraId="68F82C23" w14:textId="4524A1D9" w:rsidR="00973F57" w:rsidRPr="00973F57" w:rsidRDefault="00B00299" w:rsidP="00043514">
      <w:pPr>
        <w:pStyle w:val="Heading3nonumber"/>
        <w:tabs>
          <w:tab w:val="left" w:pos="7513"/>
        </w:tabs>
      </w:pPr>
      <w:bookmarkStart w:id="551" w:name="_Toc399317047"/>
      <w:bookmarkStart w:id="552" w:name="_Toc426617602"/>
      <w:bookmarkStart w:id="553" w:name="_Toc430091332"/>
      <w:r>
        <w:t xml:space="preserve">OSH and </w:t>
      </w:r>
      <w:r w:rsidR="00180DE3">
        <w:t>i</w:t>
      </w:r>
      <w:r>
        <w:t xml:space="preserve">njury </w:t>
      </w:r>
      <w:r w:rsidR="00180DE3">
        <w:t>m</w:t>
      </w:r>
      <w:r>
        <w:t xml:space="preserve">anagement </w:t>
      </w:r>
      <w:r w:rsidR="00180DE3">
        <w:t>p</w:t>
      </w:r>
      <w:r>
        <w:t>erformance</w:t>
      </w:r>
      <w:bookmarkEnd w:id="551"/>
      <w:bookmarkEnd w:id="552"/>
      <w:bookmarkEnd w:id="553"/>
      <w:r>
        <w:t xml:space="preserve"> </w:t>
      </w:r>
    </w:p>
    <w:p w14:paraId="13C22E42" w14:textId="49145A07" w:rsidR="00E22526" w:rsidRDefault="00C726B0" w:rsidP="00BF5B3D">
      <w:r>
        <w:t>WorkCover WA</w:t>
      </w:r>
      <w:r w:rsidR="00BF5B3D" w:rsidRPr="00BF5B3D">
        <w:t xml:space="preserve">’s OSH and injury management data for this reporting period is disclosed in </w:t>
      </w:r>
      <w:r w:rsidR="00666BC3" w:rsidRPr="00395E32">
        <w:t xml:space="preserve">table </w:t>
      </w:r>
      <w:r w:rsidR="00D91F61" w:rsidRPr="00395E32">
        <w:t>43</w:t>
      </w:r>
      <w:r w:rsidR="00BF5B3D" w:rsidRPr="00395E32">
        <w:t xml:space="preserve">. </w:t>
      </w:r>
      <w:r w:rsidR="00BF5B3D" w:rsidRPr="006455EC">
        <w:t>Comparative</w:t>
      </w:r>
      <w:r w:rsidR="00BF5B3D" w:rsidRPr="00BF5B3D">
        <w:t xml:space="preserve"> data has been included where possible.</w:t>
      </w:r>
    </w:p>
    <w:p w14:paraId="3C1C6489" w14:textId="77777777" w:rsidR="00E22526" w:rsidRDefault="00E22526">
      <w:pPr>
        <w:keepLines w:val="0"/>
        <w:spacing w:after="0" w:line="240" w:lineRule="auto"/>
      </w:pPr>
      <w:r>
        <w:br w:type="page"/>
      </w:r>
    </w:p>
    <w:tbl>
      <w:tblPr>
        <w:tblW w:w="9049"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Caption w:val="Table 23 2014/15 OSH performance data"/>
        <w:tblDescription w:val="Table 42 details all Occupational Safety and Health performance"/>
      </w:tblPr>
      <w:tblGrid>
        <w:gridCol w:w="2245"/>
        <w:gridCol w:w="1134"/>
        <w:gridCol w:w="1134"/>
        <w:gridCol w:w="1134"/>
        <w:gridCol w:w="1134"/>
        <w:gridCol w:w="1134"/>
        <w:gridCol w:w="1134"/>
      </w:tblGrid>
      <w:tr w:rsidR="00BC34DB" w:rsidRPr="009220DC" w14:paraId="7EAD66DC" w14:textId="77777777" w:rsidTr="00BC34DB">
        <w:trPr>
          <w:trHeight w:val="60"/>
          <w:tblHeader/>
        </w:trPr>
        <w:tc>
          <w:tcPr>
            <w:tcW w:w="9049" w:type="dxa"/>
            <w:gridSpan w:val="7"/>
            <w:shd w:val="clear" w:color="auto" w:fill="2D4541" w:themeFill="accent2"/>
            <w:tcMar>
              <w:top w:w="170" w:type="dxa"/>
              <w:left w:w="113" w:type="dxa"/>
              <w:bottom w:w="170" w:type="dxa"/>
              <w:right w:w="113" w:type="dxa"/>
            </w:tcMar>
            <w:vAlign w:val="center"/>
          </w:tcPr>
          <w:p w14:paraId="1B7550E7" w14:textId="39B56EBA" w:rsidR="00BC34DB" w:rsidRPr="001B7EB9" w:rsidRDefault="00BC34DB" w:rsidP="009E75E3">
            <w:pPr>
              <w:rPr>
                <w:rStyle w:val="Strong"/>
                <w:color w:val="FFFFFF" w:themeColor="background1"/>
              </w:rPr>
            </w:pPr>
            <w:r w:rsidRPr="001B7EB9">
              <w:rPr>
                <w:rStyle w:val="Strong"/>
                <w:color w:val="FFFFFF" w:themeColor="background1"/>
              </w:rPr>
              <w:lastRenderedPageBreak/>
              <w:t xml:space="preserve">Table </w:t>
            </w:r>
            <w:r>
              <w:rPr>
                <w:rStyle w:val="Strong"/>
                <w:color w:val="FFFFFF" w:themeColor="background1"/>
              </w:rPr>
              <w:t>4</w:t>
            </w:r>
            <w:r w:rsidR="009E75E3">
              <w:rPr>
                <w:rStyle w:val="Strong"/>
                <w:color w:val="FFFFFF" w:themeColor="background1"/>
              </w:rPr>
              <w:t>3</w:t>
            </w:r>
            <w:r w:rsidRPr="001B7EB9">
              <w:rPr>
                <w:rStyle w:val="Strong"/>
                <w:color w:val="FFFFFF" w:themeColor="background1"/>
              </w:rPr>
              <w:t xml:space="preserve">: </w:t>
            </w:r>
            <w:r>
              <w:rPr>
                <w:rStyle w:val="Strong"/>
                <w:color w:val="FFFFFF" w:themeColor="background1"/>
              </w:rPr>
              <w:t>2014/15</w:t>
            </w:r>
            <w:r w:rsidRPr="001B7EB9">
              <w:rPr>
                <w:rStyle w:val="Strong"/>
                <w:color w:val="FFFFFF" w:themeColor="background1"/>
              </w:rPr>
              <w:t xml:space="preserve"> OSH performance data</w:t>
            </w:r>
          </w:p>
        </w:tc>
      </w:tr>
      <w:tr w:rsidR="00BC34DB" w:rsidRPr="009220DC" w14:paraId="67F46435" w14:textId="77777777" w:rsidTr="00BC34DB">
        <w:trPr>
          <w:trHeight w:val="60"/>
        </w:trPr>
        <w:tc>
          <w:tcPr>
            <w:tcW w:w="2245" w:type="dxa"/>
            <w:shd w:val="clear" w:color="auto" w:fill="CEDFDC" w:themeFill="accent2" w:themeFillTint="33"/>
            <w:tcMar>
              <w:top w:w="170" w:type="dxa"/>
              <w:left w:w="113" w:type="dxa"/>
              <w:bottom w:w="170" w:type="dxa"/>
              <w:right w:w="113" w:type="dxa"/>
            </w:tcMar>
          </w:tcPr>
          <w:p w14:paraId="5D5007EC" w14:textId="77777777" w:rsidR="00BC34DB" w:rsidRPr="00B810E5" w:rsidRDefault="00BC34DB" w:rsidP="003E6748">
            <w:pPr>
              <w:rPr>
                <w:rStyle w:val="Strong"/>
              </w:rPr>
            </w:pPr>
            <w:r>
              <w:rPr>
                <w:rStyle w:val="Strong"/>
              </w:rPr>
              <w:t>O</w:t>
            </w:r>
            <w:r w:rsidRPr="00B810E5">
              <w:rPr>
                <w:rStyle w:val="Strong"/>
              </w:rPr>
              <w:t>SH indicator</w:t>
            </w:r>
          </w:p>
        </w:tc>
        <w:tc>
          <w:tcPr>
            <w:tcW w:w="1134" w:type="dxa"/>
            <w:shd w:val="clear" w:color="auto" w:fill="CEDFDC" w:themeFill="accent2" w:themeFillTint="33"/>
            <w:tcMar>
              <w:top w:w="170" w:type="dxa"/>
              <w:left w:w="113" w:type="dxa"/>
              <w:bottom w:w="170" w:type="dxa"/>
              <w:right w:w="113" w:type="dxa"/>
            </w:tcMar>
          </w:tcPr>
          <w:p w14:paraId="624CC844" w14:textId="77777777" w:rsidR="00BC34DB" w:rsidRPr="00B810E5" w:rsidRDefault="00BC34DB" w:rsidP="003E6748">
            <w:pPr>
              <w:jc w:val="center"/>
              <w:rPr>
                <w:rStyle w:val="Strong"/>
              </w:rPr>
            </w:pPr>
            <w:r w:rsidRPr="00B810E5">
              <w:rPr>
                <w:rStyle w:val="Strong"/>
              </w:rPr>
              <w:t>2010/11</w:t>
            </w:r>
          </w:p>
        </w:tc>
        <w:tc>
          <w:tcPr>
            <w:tcW w:w="1134" w:type="dxa"/>
            <w:shd w:val="clear" w:color="auto" w:fill="CEDFDC" w:themeFill="accent2" w:themeFillTint="33"/>
            <w:tcMar>
              <w:top w:w="170" w:type="dxa"/>
              <w:left w:w="113" w:type="dxa"/>
              <w:bottom w:w="170" w:type="dxa"/>
              <w:right w:w="113" w:type="dxa"/>
            </w:tcMar>
          </w:tcPr>
          <w:p w14:paraId="36ABC93F" w14:textId="77777777" w:rsidR="00BC34DB" w:rsidRPr="00B810E5" w:rsidRDefault="00BC34DB" w:rsidP="003E6748">
            <w:pPr>
              <w:jc w:val="center"/>
              <w:rPr>
                <w:rStyle w:val="Strong"/>
              </w:rPr>
            </w:pPr>
            <w:r w:rsidRPr="00B810E5">
              <w:rPr>
                <w:rStyle w:val="Strong"/>
              </w:rPr>
              <w:t>2011/12</w:t>
            </w:r>
          </w:p>
        </w:tc>
        <w:tc>
          <w:tcPr>
            <w:tcW w:w="1134" w:type="dxa"/>
            <w:shd w:val="clear" w:color="auto" w:fill="CEDFDC" w:themeFill="accent2" w:themeFillTint="33"/>
            <w:tcMar>
              <w:top w:w="170" w:type="dxa"/>
              <w:left w:w="113" w:type="dxa"/>
              <w:bottom w:w="170" w:type="dxa"/>
              <w:right w:w="113" w:type="dxa"/>
            </w:tcMar>
          </w:tcPr>
          <w:p w14:paraId="775448FB" w14:textId="77777777" w:rsidR="00BC34DB" w:rsidRPr="00B810E5" w:rsidRDefault="00BC34DB" w:rsidP="00BC34DB">
            <w:pPr>
              <w:jc w:val="center"/>
              <w:rPr>
                <w:rStyle w:val="Strong"/>
              </w:rPr>
            </w:pPr>
            <w:r w:rsidRPr="00B810E5">
              <w:rPr>
                <w:rStyle w:val="Strong"/>
              </w:rPr>
              <w:t>2012/13</w:t>
            </w:r>
            <w:r>
              <w:rPr>
                <w:rStyle w:val="Strong"/>
              </w:rPr>
              <w:br/>
            </w:r>
          </w:p>
        </w:tc>
        <w:tc>
          <w:tcPr>
            <w:tcW w:w="1134" w:type="dxa"/>
            <w:shd w:val="clear" w:color="auto" w:fill="CEDFDC" w:themeFill="accent2" w:themeFillTint="33"/>
          </w:tcPr>
          <w:p w14:paraId="7780AFE1" w14:textId="77777777" w:rsidR="00BC34DB" w:rsidRPr="00B810E5" w:rsidRDefault="00BC34DB" w:rsidP="00BC34DB">
            <w:pPr>
              <w:jc w:val="center"/>
              <w:rPr>
                <w:rStyle w:val="Strong"/>
              </w:rPr>
            </w:pPr>
            <w:r w:rsidRPr="00B810E5">
              <w:rPr>
                <w:rStyle w:val="Strong"/>
              </w:rPr>
              <w:t xml:space="preserve">2013/14 </w:t>
            </w:r>
          </w:p>
        </w:tc>
        <w:tc>
          <w:tcPr>
            <w:tcW w:w="1134" w:type="dxa"/>
            <w:shd w:val="clear" w:color="auto" w:fill="CEDFDC" w:themeFill="accent2" w:themeFillTint="33"/>
          </w:tcPr>
          <w:p w14:paraId="1EE83DC1" w14:textId="77777777" w:rsidR="00BC34DB" w:rsidRPr="0056613F" w:rsidRDefault="00BC34DB" w:rsidP="003E6748">
            <w:pPr>
              <w:jc w:val="center"/>
              <w:rPr>
                <w:rStyle w:val="Strong"/>
              </w:rPr>
            </w:pPr>
            <w:r w:rsidRPr="0056613F">
              <w:rPr>
                <w:rStyle w:val="Strong"/>
              </w:rPr>
              <w:t>2014/15</w:t>
            </w:r>
            <w:r w:rsidRPr="0056613F">
              <w:rPr>
                <w:rStyle w:val="Strong"/>
              </w:rPr>
              <w:br/>
              <w:t xml:space="preserve"> Target</w:t>
            </w:r>
          </w:p>
        </w:tc>
        <w:tc>
          <w:tcPr>
            <w:tcW w:w="1134" w:type="dxa"/>
            <w:shd w:val="clear" w:color="auto" w:fill="CEDFDC" w:themeFill="accent2" w:themeFillTint="33"/>
          </w:tcPr>
          <w:p w14:paraId="4E95E80F" w14:textId="77777777" w:rsidR="00BC34DB" w:rsidRPr="0056613F" w:rsidRDefault="00BC34DB" w:rsidP="003E6748">
            <w:pPr>
              <w:jc w:val="center"/>
              <w:rPr>
                <w:rStyle w:val="Strong"/>
              </w:rPr>
            </w:pPr>
            <w:r w:rsidRPr="0056613F">
              <w:rPr>
                <w:rStyle w:val="Strong"/>
              </w:rPr>
              <w:t>2014/15</w:t>
            </w:r>
            <w:r w:rsidRPr="0056613F">
              <w:rPr>
                <w:rStyle w:val="Strong"/>
              </w:rPr>
              <w:br/>
              <w:t xml:space="preserve"> Actual</w:t>
            </w:r>
          </w:p>
        </w:tc>
      </w:tr>
      <w:tr w:rsidR="0056613F" w:rsidRPr="00D57125" w14:paraId="064C067D" w14:textId="77777777" w:rsidTr="0056613F">
        <w:trPr>
          <w:trHeight w:val="696"/>
        </w:trPr>
        <w:tc>
          <w:tcPr>
            <w:tcW w:w="2245" w:type="dxa"/>
            <w:shd w:val="clear" w:color="auto" w:fill="D4E2E0" w:themeFill="accent5"/>
            <w:tcMar>
              <w:top w:w="113" w:type="dxa"/>
              <w:left w:w="113" w:type="dxa"/>
              <w:bottom w:w="113" w:type="dxa"/>
              <w:right w:w="113" w:type="dxa"/>
            </w:tcMar>
            <w:vAlign w:val="center"/>
          </w:tcPr>
          <w:p w14:paraId="25B54083" w14:textId="77777777" w:rsidR="0056613F" w:rsidRPr="00F12697" w:rsidRDefault="0056613F" w:rsidP="0056613F">
            <w:r>
              <w:t>Nu</w:t>
            </w:r>
            <w:r w:rsidRPr="00F12697">
              <w:t>mber of fatalities</w:t>
            </w:r>
          </w:p>
        </w:tc>
        <w:tc>
          <w:tcPr>
            <w:tcW w:w="1134" w:type="dxa"/>
            <w:shd w:val="clear" w:color="auto" w:fill="auto"/>
            <w:tcMar>
              <w:top w:w="113" w:type="dxa"/>
              <w:left w:w="113" w:type="dxa"/>
              <w:bottom w:w="113" w:type="dxa"/>
              <w:right w:w="113" w:type="dxa"/>
            </w:tcMar>
            <w:vAlign w:val="center"/>
          </w:tcPr>
          <w:p w14:paraId="3578B3B6" w14:textId="77777777" w:rsidR="0056613F" w:rsidRPr="00D40453" w:rsidRDefault="0056613F" w:rsidP="0056613F">
            <w:pPr>
              <w:jc w:val="center"/>
              <w:rPr>
                <w:lang w:val="en-GB" w:eastAsia="en-AU"/>
              </w:rPr>
            </w:pPr>
            <w:r w:rsidRPr="00D40453">
              <w:rPr>
                <w:lang w:val="en-GB" w:eastAsia="en-AU"/>
              </w:rPr>
              <w:t>0</w:t>
            </w:r>
          </w:p>
        </w:tc>
        <w:tc>
          <w:tcPr>
            <w:tcW w:w="1134" w:type="dxa"/>
            <w:shd w:val="clear" w:color="auto" w:fill="auto"/>
            <w:tcMar>
              <w:top w:w="113" w:type="dxa"/>
              <w:left w:w="113" w:type="dxa"/>
              <w:bottom w:w="113" w:type="dxa"/>
              <w:right w:w="113" w:type="dxa"/>
            </w:tcMar>
            <w:vAlign w:val="center"/>
          </w:tcPr>
          <w:p w14:paraId="729329F3" w14:textId="77777777" w:rsidR="0056613F" w:rsidRPr="00D40453" w:rsidRDefault="0056613F" w:rsidP="0056613F">
            <w:pPr>
              <w:jc w:val="center"/>
              <w:rPr>
                <w:lang w:val="en-GB" w:eastAsia="en-AU"/>
              </w:rPr>
            </w:pPr>
            <w:r w:rsidRPr="00D40453">
              <w:rPr>
                <w:lang w:val="en-GB" w:eastAsia="en-AU"/>
              </w:rPr>
              <w:t>0</w:t>
            </w:r>
          </w:p>
        </w:tc>
        <w:tc>
          <w:tcPr>
            <w:tcW w:w="1134" w:type="dxa"/>
            <w:shd w:val="clear" w:color="auto" w:fill="auto"/>
            <w:tcMar>
              <w:top w:w="113" w:type="dxa"/>
              <w:left w:w="113" w:type="dxa"/>
              <w:bottom w:w="113" w:type="dxa"/>
              <w:right w:w="113" w:type="dxa"/>
            </w:tcMar>
            <w:vAlign w:val="center"/>
          </w:tcPr>
          <w:p w14:paraId="12BD5181" w14:textId="77777777" w:rsidR="0056613F" w:rsidRPr="00D40453" w:rsidRDefault="0056613F" w:rsidP="0056613F">
            <w:pPr>
              <w:jc w:val="center"/>
              <w:rPr>
                <w:lang w:val="en-GB" w:eastAsia="en-AU"/>
              </w:rPr>
            </w:pPr>
            <w:r w:rsidRPr="00D40453">
              <w:rPr>
                <w:lang w:val="en-GB" w:eastAsia="en-AU"/>
              </w:rPr>
              <w:t>0</w:t>
            </w:r>
          </w:p>
        </w:tc>
        <w:tc>
          <w:tcPr>
            <w:tcW w:w="1134" w:type="dxa"/>
            <w:shd w:val="clear" w:color="auto" w:fill="auto"/>
            <w:vAlign w:val="center"/>
          </w:tcPr>
          <w:p w14:paraId="03EC9004" w14:textId="77777777" w:rsidR="0056613F" w:rsidRPr="00D40453" w:rsidRDefault="0056613F" w:rsidP="0056613F">
            <w:pPr>
              <w:jc w:val="center"/>
              <w:rPr>
                <w:highlight w:val="lightGray"/>
                <w:lang w:val="en-GB" w:eastAsia="en-AU"/>
              </w:rPr>
            </w:pPr>
            <w:r w:rsidRPr="00D40453">
              <w:rPr>
                <w:lang w:val="en-GB" w:eastAsia="en-AU"/>
              </w:rPr>
              <w:t>0</w:t>
            </w:r>
          </w:p>
        </w:tc>
        <w:tc>
          <w:tcPr>
            <w:tcW w:w="1134" w:type="dxa"/>
            <w:shd w:val="clear" w:color="auto" w:fill="auto"/>
            <w:vAlign w:val="center"/>
          </w:tcPr>
          <w:p w14:paraId="255DAE3D" w14:textId="38C840EC" w:rsidR="0056613F" w:rsidRPr="00300A55" w:rsidRDefault="0056613F" w:rsidP="0056613F">
            <w:pPr>
              <w:tabs>
                <w:tab w:val="left" w:pos="747"/>
              </w:tabs>
              <w:jc w:val="center"/>
              <w:rPr>
                <w:color w:val="FF0000"/>
                <w:highlight w:val="yellow"/>
                <w:lang w:val="en-GB" w:eastAsia="en-AU"/>
              </w:rPr>
            </w:pPr>
            <w:r w:rsidRPr="00682BB3">
              <w:t>0</w:t>
            </w:r>
          </w:p>
        </w:tc>
        <w:tc>
          <w:tcPr>
            <w:tcW w:w="1134" w:type="dxa"/>
            <w:vAlign w:val="center"/>
          </w:tcPr>
          <w:p w14:paraId="15F22A43" w14:textId="756F78B2" w:rsidR="0056613F" w:rsidRPr="00300A55" w:rsidRDefault="0056613F" w:rsidP="0056613F">
            <w:pPr>
              <w:tabs>
                <w:tab w:val="left" w:pos="747"/>
              </w:tabs>
              <w:jc w:val="center"/>
              <w:rPr>
                <w:color w:val="FF0000"/>
                <w:highlight w:val="yellow"/>
                <w:lang w:val="en-GB" w:eastAsia="en-AU"/>
              </w:rPr>
            </w:pPr>
            <w:r w:rsidRPr="00682BB3">
              <w:t>0</w:t>
            </w:r>
          </w:p>
        </w:tc>
      </w:tr>
      <w:tr w:rsidR="0056613F" w:rsidRPr="00D57125" w14:paraId="3AA3E2E0" w14:textId="77777777" w:rsidTr="0056613F">
        <w:trPr>
          <w:trHeight w:val="60"/>
        </w:trPr>
        <w:tc>
          <w:tcPr>
            <w:tcW w:w="2245" w:type="dxa"/>
            <w:shd w:val="clear" w:color="auto" w:fill="D4E2E0" w:themeFill="accent5"/>
            <w:tcMar>
              <w:top w:w="128" w:type="dxa"/>
              <w:left w:w="113" w:type="dxa"/>
              <w:bottom w:w="128" w:type="dxa"/>
              <w:right w:w="113" w:type="dxa"/>
            </w:tcMar>
            <w:vAlign w:val="center"/>
          </w:tcPr>
          <w:p w14:paraId="2DA19B17" w14:textId="77777777" w:rsidR="0056613F" w:rsidRPr="00F12697" w:rsidRDefault="0056613F" w:rsidP="0056613F">
            <w:r>
              <w:t>L</w:t>
            </w:r>
            <w:r w:rsidRPr="00F12697">
              <w:t>ost-time injury/disease incidence rate *</w:t>
            </w:r>
          </w:p>
        </w:tc>
        <w:tc>
          <w:tcPr>
            <w:tcW w:w="1134" w:type="dxa"/>
            <w:shd w:val="clear" w:color="auto" w:fill="auto"/>
            <w:tcMar>
              <w:top w:w="128" w:type="dxa"/>
              <w:left w:w="113" w:type="dxa"/>
              <w:bottom w:w="128" w:type="dxa"/>
              <w:right w:w="113" w:type="dxa"/>
            </w:tcMar>
            <w:vAlign w:val="center"/>
          </w:tcPr>
          <w:p w14:paraId="2BC7853E" w14:textId="77777777" w:rsidR="0056613F" w:rsidRPr="00D40453" w:rsidRDefault="0056613F" w:rsidP="0056613F">
            <w:pPr>
              <w:jc w:val="center"/>
              <w:rPr>
                <w:lang w:val="en-GB" w:eastAsia="en-AU"/>
              </w:rPr>
            </w:pPr>
            <w:r w:rsidRPr="00D40453">
              <w:rPr>
                <w:lang w:val="en-GB" w:eastAsia="en-AU"/>
              </w:rPr>
              <w:t>0.67%</w:t>
            </w:r>
          </w:p>
        </w:tc>
        <w:tc>
          <w:tcPr>
            <w:tcW w:w="1134" w:type="dxa"/>
            <w:shd w:val="clear" w:color="auto" w:fill="auto"/>
            <w:tcMar>
              <w:top w:w="128" w:type="dxa"/>
              <w:left w:w="113" w:type="dxa"/>
              <w:bottom w:w="128" w:type="dxa"/>
              <w:right w:w="113" w:type="dxa"/>
            </w:tcMar>
            <w:vAlign w:val="center"/>
          </w:tcPr>
          <w:p w14:paraId="204F64BB" w14:textId="77777777" w:rsidR="0056613F" w:rsidRPr="00D40453" w:rsidRDefault="0056613F" w:rsidP="0056613F">
            <w:pPr>
              <w:jc w:val="center"/>
              <w:rPr>
                <w:lang w:val="en-GB" w:eastAsia="en-AU"/>
              </w:rPr>
            </w:pPr>
            <w:r w:rsidRPr="00D40453">
              <w:rPr>
                <w:lang w:val="en-GB" w:eastAsia="en-AU"/>
              </w:rPr>
              <w:t>0</w:t>
            </w:r>
          </w:p>
        </w:tc>
        <w:tc>
          <w:tcPr>
            <w:tcW w:w="1134" w:type="dxa"/>
            <w:shd w:val="clear" w:color="auto" w:fill="auto"/>
            <w:tcMar>
              <w:top w:w="128" w:type="dxa"/>
              <w:left w:w="113" w:type="dxa"/>
              <w:bottom w:w="128" w:type="dxa"/>
              <w:right w:w="113" w:type="dxa"/>
            </w:tcMar>
            <w:vAlign w:val="center"/>
          </w:tcPr>
          <w:p w14:paraId="20D81F2B" w14:textId="77777777" w:rsidR="0056613F" w:rsidRPr="00D40453" w:rsidRDefault="0056613F" w:rsidP="0056613F">
            <w:pPr>
              <w:jc w:val="center"/>
              <w:rPr>
                <w:lang w:val="en-GB" w:eastAsia="en-AU"/>
              </w:rPr>
            </w:pPr>
            <w:r w:rsidRPr="00D40453">
              <w:rPr>
                <w:lang w:val="en-GB" w:eastAsia="en-AU"/>
              </w:rPr>
              <w:t>0</w:t>
            </w:r>
          </w:p>
        </w:tc>
        <w:tc>
          <w:tcPr>
            <w:tcW w:w="1134" w:type="dxa"/>
            <w:shd w:val="clear" w:color="auto" w:fill="auto"/>
            <w:vAlign w:val="center"/>
          </w:tcPr>
          <w:p w14:paraId="1E30882B" w14:textId="77777777" w:rsidR="0056613F" w:rsidRPr="00D40453" w:rsidRDefault="0056613F" w:rsidP="0056613F">
            <w:pPr>
              <w:jc w:val="center"/>
              <w:rPr>
                <w:highlight w:val="lightGray"/>
                <w:lang w:val="en-GB" w:eastAsia="en-AU"/>
              </w:rPr>
            </w:pPr>
            <w:r w:rsidRPr="00D40453">
              <w:rPr>
                <w:lang w:val="en-GB" w:eastAsia="en-AU"/>
              </w:rPr>
              <w:t>0.75%</w:t>
            </w:r>
          </w:p>
        </w:tc>
        <w:tc>
          <w:tcPr>
            <w:tcW w:w="1134" w:type="dxa"/>
            <w:shd w:val="clear" w:color="auto" w:fill="auto"/>
            <w:vAlign w:val="center"/>
          </w:tcPr>
          <w:p w14:paraId="46E4A167" w14:textId="50763222" w:rsidR="0056613F" w:rsidRPr="00D40453" w:rsidRDefault="0056613F" w:rsidP="0056613F">
            <w:pPr>
              <w:tabs>
                <w:tab w:val="left" w:pos="747"/>
              </w:tabs>
              <w:jc w:val="center"/>
              <w:rPr>
                <w:highlight w:val="lightGray"/>
                <w:lang w:val="en-GB" w:eastAsia="en-AU"/>
              </w:rPr>
            </w:pPr>
            <w:r w:rsidRPr="00682BB3">
              <w:t>0</w:t>
            </w:r>
          </w:p>
        </w:tc>
        <w:tc>
          <w:tcPr>
            <w:tcW w:w="1134" w:type="dxa"/>
            <w:vAlign w:val="center"/>
          </w:tcPr>
          <w:p w14:paraId="4C10C6B5" w14:textId="616E2ABA" w:rsidR="0056613F" w:rsidRPr="00D40453" w:rsidRDefault="0056613F" w:rsidP="0056613F">
            <w:pPr>
              <w:tabs>
                <w:tab w:val="left" w:pos="747"/>
              </w:tabs>
              <w:jc w:val="center"/>
              <w:rPr>
                <w:lang w:val="en-GB" w:eastAsia="en-AU"/>
              </w:rPr>
            </w:pPr>
            <w:r w:rsidRPr="00682BB3">
              <w:t>0</w:t>
            </w:r>
          </w:p>
        </w:tc>
      </w:tr>
      <w:tr w:rsidR="0056613F" w:rsidRPr="00D57125" w14:paraId="001F0CC8" w14:textId="77777777" w:rsidTr="0056613F">
        <w:trPr>
          <w:trHeight w:val="60"/>
        </w:trPr>
        <w:tc>
          <w:tcPr>
            <w:tcW w:w="2245" w:type="dxa"/>
            <w:shd w:val="clear" w:color="auto" w:fill="D4E2E0" w:themeFill="accent5"/>
            <w:tcMar>
              <w:top w:w="128" w:type="dxa"/>
              <w:left w:w="113" w:type="dxa"/>
              <w:bottom w:w="128" w:type="dxa"/>
              <w:right w:w="113" w:type="dxa"/>
            </w:tcMar>
            <w:vAlign w:val="center"/>
          </w:tcPr>
          <w:p w14:paraId="3C436C0A" w14:textId="77777777" w:rsidR="0056613F" w:rsidRPr="00F12697" w:rsidRDefault="0056613F" w:rsidP="0056613F">
            <w:r>
              <w:t>L</w:t>
            </w:r>
            <w:r w:rsidRPr="00F12697">
              <w:t>ost-time injury/disease severity rate</w:t>
            </w:r>
          </w:p>
        </w:tc>
        <w:tc>
          <w:tcPr>
            <w:tcW w:w="1134" w:type="dxa"/>
            <w:shd w:val="clear" w:color="auto" w:fill="auto"/>
            <w:tcMar>
              <w:top w:w="128" w:type="dxa"/>
              <w:left w:w="113" w:type="dxa"/>
              <w:bottom w:w="128" w:type="dxa"/>
              <w:right w:w="113" w:type="dxa"/>
            </w:tcMar>
            <w:vAlign w:val="center"/>
          </w:tcPr>
          <w:p w14:paraId="01948C1C" w14:textId="77777777" w:rsidR="0056613F" w:rsidRPr="00D40453" w:rsidRDefault="0056613F" w:rsidP="0056613F">
            <w:pPr>
              <w:jc w:val="center"/>
              <w:rPr>
                <w:lang w:val="en-GB" w:eastAsia="en-AU"/>
              </w:rPr>
            </w:pPr>
            <w:r w:rsidRPr="00D40453">
              <w:rPr>
                <w:lang w:val="en-GB" w:eastAsia="en-AU"/>
              </w:rPr>
              <w:t>0</w:t>
            </w:r>
          </w:p>
        </w:tc>
        <w:tc>
          <w:tcPr>
            <w:tcW w:w="1134" w:type="dxa"/>
            <w:shd w:val="clear" w:color="auto" w:fill="auto"/>
            <w:tcMar>
              <w:top w:w="128" w:type="dxa"/>
              <w:left w:w="113" w:type="dxa"/>
              <w:bottom w:w="128" w:type="dxa"/>
              <w:right w:w="113" w:type="dxa"/>
            </w:tcMar>
            <w:vAlign w:val="center"/>
          </w:tcPr>
          <w:p w14:paraId="3ACFC4CC" w14:textId="77777777" w:rsidR="0056613F" w:rsidRPr="00D40453" w:rsidRDefault="0056613F" w:rsidP="0056613F">
            <w:pPr>
              <w:jc w:val="center"/>
              <w:rPr>
                <w:lang w:val="en-GB" w:eastAsia="en-AU"/>
              </w:rPr>
            </w:pPr>
            <w:r w:rsidRPr="00D40453">
              <w:rPr>
                <w:lang w:val="en-GB" w:eastAsia="en-AU"/>
              </w:rPr>
              <w:t>0</w:t>
            </w:r>
          </w:p>
        </w:tc>
        <w:tc>
          <w:tcPr>
            <w:tcW w:w="1134" w:type="dxa"/>
            <w:shd w:val="clear" w:color="auto" w:fill="auto"/>
            <w:tcMar>
              <w:top w:w="128" w:type="dxa"/>
              <w:left w:w="113" w:type="dxa"/>
              <w:bottom w:w="128" w:type="dxa"/>
              <w:right w:w="113" w:type="dxa"/>
            </w:tcMar>
            <w:vAlign w:val="center"/>
          </w:tcPr>
          <w:p w14:paraId="4FBD898C" w14:textId="77777777" w:rsidR="0056613F" w:rsidRPr="00D40453" w:rsidRDefault="0056613F" w:rsidP="0056613F">
            <w:pPr>
              <w:jc w:val="center"/>
              <w:rPr>
                <w:lang w:val="en-GB" w:eastAsia="en-AU"/>
              </w:rPr>
            </w:pPr>
            <w:r w:rsidRPr="00D40453">
              <w:rPr>
                <w:lang w:val="en-GB" w:eastAsia="en-AU"/>
              </w:rPr>
              <w:t>0</w:t>
            </w:r>
          </w:p>
        </w:tc>
        <w:tc>
          <w:tcPr>
            <w:tcW w:w="1134" w:type="dxa"/>
            <w:shd w:val="clear" w:color="auto" w:fill="auto"/>
            <w:vAlign w:val="center"/>
          </w:tcPr>
          <w:p w14:paraId="35529115" w14:textId="77777777" w:rsidR="0056613F" w:rsidRPr="00D40453" w:rsidRDefault="0056613F" w:rsidP="0056613F">
            <w:pPr>
              <w:jc w:val="center"/>
              <w:rPr>
                <w:highlight w:val="lightGray"/>
                <w:lang w:val="en-GB" w:eastAsia="en-AU"/>
              </w:rPr>
            </w:pPr>
            <w:r w:rsidRPr="00D40453">
              <w:rPr>
                <w:lang w:val="en-GB" w:eastAsia="en-AU"/>
              </w:rPr>
              <w:t>0</w:t>
            </w:r>
          </w:p>
        </w:tc>
        <w:tc>
          <w:tcPr>
            <w:tcW w:w="1134" w:type="dxa"/>
            <w:shd w:val="clear" w:color="auto" w:fill="auto"/>
            <w:vAlign w:val="center"/>
          </w:tcPr>
          <w:p w14:paraId="3B94A892" w14:textId="64CCBE37" w:rsidR="0056613F" w:rsidRPr="00D40453" w:rsidRDefault="0056613F" w:rsidP="0056613F">
            <w:pPr>
              <w:tabs>
                <w:tab w:val="left" w:pos="747"/>
              </w:tabs>
              <w:jc w:val="center"/>
              <w:rPr>
                <w:highlight w:val="lightGray"/>
                <w:lang w:val="en-GB" w:eastAsia="en-AU"/>
              </w:rPr>
            </w:pPr>
            <w:r w:rsidRPr="00395E32">
              <w:rPr>
                <w:lang w:val="en-GB" w:eastAsia="en-AU"/>
              </w:rPr>
              <w:t>0</w:t>
            </w:r>
          </w:p>
        </w:tc>
        <w:tc>
          <w:tcPr>
            <w:tcW w:w="1134" w:type="dxa"/>
            <w:vAlign w:val="center"/>
          </w:tcPr>
          <w:p w14:paraId="5113CFFD" w14:textId="1DAA36FF" w:rsidR="0056613F" w:rsidRPr="00D40453" w:rsidRDefault="0056613F" w:rsidP="0056613F">
            <w:pPr>
              <w:tabs>
                <w:tab w:val="left" w:pos="747"/>
              </w:tabs>
              <w:jc w:val="center"/>
              <w:rPr>
                <w:lang w:val="en-GB" w:eastAsia="en-AU"/>
              </w:rPr>
            </w:pPr>
            <w:r>
              <w:rPr>
                <w:lang w:val="en-GB" w:eastAsia="en-AU"/>
              </w:rPr>
              <w:t>0</w:t>
            </w:r>
          </w:p>
        </w:tc>
      </w:tr>
      <w:tr w:rsidR="0056613F" w:rsidRPr="00D57125" w14:paraId="71D809C5" w14:textId="77777777" w:rsidTr="0056613F">
        <w:trPr>
          <w:trHeight w:val="60"/>
        </w:trPr>
        <w:tc>
          <w:tcPr>
            <w:tcW w:w="2245" w:type="dxa"/>
            <w:shd w:val="clear" w:color="auto" w:fill="D4E2E0" w:themeFill="accent5"/>
            <w:tcMar>
              <w:top w:w="128" w:type="dxa"/>
              <w:left w:w="113" w:type="dxa"/>
              <w:bottom w:w="128" w:type="dxa"/>
              <w:right w:w="113" w:type="dxa"/>
            </w:tcMar>
            <w:vAlign w:val="center"/>
          </w:tcPr>
          <w:p w14:paraId="423A0F66" w14:textId="77777777" w:rsidR="0056613F" w:rsidRPr="00F12697" w:rsidRDefault="0056613F" w:rsidP="0056613F">
            <w:r w:rsidRPr="00F12697">
              <w:t>% injured workers returned to work within 13 weeks</w:t>
            </w:r>
          </w:p>
        </w:tc>
        <w:tc>
          <w:tcPr>
            <w:tcW w:w="1134" w:type="dxa"/>
            <w:shd w:val="clear" w:color="auto" w:fill="auto"/>
            <w:tcMar>
              <w:top w:w="128" w:type="dxa"/>
              <w:left w:w="113" w:type="dxa"/>
              <w:bottom w:w="128" w:type="dxa"/>
              <w:right w:w="113" w:type="dxa"/>
            </w:tcMar>
            <w:vAlign w:val="center"/>
          </w:tcPr>
          <w:p w14:paraId="486DA57B" w14:textId="77777777" w:rsidR="0056613F" w:rsidRPr="00D40453" w:rsidRDefault="0056613F" w:rsidP="0056613F">
            <w:pPr>
              <w:jc w:val="center"/>
              <w:rPr>
                <w:lang w:val="en-GB" w:eastAsia="en-AU"/>
              </w:rPr>
            </w:pPr>
            <w:r w:rsidRPr="00D40453">
              <w:rPr>
                <w:lang w:val="en-GB" w:eastAsia="en-AU"/>
              </w:rPr>
              <w:t>-</w:t>
            </w:r>
          </w:p>
        </w:tc>
        <w:tc>
          <w:tcPr>
            <w:tcW w:w="1134" w:type="dxa"/>
            <w:shd w:val="clear" w:color="auto" w:fill="auto"/>
            <w:tcMar>
              <w:top w:w="128" w:type="dxa"/>
              <w:left w:w="113" w:type="dxa"/>
              <w:bottom w:w="128" w:type="dxa"/>
              <w:right w:w="113" w:type="dxa"/>
            </w:tcMar>
            <w:vAlign w:val="center"/>
          </w:tcPr>
          <w:p w14:paraId="3172375A" w14:textId="77777777" w:rsidR="0056613F" w:rsidRPr="00D40453" w:rsidRDefault="0056613F" w:rsidP="0056613F">
            <w:pPr>
              <w:jc w:val="center"/>
              <w:rPr>
                <w:lang w:val="en-GB" w:eastAsia="en-AU"/>
              </w:rPr>
            </w:pPr>
            <w:r w:rsidRPr="00D40453">
              <w:rPr>
                <w:lang w:val="en-GB" w:eastAsia="en-AU"/>
              </w:rPr>
              <w:t>100%</w:t>
            </w:r>
          </w:p>
        </w:tc>
        <w:tc>
          <w:tcPr>
            <w:tcW w:w="1134" w:type="dxa"/>
            <w:shd w:val="clear" w:color="auto" w:fill="auto"/>
            <w:tcMar>
              <w:top w:w="128" w:type="dxa"/>
              <w:left w:w="113" w:type="dxa"/>
              <w:bottom w:w="128" w:type="dxa"/>
              <w:right w:w="113" w:type="dxa"/>
            </w:tcMar>
            <w:vAlign w:val="center"/>
          </w:tcPr>
          <w:p w14:paraId="05C23F1B" w14:textId="77777777" w:rsidR="0056613F" w:rsidRPr="00D40453" w:rsidRDefault="0056613F" w:rsidP="0056613F">
            <w:pPr>
              <w:jc w:val="center"/>
              <w:rPr>
                <w:lang w:val="en-GB" w:eastAsia="en-AU"/>
              </w:rPr>
            </w:pPr>
            <w:r w:rsidRPr="00D40453">
              <w:rPr>
                <w:lang w:val="en-GB" w:eastAsia="en-AU"/>
              </w:rPr>
              <w:t>N/A **</w:t>
            </w:r>
          </w:p>
        </w:tc>
        <w:tc>
          <w:tcPr>
            <w:tcW w:w="1134" w:type="dxa"/>
            <w:shd w:val="clear" w:color="auto" w:fill="auto"/>
            <w:vAlign w:val="center"/>
          </w:tcPr>
          <w:p w14:paraId="07FBA642" w14:textId="77777777" w:rsidR="0056613F" w:rsidRPr="00D40453" w:rsidRDefault="0056613F" w:rsidP="0056613F">
            <w:pPr>
              <w:jc w:val="center"/>
              <w:rPr>
                <w:highlight w:val="lightGray"/>
                <w:lang w:val="en-GB" w:eastAsia="en-AU"/>
              </w:rPr>
            </w:pPr>
            <w:r w:rsidRPr="00D40453">
              <w:rPr>
                <w:lang w:val="en-GB" w:eastAsia="en-AU"/>
              </w:rPr>
              <w:t>100%</w:t>
            </w:r>
          </w:p>
        </w:tc>
        <w:tc>
          <w:tcPr>
            <w:tcW w:w="1134" w:type="dxa"/>
            <w:shd w:val="clear" w:color="auto" w:fill="auto"/>
            <w:vAlign w:val="center"/>
          </w:tcPr>
          <w:p w14:paraId="5C25F556" w14:textId="4E82FC05" w:rsidR="0056613F" w:rsidRPr="00D40453" w:rsidRDefault="0056613F" w:rsidP="0056613F">
            <w:pPr>
              <w:tabs>
                <w:tab w:val="left" w:pos="747"/>
              </w:tabs>
              <w:jc w:val="center"/>
              <w:rPr>
                <w:highlight w:val="lightGray"/>
                <w:lang w:val="en-GB" w:eastAsia="en-AU"/>
              </w:rPr>
            </w:pPr>
            <w:r>
              <w:t>100%</w:t>
            </w:r>
          </w:p>
        </w:tc>
        <w:tc>
          <w:tcPr>
            <w:tcW w:w="1134" w:type="dxa"/>
            <w:vAlign w:val="center"/>
          </w:tcPr>
          <w:p w14:paraId="3741C965" w14:textId="120B24D6" w:rsidR="0056613F" w:rsidRPr="00D40453" w:rsidRDefault="0056613F" w:rsidP="0056613F">
            <w:pPr>
              <w:tabs>
                <w:tab w:val="left" w:pos="747"/>
              </w:tabs>
              <w:jc w:val="center"/>
              <w:rPr>
                <w:lang w:val="en-GB" w:eastAsia="en-AU"/>
              </w:rPr>
            </w:pPr>
            <w:r>
              <w:rPr>
                <w:lang w:val="en-GB" w:eastAsia="en-AU"/>
              </w:rPr>
              <w:t>N/A</w:t>
            </w:r>
          </w:p>
        </w:tc>
      </w:tr>
      <w:tr w:rsidR="0056613F" w:rsidRPr="00D57125" w14:paraId="406138B8" w14:textId="77777777" w:rsidTr="0056613F">
        <w:trPr>
          <w:trHeight w:val="60"/>
        </w:trPr>
        <w:tc>
          <w:tcPr>
            <w:tcW w:w="2245" w:type="dxa"/>
            <w:shd w:val="clear" w:color="auto" w:fill="D4E2E0" w:themeFill="accent5"/>
            <w:tcMar>
              <w:top w:w="128" w:type="dxa"/>
              <w:left w:w="113" w:type="dxa"/>
              <w:bottom w:w="128" w:type="dxa"/>
              <w:right w:w="113" w:type="dxa"/>
            </w:tcMar>
            <w:vAlign w:val="center"/>
          </w:tcPr>
          <w:p w14:paraId="07FBC1DB" w14:textId="77777777" w:rsidR="0056613F" w:rsidRPr="00F12697" w:rsidRDefault="0056613F" w:rsidP="0056613F">
            <w:r w:rsidRPr="00F12697">
              <w:t>% injured workers returned to work within 26 weeks</w:t>
            </w:r>
          </w:p>
        </w:tc>
        <w:tc>
          <w:tcPr>
            <w:tcW w:w="1134" w:type="dxa"/>
            <w:shd w:val="clear" w:color="auto" w:fill="auto"/>
            <w:tcMar>
              <w:top w:w="128" w:type="dxa"/>
              <w:left w:w="113" w:type="dxa"/>
              <w:bottom w:w="128" w:type="dxa"/>
              <w:right w:w="113" w:type="dxa"/>
            </w:tcMar>
            <w:vAlign w:val="center"/>
          </w:tcPr>
          <w:p w14:paraId="6048A8A0" w14:textId="77777777" w:rsidR="0056613F" w:rsidRPr="00D40453" w:rsidRDefault="0056613F" w:rsidP="0056613F">
            <w:pPr>
              <w:jc w:val="center"/>
              <w:rPr>
                <w:lang w:val="en-GB" w:eastAsia="en-AU"/>
              </w:rPr>
            </w:pPr>
            <w:r w:rsidRPr="00D40453">
              <w:rPr>
                <w:lang w:val="en-GB" w:eastAsia="en-AU"/>
              </w:rPr>
              <w:t>-</w:t>
            </w:r>
          </w:p>
        </w:tc>
        <w:tc>
          <w:tcPr>
            <w:tcW w:w="1134" w:type="dxa"/>
            <w:shd w:val="clear" w:color="auto" w:fill="auto"/>
            <w:tcMar>
              <w:top w:w="128" w:type="dxa"/>
              <w:left w:w="113" w:type="dxa"/>
              <w:bottom w:w="128" w:type="dxa"/>
              <w:right w:w="113" w:type="dxa"/>
            </w:tcMar>
            <w:vAlign w:val="center"/>
          </w:tcPr>
          <w:p w14:paraId="5E79F98F" w14:textId="77777777" w:rsidR="0056613F" w:rsidRPr="00D40453" w:rsidRDefault="0056613F" w:rsidP="0056613F">
            <w:pPr>
              <w:jc w:val="center"/>
              <w:rPr>
                <w:lang w:val="en-GB" w:eastAsia="en-AU"/>
              </w:rPr>
            </w:pPr>
            <w:r w:rsidRPr="00D40453">
              <w:rPr>
                <w:lang w:val="en-GB" w:eastAsia="en-AU"/>
              </w:rPr>
              <w:t>100%</w:t>
            </w:r>
          </w:p>
        </w:tc>
        <w:tc>
          <w:tcPr>
            <w:tcW w:w="1134" w:type="dxa"/>
            <w:shd w:val="clear" w:color="auto" w:fill="auto"/>
            <w:tcMar>
              <w:top w:w="128" w:type="dxa"/>
              <w:left w:w="113" w:type="dxa"/>
              <w:bottom w:w="128" w:type="dxa"/>
              <w:right w:w="113" w:type="dxa"/>
            </w:tcMar>
            <w:vAlign w:val="center"/>
          </w:tcPr>
          <w:p w14:paraId="0867D153" w14:textId="77777777" w:rsidR="0056613F" w:rsidRPr="00D40453" w:rsidRDefault="0056613F" w:rsidP="0056613F">
            <w:pPr>
              <w:jc w:val="center"/>
              <w:rPr>
                <w:lang w:val="en-GB" w:eastAsia="en-AU"/>
              </w:rPr>
            </w:pPr>
            <w:r w:rsidRPr="00D40453">
              <w:rPr>
                <w:lang w:val="en-GB" w:eastAsia="en-AU"/>
              </w:rPr>
              <w:t>N/A **</w:t>
            </w:r>
          </w:p>
        </w:tc>
        <w:tc>
          <w:tcPr>
            <w:tcW w:w="1134" w:type="dxa"/>
            <w:shd w:val="clear" w:color="auto" w:fill="auto"/>
            <w:vAlign w:val="center"/>
          </w:tcPr>
          <w:p w14:paraId="11D5FF9F" w14:textId="77777777" w:rsidR="0056613F" w:rsidRPr="00D40453" w:rsidRDefault="0056613F" w:rsidP="0056613F">
            <w:pPr>
              <w:jc w:val="center"/>
              <w:rPr>
                <w:highlight w:val="lightGray"/>
                <w:lang w:val="en-GB" w:eastAsia="en-AU"/>
              </w:rPr>
            </w:pPr>
            <w:r w:rsidRPr="00D40453">
              <w:rPr>
                <w:lang w:val="en-GB" w:eastAsia="en-AU"/>
              </w:rPr>
              <w:t>100%</w:t>
            </w:r>
          </w:p>
        </w:tc>
        <w:tc>
          <w:tcPr>
            <w:tcW w:w="1134" w:type="dxa"/>
            <w:shd w:val="clear" w:color="auto" w:fill="auto"/>
            <w:vAlign w:val="center"/>
          </w:tcPr>
          <w:p w14:paraId="59BC3F84" w14:textId="2B00C5A7" w:rsidR="0056613F" w:rsidRPr="00D40453" w:rsidRDefault="0056613F" w:rsidP="0056613F">
            <w:pPr>
              <w:tabs>
                <w:tab w:val="left" w:pos="747"/>
              </w:tabs>
              <w:jc w:val="center"/>
              <w:rPr>
                <w:highlight w:val="lightGray"/>
                <w:lang w:val="en-GB" w:eastAsia="en-AU"/>
              </w:rPr>
            </w:pPr>
            <w:r>
              <w:t>100%</w:t>
            </w:r>
          </w:p>
        </w:tc>
        <w:tc>
          <w:tcPr>
            <w:tcW w:w="1134" w:type="dxa"/>
            <w:vAlign w:val="center"/>
          </w:tcPr>
          <w:p w14:paraId="25DD931B" w14:textId="57AB63CB" w:rsidR="0056613F" w:rsidRPr="00D40453" w:rsidRDefault="0056613F" w:rsidP="0056613F">
            <w:pPr>
              <w:tabs>
                <w:tab w:val="left" w:pos="747"/>
              </w:tabs>
              <w:jc w:val="center"/>
              <w:rPr>
                <w:lang w:val="en-GB" w:eastAsia="en-AU"/>
              </w:rPr>
            </w:pPr>
            <w:r>
              <w:rPr>
                <w:lang w:val="en-GB" w:eastAsia="en-AU"/>
              </w:rPr>
              <w:t>N/A</w:t>
            </w:r>
          </w:p>
        </w:tc>
      </w:tr>
      <w:tr w:rsidR="0056613F" w:rsidRPr="00D57125" w14:paraId="3B7D8582" w14:textId="77777777" w:rsidTr="0056613F">
        <w:trPr>
          <w:trHeight w:val="2517"/>
        </w:trPr>
        <w:tc>
          <w:tcPr>
            <w:tcW w:w="2245" w:type="dxa"/>
            <w:shd w:val="clear" w:color="auto" w:fill="D4E2E0" w:themeFill="accent5"/>
            <w:tcMar>
              <w:top w:w="128" w:type="dxa"/>
              <w:left w:w="113" w:type="dxa"/>
              <w:bottom w:w="128" w:type="dxa"/>
              <w:right w:w="113" w:type="dxa"/>
            </w:tcMar>
            <w:vAlign w:val="center"/>
          </w:tcPr>
          <w:p w14:paraId="6CC9B060" w14:textId="77777777" w:rsidR="0056613F" w:rsidRPr="00F12697" w:rsidRDefault="0056613F" w:rsidP="0056613F">
            <w:r w:rsidRPr="00F12697">
              <w:t>% managers trained in occupational safety, health and injury management responsibilities</w:t>
            </w:r>
          </w:p>
        </w:tc>
        <w:tc>
          <w:tcPr>
            <w:tcW w:w="1134" w:type="dxa"/>
            <w:shd w:val="clear" w:color="auto" w:fill="auto"/>
            <w:tcMar>
              <w:top w:w="128" w:type="dxa"/>
              <w:left w:w="113" w:type="dxa"/>
              <w:bottom w:w="128" w:type="dxa"/>
              <w:right w:w="113" w:type="dxa"/>
            </w:tcMar>
            <w:vAlign w:val="center"/>
          </w:tcPr>
          <w:p w14:paraId="1080424C" w14:textId="77777777" w:rsidR="0056613F" w:rsidRPr="00D40453" w:rsidRDefault="0056613F" w:rsidP="0056613F">
            <w:pPr>
              <w:jc w:val="center"/>
              <w:rPr>
                <w:lang w:val="en-GB" w:eastAsia="en-AU"/>
              </w:rPr>
            </w:pPr>
            <w:r w:rsidRPr="00D40453">
              <w:rPr>
                <w:lang w:val="en-GB" w:eastAsia="en-AU"/>
              </w:rPr>
              <w:t>82%</w:t>
            </w:r>
          </w:p>
        </w:tc>
        <w:tc>
          <w:tcPr>
            <w:tcW w:w="1134" w:type="dxa"/>
            <w:shd w:val="clear" w:color="auto" w:fill="auto"/>
            <w:tcMar>
              <w:top w:w="128" w:type="dxa"/>
              <w:left w:w="113" w:type="dxa"/>
              <w:bottom w:w="128" w:type="dxa"/>
              <w:right w:w="113" w:type="dxa"/>
            </w:tcMar>
            <w:vAlign w:val="center"/>
          </w:tcPr>
          <w:p w14:paraId="237C14FC" w14:textId="77777777" w:rsidR="0056613F" w:rsidRPr="00D40453" w:rsidRDefault="0056613F" w:rsidP="0056613F">
            <w:pPr>
              <w:jc w:val="center"/>
              <w:rPr>
                <w:lang w:val="en-GB" w:eastAsia="en-AU"/>
              </w:rPr>
            </w:pPr>
            <w:r w:rsidRPr="00D40453">
              <w:rPr>
                <w:lang w:val="en-GB" w:eastAsia="en-AU"/>
              </w:rPr>
              <w:t>92%</w:t>
            </w:r>
          </w:p>
        </w:tc>
        <w:tc>
          <w:tcPr>
            <w:tcW w:w="1134" w:type="dxa"/>
            <w:shd w:val="clear" w:color="auto" w:fill="auto"/>
            <w:tcMar>
              <w:top w:w="128" w:type="dxa"/>
              <w:left w:w="113" w:type="dxa"/>
              <w:bottom w:w="128" w:type="dxa"/>
              <w:right w:w="113" w:type="dxa"/>
            </w:tcMar>
            <w:vAlign w:val="center"/>
          </w:tcPr>
          <w:p w14:paraId="6A3DC3F0" w14:textId="77777777" w:rsidR="0056613F" w:rsidRPr="00D40453" w:rsidRDefault="0056613F" w:rsidP="0056613F">
            <w:pPr>
              <w:jc w:val="center"/>
              <w:rPr>
                <w:lang w:val="en-GB" w:eastAsia="en-AU"/>
              </w:rPr>
            </w:pPr>
            <w:r w:rsidRPr="00D40453">
              <w:rPr>
                <w:lang w:val="en-GB" w:eastAsia="en-AU"/>
              </w:rPr>
              <w:t>92%</w:t>
            </w:r>
          </w:p>
        </w:tc>
        <w:tc>
          <w:tcPr>
            <w:tcW w:w="1134" w:type="dxa"/>
            <w:shd w:val="clear" w:color="auto" w:fill="auto"/>
            <w:vAlign w:val="center"/>
          </w:tcPr>
          <w:p w14:paraId="5E92B776" w14:textId="77777777" w:rsidR="0056613F" w:rsidRPr="00D40453" w:rsidRDefault="0056613F" w:rsidP="0056613F">
            <w:pPr>
              <w:jc w:val="center"/>
              <w:rPr>
                <w:highlight w:val="lightGray"/>
                <w:lang w:val="en-GB" w:eastAsia="en-AU"/>
              </w:rPr>
            </w:pPr>
            <w:r w:rsidRPr="00D40453">
              <w:rPr>
                <w:lang w:val="en-GB" w:eastAsia="en-AU"/>
              </w:rPr>
              <w:t>92%</w:t>
            </w:r>
          </w:p>
        </w:tc>
        <w:tc>
          <w:tcPr>
            <w:tcW w:w="1134" w:type="dxa"/>
            <w:shd w:val="clear" w:color="auto" w:fill="auto"/>
            <w:vAlign w:val="center"/>
          </w:tcPr>
          <w:p w14:paraId="3D950B93" w14:textId="4B91D7E5" w:rsidR="0056613F" w:rsidRPr="00D40453" w:rsidRDefault="0056613F" w:rsidP="0056613F">
            <w:pPr>
              <w:jc w:val="center"/>
              <w:rPr>
                <w:highlight w:val="lightGray"/>
                <w:lang w:val="en-GB" w:eastAsia="en-AU"/>
              </w:rPr>
            </w:pPr>
            <w:r w:rsidRPr="00682BB3">
              <w:t>100%</w:t>
            </w:r>
          </w:p>
        </w:tc>
        <w:tc>
          <w:tcPr>
            <w:tcW w:w="1134" w:type="dxa"/>
            <w:vAlign w:val="center"/>
          </w:tcPr>
          <w:p w14:paraId="19E9DAD9" w14:textId="0397F716" w:rsidR="0056613F" w:rsidRPr="00D40453" w:rsidRDefault="0056613F" w:rsidP="0056613F">
            <w:pPr>
              <w:jc w:val="center"/>
              <w:rPr>
                <w:lang w:val="en-GB" w:eastAsia="en-AU"/>
              </w:rPr>
            </w:pPr>
            <w:r>
              <w:t>99%</w:t>
            </w:r>
          </w:p>
        </w:tc>
      </w:tr>
    </w:tbl>
    <w:p w14:paraId="7C98630D" w14:textId="77777777" w:rsidR="00BC14B8" w:rsidRDefault="00BC14B8" w:rsidP="00B00299">
      <w:pPr>
        <w:rPr>
          <w:rStyle w:val="Strong"/>
          <w:b w:val="0"/>
          <w:bCs w:val="0"/>
        </w:rPr>
        <w:sectPr w:rsidR="00BC14B8" w:rsidSect="0090428F">
          <w:headerReference w:type="default" r:id="rId30"/>
          <w:footerReference w:type="default" r:id="rId31"/>
          <w:pgSz w:w="11906" w:h="16838"/>
          <w:pgMar w:top="1440" w:right="1440" w:bottom="1440" w:left="1440" w:header="709" w:footer="0" w:gutter="0"/>
          <w:cols w:space="708"/>
          <w:docGrid w:linePitch="360"/>
        </w:sectPr>
      </w:pPr>
    </w:p>
    <w:p w14:paraId="5C927E36" w14:textId="77777777" w:rsidR="00E63A53" w:rsidRDefault="00E63A53" w:rsidP="00664937">
      <w:pPr>
        <w:pStyle w:val="Heading4"/>
        <w:rPr>
          <w:rStyle w:val="Strong"/>
          <w:b/>
          <w:bCs/>
        </w:rPr>
      </w:pPr>
      <w:r>
        <w:rPr>
          <w:rStyle w:val="Strong"/>
          <w:b/>
          <w:bCs/>
        </w:rPr>
        <w:lastRenderedPageBreak/>
        <w:t xml:space="preserve">OSH </w:t>
      </w:r>
      <w:r w:rsidR="00180DE3">
        <w:rPr>
          <w:rStyle w:val="Strong"/>
          <w:b/>
          <w:bCs/>
        </w:rPr>
        <w:t>t</w:t>
      </w:r>
      <w:r>
        <w:rPr>
          <w:rStyle w:val="Strong"/>
          <w:b/>
          <w:bCs/>
        </w:rPr>
        <w:t xml:space="preserve">raining for </w:t>
      </w:r>
      <w:r w:rsidR="007F4FCA">
        <w:rPr>
          <w:rStyle w:val="Strong"/>
          <w:b/>
          <w:bCs/>
        </w:rPr>
        <w:t>staff</w:t>
      </w:r>
      <w:r>
        <w:rPr>
          <w:rStyle w:val="Strong"/>
          <w:b/>
          <w:bCs/>
        </w:rPr>
        <w:t xml:space="preserve"> </w:t>
      </w:r>
    </w:p>
    <w:p w14:paraId="66EF4523" w14:textId="720EF7B5" w:rsidR="00BF5B3D" w:rsidRPr="00835937" w:rsidRDefault="00BF5B3D" w:rsidP="00BF5B3D">
      <w:r w:rsidRPr="00835937">
        <w:t xml:space="preserve">All staff are required to undertake the </w:t>
      </w:r>
      <w:r w:rsidR="00C726B0">
        <w:t>WorkCover WA</w:t>
      </w:r>
      <w:r w:rsidRPr="00835937">
        <w:t xml:space="preserve"> online OSH training module. The module comprises a number of sections, including:</w:t>
      </w:r>
    </w:p>
    <w:p w14:paraId="043C4355" w14:textId="77777777" w:rsidR="00BF5B3D" w:rsidRPr="00835937" w:rsidRDefault="00BF5B3D" w:rsidP="00B04D84">
      <w:pPr>
        <w:pStyle w:val="BulletListLevel1"/>
      </w:pPr>
      <w:r w:rsidRPr="00835937">
        <w:t>legislative framework and requirements</w:t>
      </w:r>
    </w:p>
    <w:p w14:paraId="16EFD1C6" w14:textId="5006BFEC" w:rsidR="00BF5B3D" w:rsidRPr="00835937" w:rsidRDefault="00C726B0" w:rsidP="00B04D84">
      <w:pPr>
        <w:pStyle w:val="BulletListLevel1"/>
      </w:pPr>
      <w:r>
        <w:t>WorkCover WA</w:t>
      </w:r>
      <w:r w:rsidR="00BF5B3D" w:rsidRPr="00835937">
        <w:t xml:space="preserve"> OSH Management System</w:t>
      </w:r>
    </w:p>
    <w:p w14:paraId="094F4DC2" w14:textId="77777777" w:rsidR="00BF5B3D" w:rsidRPr="00835937" w:rsidRDefault="00BF5B3D" w:rsidP="00B04D84">
      <w:pPr>
        <w:pStyle w:val="BulletListLevel1"/>
      </w:pPr>
      <w:r w:rsidRPr="00835937">
        <w:t>supervisor responsibilities</w:t>
      </w:r>
    </w:p>
    <w:p w14:paraId="4266C120" w14:textId="77777777" w:rsidR="00BF5B3D" w:rsidRPr="00835937" w:rsidRDefault="00BF5B3D" w:rsidP="00B04D84">
      <w:pPr>
        <w:pStyle w:val="BulletListLevel1"/>
      </w:pPr>
      <w:r w:rsidRPr="00835937">
        <w:t>OSH resources</w:t>
      </w:r>
    </w:p>
    <w:p w14:paraId="7B0BC48F" w14:textId="77777777" w:rsidR="00BF5B3D" w:rsidRPr="00835937" w:rsidRDefault="00BF5B3D" w:rsidP="00B04D84">
      <w:pPr>
        <w:pStyle w:val="BulletListLevel1"/>
      </w:pPr>
      <w:r w:rsidRPr="00835937">
        <w:t>Hazard and Incident Management System.</w:t>
      </w:r>
    </w:p>
    <w:p w14:paraId="0D809D49" w14:textId="512EDA41" w:rsidR="007F4FCA" w:rsidRPr="00835937" w:rsidRDefault="007F4FCA" w:rsidP="007F4FCA">
      <w:r w:rsidRPr="00835937">
        <w:t xml:space="preserve">Completion rates are monitored by Human Resources and reported to the Corporate </w:t>
      </w:r>
      <w:r w:rsidR="007F33E2">
        <w:t>Executive on a quarterly basis.</w:t>
      </w:r>
    </w:p>
    <w:p w14:paraId="1A1EAC66" w14:textId="77777777" w:rsidR="00F11B51" w:rsidRPr="00835937" w:rsidRDefault="00E564E8" w:rsidP="00AC361C">
      <w:r w:rsidRPr="00835937">
        <w:t>*</w:t>
      </w:r>
      <w:r w:rsidR="00AC361C" w:rsidRPr="00835937">
        <w:t xml:space="preserve">The lost-time injury/disease incidence rate is the number of lost-time injuries/diseases where one day/shift or more was lost in the financial year per </w:t>
      </w:r>
      <w:r w:rsidR="00944BC9" w:rsidRPr="00835937">
        <w:br/>
      </w:r>
      <w:r w:rsidR="00AC361C" w:rsidRPr="00835937">
        <w:t>100 employees</w:t>
      </w:r>
    </w:p>
    <w:p w14:paraId="12799017" w14:textId="255D48BB" w:rsidR="00D3435F" w:rsidRPr="005A4B04" w:rsidRDefault="003E6748" w:rsidP="002B79AC">
      <w:r w:rsidRPr="005A4B04">
        <w:t>**Not applicable –</w:t>
      </w:r>
      <w:r w:rsidR="00BC34DB" w:rsidRPr="005A4B04">
        <w:t xml:space="preserve"> no</w:t>
      </w:r>
      <w:r w:rsidR="002B79AC" w:rsidRPr="005A4B04">
        <w:t xml:space="preserve"> claims were recorded in 2012/13</w:t>
      </w:r>
    </w:p>
    <w:p w14:paraId="5D6B3010" w14:textId="77777777" w:rsidR="0061175A" w:rsidRDefault="00D3435F">
      <w:pPr>
        <w:keepLines w:val="0"/>
        <w:spacing w:after="0" w:line="240" w:lineRule="auto"/>
        <w:rPr>
          <w:color w:val="FF0000"/>
          <w:highlight w:val="yellow"/>
        </w:rPr>
        <w:sectPr w:rsidR="0061175A" w:rsidSect="00184DF0">
          <w:pgSz w:w="11906" w:h="16838"/>
          <w:pgMar w:top="1440" w:right="1440" w:bottom="1440" w:left="1440" w:header="709" w:footer="0" w:gutter="0"/>
          <w:cols w:space="708"/>
          <w:docGrid w:linePitch="360"/>
        </w:sectPr>
      </w:pPr>
      <w:r>
        <w:rPr>
          <w:color w:val="FF0000"/>
          <w:highlight w:val="yellow"/>
        </w:rPr>
        <w:br w:type="page"/>
      </w:r>
    </w:p>
    <w:p w14:paraId="06BC05D4" w14:textId="2EBE96A9" w:rsidR="00D3435F" w:rsidRPr="00E22526" w:rsidRDefault="000C0F78" w:rsidP="00E22526">
      <w:pPr>
        <w:pStyle w:val="Heading1nonumber"/>
        <w:rPr>
          <w:color w:val="808080" w:themeColor="background1" w:themeShade="80"/>
          <w:sz w:val="40"/>
        </w:rPr>
      </w:pPr>
      <w:bookmarkStart w:id="554" w:name="_Toc430091333"/>
      <w:r w:rsidRPr="00E22526">
        <w:rPr>
          <w:color w:val="808080" w:themeColor="background1" w:themeShade="80"/>
          <w:sz w:val="40"/>
        </w:rPr>
        <w:lastRenderedPageBreak/>
        <w:t>Section 6 Key Performance Indicators</w:t>
      </w:r>
      <w:bookmarkEnd w:id="554"/>
    </w:p>
    <w:p w14:paraId="16F5F19F" w14:textId="31E01C04" w:rsidR="00D3435F" w:rsidRDefault="00D3435F" w:rsidP="00D27309">
      <w:pPr>
        <w:pStyle w:val="Heading1nonumber"/>
      </w:pPr>
      <w:bookmarkStart w:id="555" w:name="_Toc271030789"/>
      <w:bookmarkStart w:id="556" w:name="_Toc271030927"/>
      <w:bookmarkStart w:id="557" w:name="_Ref271097874"/>
      <w:bookmarkStart w:id="558" w:name="_Toc271273340"/>
      <w:bookmarkStart w:id="559" w:name="_Toc392689883"/>
      <w:bookmarkStart w:id="560" w:name="_Toc392690093"/>
      <w:bookmarkStart w:id="561" w:name="_Toc392690156"/>
      <w:bookmarkStart w:id="562" w:name="_Toc426617603"/>
      <w:bookmarkStart w:id="563" w:name="_Toc430091334"/>
      <w:r>
        <w:t xml:space="preserve">Additional Key Performance Indicator </w:t>
      </w:r>
      <w:r w:rsidR="0007062F">
        <w:t>i</w:t>
      </w:r>
      <w:r w:rsidRPr="00D27309">
        <w:t>nformation</w:t>
      </w:r>
      <w:bookmarkEnd w:id="555"/>
      <w:bookmarkEnd w:id="556"/>
      <w:bookmarkEnd w:id="557"/>
      <w:bookmarkEnd w:id="558"/>
      <w:bookmarkEnd w:id="559"/>
      <w:bookmarkEnd w:id="560"/>
      <w:bookmarkEnd w:id="561"/>
      <w:bookmarkEnd w:id="562"/>
      <w:bookmarkEnd w:id="563"/>
    </w:p>
    <w:p w14:paraId="74431D87" w14:textId="77777777" w:rsidR="00D3435F" w:rsidRDefault="00D3435F" w:rsidP="00C14C2A">
      <w:pPr>
        <w:pStyle w:val="Heading2nonumber"/>
      </w:pPr>
      <w:bookmarkStart w:id="564" w:name="_Toc426617604"/>
      <w:bookmarkStart w:id="565" w:name="_Toc430091335"/>
      <w:r>
        <w:t>Certification of KPIs</w:t>
      </w:r>
      <w:bookmarkEnd w:id="564"/>
      <w:bookmarkEnd w:id="565"/>
    </w:p>
    <w:p w14:paraId="51D51708" w14:textId="77BE3397" w:rsidR="00C11A9B" w:rsidRDefault="00B26741" w:rsidP="00C11A9B">
      <w:r>
        <w:t>We hereby certify the Key Performance I</w:t>
      </w:r>
      <w:r w:rsidR="00C11A9B">
        <w:t>ndicators</w:t>
      </w:r>
      <w:r>
        <w:t xml:space="preserve"> (KPIs)</w:t>
      </w:r>
      <w:r w:rsidR="00C11A9B">
        <w:t xml:space="preserve"> are based on proper records, are relevant and appropriate for assisting users to assess WorkCover WA’s performance, and fairly represent the performance of WorkCover WA for the financial year ended 30 June 2015.</w:t>
      </w:r>
    </w:p>
    <w:p w14:paraId="73D33CCF" w14:textId="77777777" w:rsidR="00D3435F" w:rsidRDefault="00D3435F" w:rsidP="00D3435F">
      <w:r>
        <w:rPr>
          <w:noProof/>
          <w:lang w:eastAsia="en-AU"/>
        </w:rPr>
        <w:drawing>
          <wp:inline distT="0" distB="0" distL="0" distR="0" wp14:anchorId="02A075F7" wp14:editId="0FD8210C">
            <wp:extent cx="1573317" cy="412493"/>
            <wp:effectExtent l="0" t="0" r="0" b="0"/>
            <wp:docPr id="14" name="Picture 1" descr="Chairman WorkCover WA Board, Greg Joyc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 Joyce sig.jpg"/>
                    <pic:cNvPicPr/>
                  </pic:nvPicPr>
                  <pic:blipFill>
                    <a:blip r:embed="rId13" cstate="print"/>
                    <a:srcRect l="3573"/>
                    <a:stretch>
                      <a:fillRect/>
                    </a:stretch>
                  </pic:blipFill>
                  <pic:spPr>
                    <a:xfrm>
                      <a:off x="0" y="0"/>
                      <a:ext cx="1580267" cy="414315"/>
                    </a:xfrm>
                    <a:prstGeom prst="rect">
                      <a:avLst/>
                    </a:prstGeom>
                  </pic:spPr>
                </pic:pic>
              </a:graphicData>
            </a:graphic>
          </wp:inline>
        </w:drawing>
      </w:r>
    </w:p>
    <w:p w14:paraId="27E7B1A8" w14:textId="341E08E1" w:rsidR="00D3435F" w:rsidRDefault="00D3435F" w:rsidP="008E7661">
      <w:r>
        <w:t>Greg Joyce</w:t>
      </w:r>
      <w:r>
        <w:br/>
        <w:t>Chairman</w:t>
      </w:r>
      <w:r>
        <w:br/>
      </w:r>
      <w:r w:rsidR="00C11A9B" w:rsidRPr="00C11A9B">
        <w:t>WorkCover Western Australia Authority</w:t>
      </w:r>
      <w:r>
        <w:br/>
      </w:r>
      <w:r w:rsidR="006936C5" w:rsidRPr="006936C5">
        <w:t>28</w:t>
      </w:r>
      <w:r w:rsidR="00C11A9B" w:rsidRPr="006936C5">
        <w:t xml:space="preserve"> August 2015</w:t>
      </w:r>
      <w:r w:rsidRPr="006936C5">
        <w:t xml:space="preserve"> </w:t>
      </w:r>
    </w:p>
    <w:p w14:paraId="7E9741CF" w14:textId="36532033" w:rsidR="00D3435F" w:rsidRDefault="00774978" w:rsidP="00D3435F">
      <w:r>
        <w:rPr>
          <w:noProof/>
          <w:lang w:eastAsia="en-AU"/>
        </w:rPr>
        <w:drawing>
          <wp:anchor distT="0" distB="0" distL="114300" distR="114300" simplePos="0" relativeHeight="251644416" behindDoc="0" locked="0" layoutInCell="1" allowOverlap="1" wp14:anchorId="2CA5B235" wp14:editId="3EA33A65">
            <wp:simplePos x="0" y="0"/>
            <wp:positionH relativeFrom="column">
              <wp:posOffset>-167640</wp:posOffset>
            </wp:positionH>
            <wp:positionV relativeFrom="paragraph">
              <wp:posOffset>145415</wp:posOffset>
            </wp:positionV>
            <wp:extent cx="1743075" cy="647700"/>
            <wp:effectExtent l="0" t="0" r="0" b="0"/>
            <wp:wrapSquare wrapText="bothSides"/>
            <wp:docPr id="15" name="Picture 15" descr="Michelle Reynolds, CEO WorkCover WA Signature &#10;" title="WorkCover WA CEO Sing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le Reynolds Signature.jpg"/>
                    <pic:cNvPicPr/>
                  </pic:nvPicPr>
                  <pic:blipFill>
                    <a:blip r:embed="rId14">
                      <a:extLst>
                        <a:ext uri="{28A0092B-C50C-407E-A947-70E740481C1C}">
                          <a14:useLocalDpi xmlns:a14="http://schemas.microsoft.com/office/drawing/2010/main" val="0"/>
                        </a:ext>
                      </a:extLst>
                    </a:blip>
                    <a:stretch>
                      <a:fillRect/>
                    </a:stretch>
                  </pic:blipFill>
                  <pic:spPr>
                    <a:xfrm>
                      <a:off x="0" y="0"/>
                      <a:ext cx="1743075" cy="647700"/>
                    </a:xfrm>
                    <a:prstGeom prst="rect">
                      <a:avLst/>
                    </a:prstGeom>
                  </pic:spPr>
                </pic:pic>
              </a:graphicData>
            </a:graphic>
            <wp14:sizeRelH relativeFrom="page">
              <wp14:pctWidth>0</wp14:pctWidth>
            </wp14:sizeRelH>
            <wp14:sizeRelV relativeFrom="page">
              <wp14:pctHeight>0</wp14:pctHeight>
            </wp14:sizeRelV>
          </wp:anchor>
        </w:drawing>
      </w:r>
    </w:p>
    <w:p w14:paraId="0BC4A2DB" w14:textId="77777777" w:rsidR="00D3435F" w:rsidRDefault="00D3435F" w:rsidP="00A450FB"/>
    <w:p w14:paraId="2B87AFEC" w14:textId="77777777" w:rsidR="00883051" w:rsidRDefault="00883051" w:rsidP="00A450FB"/>
    <w:p w14:paraId="11A85A64" w14:textId="40C0A913" w:rsidR="00D3435F" w:rsidRDefault="00D3435F" w:rsidP="008E7661">
      <w:r>
        <w:t>Michelle Reynolds</w:t>
      </w:r>
      <w:r>
        <w:br/>
        <w:t>Chief Executive Officer</w:t>
      </w:r>
      <w:r>
        <w:br/>
      </w:r>
      <w:r w:rsidR="00C11A9B" w:rsidRPr="00C11A9B">
        <w:t>WorkCover Western Australia Authority</w:t>
      </w:r>
      <w:r>
        <w:br/>
      </w:r>
      <w:r w:rsidR="006936C5" w:rsidRPr="006936C5">
        <w:t xml:space="preserve">28 </w:t>
      </w:r>
      <w:r w:rsidR="00C11A9B" w:rsidRPr="006936C5">
        <w:t>August 2015</w:t>
      </w:r>
    </w:p>
    <w:p w14:paraId="748820C0" w14:textId="312B1283" w:rsidR="0039132D" w:rsidRPr="00E22526" w:rsidRDefault="0039132D">
      <w:pPr>
        <w:keepLines w:val="0"/>
        <w:spacing w:after="0" w:line="240" w:lineRule="auto"/>
      </w:pPr>
      <w:r>
        <w:rPr>
          <w:color w:val="FF0000"/>
        </w:rPr>
        <w:br w:type="page"/>
      </w:r>
    </w:p>
    <w:p w14:paraId="362F47EA" w14:textId="028EC016" w:rsidR="0039132D" w:rsidRPr="00D27309" w:rsidRDefault="00C677C5" w:rsidP="00E22526">
      <w:pPr>
        <w:pStyle w:val="Heading2nonumber"/>
        <w:jc w:val="left"/>
      </w:pPr>
      <w:bookmarkStart w:id="566" w:name="_Toc268874468"/>
      <w:bookmarkStart w:id="567" w:name="_Ref268776952"/>
      <w:bookmarkStart w:id="568" w:name="_Toc392689884"/>
      <w:bookmarkStart w:id="569" w:name="_Toc392690094"/>
      <w:bookmarkStart w:id="570" w:name="_Toc392690157"/>
      <w:bookmarkStart w:id="571" w:name="_Toc426617605"/>
      <w:bookmarkStart w:id="572" w:name="_Toc430091336"/>
      <w:r>
        <w:lastRenderedPageBreak/>
        <w:t>Detailed information in s</w:t>
      </w:r>
      <w:r w:rsidR="0039132D" w:rsidRPr="00D27309">
        <w:t>upport of Key Performance Indicators</w:t>
      </w:r>
      <w:bookmarkEnd w:id="566"/>
      <w:bookmarkEnd w:id="567"/>
      <w:bookmarkEnd w:id="568"/>
      <w:bookmarkEnd w:id="569"/>
      <w:bookmarkEnd w:id="570"/>
      <w:bookmarkEnd w:id="571"/>
      <w:bookmarkEnd w:id="572"/>
    </w:p>
    <w:p w14:paraId="647E842E" w14:textId="77777777" w:rsidR="00C11A9B" w:rsidRPr="000966F9" w:rsidRDefault="00C11A9B" w:rsidP="00C11A9B">
      <w:pPr>
        <w:rPr>
          <w:rFonts w:cs="Arial"/>
        </w:rPr>
      </w:pPr>
      <w:r>
        <w:rPr>
          <w:rFonts w:cs="Arial"/>
        </w:rPr>
        <w:t>Government Goals provide the high level basis of the G</w:t>
      </w:r>
      <w:r w:rsidRPr="000966F9">
        <w:rPr>
          <w:rFonts w:cs="Arial"/>
        </w:rPr>
        <w:t>overnment’s intentions to improve the quality of life for all Western Australians, with the needs of Western Australians living in the regions a major priority.</w:t>
      </w:r>
    </w:p>
    <w:p w14:paraId="64A1C1FC" w14:textId="31536402" w:rsidR="00C11A9B" w:rsidRDefault="00C11A9B" w:rsidP="00C11A9B">
      <w:pPr>
        <w:ind w:right="-109"/>
        <w:rPr>
          <w:rFonts w:cs="Arial"/>
        </w:rPr>
      </w:pPr>
      <w:r>
        <w:rPr>
          <w:rFonts w:cs="Arial"/>
        </w:rPr>
        <w:t xml:space="preserve">The most recent goals were introduced in 2009 to better reflect current Government priorities. Broad high-level government goals are supported by strategic (whole of Government) outcome statements and at departmental level by agency specific desired outcomes. Agency level desired outcomes clarify the contributions agencies are expected to make towards achieving government policies and priorities, and must be linked to the government goals.  </w:t>
      </w:r>
    </w:p>
    <w:p w14:paraId="2C9BC241" w14:textId="77777777" w:rsidR="00C11A9B" w:rsidRDefault="00C11A9B" w:rsidP="00C11A9B">
      <w:pPr>
        <w:ind w:right="-109"/>
        <w:rPr>
          <w:rFonts w:cs="Arial"/>
        </w:rPr>
      </w:pPr>
      <w:r>
        <w:rPr>
          <w:rFonts w:cs="Arial"/>
        </w:rPr>
        <w:t>Agencies deliver services to achieve these desired outcomes which ultimately contribute to meeting the Government goals. This linkage creates a hierarchy in which the purpose of each service provided by an agency can be traced to a Government goal.</w:t>
      </w:r>
    </w:p>
    <w:p w14:paraId="6E780C0E" w14:textId="77777777" w:rsidR="00C11A9B" w:rsidRDefault="00C11A9B" w:rsidP="00C11A9B">
      <w:pPr>
        <w:rPr>
          <w:rFonts w:cs="Arial"/>
          <w:bCs/>
        </w:rPr>
      </w:pPr>
      <w:r>
        <w:rPr>
          <w:rFonts w:cs="Arial"/>
          <w:bCs/>
        </w:rPr>
        <w:t xml:space="preserve">WorkCover WA contributes to Government Goal 3, </w:t>
      </w:r>
      <w:r w:rsidRPr="00C677C5">
        <w:rPr>
          <w:rFonts w:cs="Arial"/>
          <w:b/>
          <w:bCs/>
        </w:rPr>
        <w:t>‘Results-Based Service Delivery’</w:t>
      </w:r>
      <w:r>
        <w:rPr>
          <w:rFonts w:cs="Arial"/>
          <w:bCs/>
        </w:rPr>
        <w:t xml:space="preserve"> by delivering services aimed at minimising the social and economic impact of work-related injury and disease on workers, employers and the Western Australian community.</w:t>
      </w:r>
    </w:p>
    <w:p w14:paraId="0E736A21" w14:textId="77777777" w:rsidR="00C11A9B" w:rsidRPr="00C649B5" w:rsidRDefault="00C11A9B" w:rsidP="00C11A9B">
      <w:pPr>
        <w:rPr>
          <w:rFonts w:cs="Arial"/>
        </w:rPr>
      </w:pPr>
      <w:r w:rsidRPr="00C649B5">
        <w:rPr>
          <w:rFonts w:cs="Arial"/>
        </w:rPr>
        <w:t xml:space="preserve">WorkCover WA’s </w:t>
      </w:r>
      <w:r>
        <w:rPr>
          <w:rFonts w:cs="Arial"/>
        </w:rPr>
        <w:t>purpose</w:t>
      </w:r>
      <w:r w:rsidRPr="00C649B5">
        <w:rPr>
          <w:rFonts w:cs="Arial"/>
        </w:rPr>
        <w:t xml:space="preserve"> is to lead a contemporary, healthy and integrated workers’ compensation scheme that is fair, accessible and cost effective for all participants, through:</w:t>
      </w:r>
    </w:p>
    <w:p w14:paraId="253217BF" w14:textId="77777777" w:rsidR="00C11A9B" w:rsidRPr="00C11A9B" w:rsidRDefault="00C11A9B" w:rsidP="00E22526">
      <w:pPr>
        <w:pStyle w:val="BulletListLevel1"/>
      </w:pPr>
      <w:r w:rsidRPr="00C11A9B">
        <w:t>providing advice and guidance on workers’ compensation and injury management;</w:t>
      </w:r>
    </w:p>
    <w:p w14:paraId="0DC5D308" w14:textId="77777777" w:rsidR="00C11A9B" w:rsidRPr="00C11A9B" w:rsidRDefault="00C11A9B" w:rsidP="00E22526">
      <w:pPr>
        <w:pStyle w:val="BulletListLevel1"/>
      </w:pPr>
      <w:r w:rsidRPr="00C11A9B">
        <w:t>active, responsive and transparent management of the scheme;</w:t>
      </w:r>
    </w:p>
    <w:p w14:paraId="793D88CF" w14:textId="77777777" w:rsidR="00C11A9B" w:rsidRPr="00C11A9B" w:rsidRDefault="00C11A9B" w:rsidP="00E22526">
      <w:pPr>
        <w:pStyle w:val="BulletListLevel1"/>
      </w:pPr>
      <w:r w:rsidRPr="00C11A9B">
        <w:t>focused information, education and compliance activities;</w:t>
      </w:r>
    </w:p>
    <w:p w14:paraId="48B66229" w14:textId="77777777" w:rsidR="00C11A9B" w:rsidRPr="00C11A9B" w:rsidRDefault="00C11A9B" w:rsidP="00E22526">
      <w:pPr>
        <w:pStyle w:val="BulletListLevel1"/>
      </w:pPr>
      <w:r w:rsidRPr="00C11A9B">
        <w:t xml:space="preserve">fair and timely dispute resolution; </w:t>
      </w:r>
    </w:p>
    <w:p w14:paraId="17E0AD91" w14:textId="77777777" w:rsidR="00C11A9B" w:rsidRDefault="00C11A9B" w:rsidP="00E22526">
      <w:pPr>
        <w:pStyle w:val="BulletListLevel1"/>
      </w:pPr>
      <w:r w:rsidRPr="00C11A9B">
        <w:t>a strong customer service focus.</w:t>
      </w:r>
    </w:p>
    <w:p w14:paraId="216F5205" w14:textId="77777777" w:rsidR="00C11A9B" w:rsidRPr="00C11A9B" w:rsidRDefault="00C11A9B" w:rsidP="00C11A9B">
      <w:pPr>
        <w:keepLines w:val="0"/>
        <w:spacing w:before="120"/>
        <w:ind w:left="720"/>
        <w:contextualSpacing/>
        <w:rPr>
          <w:rFonts w:eastAsia="Calibri"/>
        </w:rPr>
      </w:pPr>
    </w:p>
    <w:p w14:paraId="02070C76" w14:textId="77777777" w:rsidR="00C11A9B" w:rsidRDefault="00C11A9B" w:rsidP="00C11A9B">
      <w:pPr>
        <w:rPr>
          <w:lang w:eastAsia="en-AU"/>
        </w:rPr>
      </w:pPr>
      <w:r>
        <w:rPr>
          <w:lang w:eastAsia="en-AU"/>
        </w:rPr>
        <w:t xml:space="preserve">WorkCover WA strives to achieve its outcome through the effective administration of the </w:t>
      </w:r>
      <w:r w:rsidRPr="00AA41BC">
        <w:rPr>
          <w:i/>
          <w:lang w:eastAsia="en-AU"/>
        </w:rPr>
        <w:t>Workers’ Compensation and Injury Management Act 1981</w:t>
      </w:r>
      <w:r w:rsidRPr="00F91F70">
        <w:rPr>
          <w:lang w:eastAsia="en-AU"/>
        </w:rPr>
        <w:t xml:space="preserve"> (the</w:t>
      </w:r>
      <w:r>
        <w:rPr>
          <w:lang w:eastAsia="en-AU"/>
        </w:rPr>
        <w:t xml:space="preserve"> Act), the provision of quality policy advice to Government, and excellent stakeholder relationships.</w:t>
      </w:r>
    </w:p>
    <w:p w14:paraId="371F8720" w14:textId="77777777" w:rsidR="00C11A9B" w:rsidRDefault="00C11A9B" w:rsidP="00C11A9B">
      <w:pPr>
        <w:rPr>
          <w:lang w:eastAsia="en-AU"/>
        </w:rPr>
      </w:pPr>
      <w:r>
        <w:rPr>
          <w:lang w:eastAsia="en-AU"/>
        </w:rPr>
        <w:lastRenderedPageBreak/>
        <w:t>Our Agency Desired Outcome linking to this goal relates directly to our vision and purpose:</w:t>
      </w:r>
      <w:r w:rsidRPr="00AB147F">
        <w:rPr>
          <w:rStyle w:val="Emphasis"/>
        </w:rPr>
        <w:t xml:space="preserve"> “To ensure a workers’ compensation and injury management scheme that is financially viable, contemporary and integrated whilst providing services that are fair, accessible, timely and cost effective for all participants”.</w:t>
      </w:r>
    </w:p>
    <w:p w14:paraId="7B1BBBE9" w14:textId="4F8FB688" w:rsidR="0039132D" w:rsidRPr="00D533FC" w:rsidRDefault="0039132D" w:rsidP="00C11A9B">
      <w:r w:rsidRPr="00D533FC">
        <w:t>The Agency Services provided</w:t>
      </w:r>
      <w:r>
        <w:t xml:space="preserve"> to</w:t>
      </w:r>
      <w:r w:rsidRPr="00D533FC">
        <w:t xml:space="preserve"> ensure WorkCover WA achieves its desired outcome are:</w:t>
      </w:r>
    </w:p>
    <w:p w14:paraId="7204C145" w14:textId="77777777" w:rsidR="0039132D" w:rsidRPr="005932D0" w:rsidRDefault="0039132D" w:rsidP="00A16123">
      <w:pPr>
        <w:pStyle w:val="ListParagraph"/>
        <w:keepLines w:val="0"/>
        <w:numPr>
          <w:ilvl w:val="0"/>
          <w:numId w:val="11"/>
        </w:numPr>
        <w:spacing w:before="120" w:after="240" w:line="276" w:lineRule="auto"/>
        <w:rPr>
          <w:bCs w:val="0"/>
        </w:rPr>
      </w:pPr>
      <w:r w:rsidRPr="00C14C2A">
        <w:rPr>
          <w:rStyle w:val="Strong"/>
        </w:rPr>
        <w:t>Scheme Regulation</w:t>
      </w:r>
      <w:r w:rsidRPr="00D533FC">
        <w:rPr>
          <w:lang w:eastAsia="en-AU"/>
        </w:rPr>
        <w:t xml:space="preserve"> (regulation o</w:t>
      </w:r>
      <w:r w:rsidRPr="003F47A3">
        <w:rPr>
          <w:lang w:eastAsia="en-AU"/>
        </w:rPr>
        <w:t>f workers' compensation scheme participants for compliance with legislative requirements)</w:t>
      </w:r>
      <w:r>
        <w:rPr>
          <w:lang w:eastAsia="en-AU"/>
        </w:rPr>
        <w:t>; and</w:t>
      </w:r>
    </w:p>
    <w:p w14:paraId="3B775600" w14:textId="77777777" w:rsidR="0039132D" w:rsidRPr="00F43073" w:rsidRDefault="0039132D" w:rsidP="00A16123">
      <w:pPr>
        <w:pStyle w:val="ListParagraph"/>
        <w:keepLines w:val="0"/>
        <w:numPr>
          <w:ilvl w:val="0"/>
          <w:numId w:val="11"/>
        </w:numPr>
        <w:spacing w:before="120" w:after="240" w:line="276" w:lineRule="auto"/>
        <w:rPr>
          <w:bCs w:val="0"/>
        </w:rPr>
      </w:pPr>
      <w:r w:rsidRPr="00C14C2A">
        <w:rPr>
          <w:rStyle w:val="Strong"/>
        </w:rPr>
        <w:t>Scheme Services</w:t>
      </w:r>
      <w:r w:rsidRPr="003F47A3">
        <w:rPr>
          <w:lang w:eastAsia="en-AU"/>
        </w:rPr>
        <w:t xml:space="preserve"> </w:t>
      </w:r>
      <w:r w:rsidRPr="00C14C2A">
        <w:t>(provision of effective and equitable dispute resolution and other services to scheme participants).</w:t>
      </w:r>
    </w:p>
    <w:p w14:paraId="5C720AD3" w14:textId="3D10A5E0" w:rsidR="007F77A2" w:rsidRPr="00543F65" w:rsidRDefault="0039132D" w:rsidP="002B79AC">
      <w:pPr>
        <w:rPr>
          <w:b/>
          <w:sz w:val="20"/>
          <w:szCs w:val="20"/>
        </w:rPr>
      </w:pPr>
      <w:r w:rsidRPr="00C14C2A">
        <w:t>The following table shows the WorkCover WA Outcome Based Management (OBM) Structure including the Agency Desired Outcome and Agency Services.</w:t>
      </w:r>
    </w:p>
    <w:tbl>
      <w:tblPr>
        <w:tblW w:w="9450" w:type="dxa"/>
        <w:tblInd w:w="18"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ook w:val="04E0" w:firstRow="1" w:lastRow="1" w:firstColumn="1" w:lastColumn="0" w:noHBand="0" w:noVBand="1"/>
      </w:tblPr>
      <w:tblGrid>
        <w:gridCol w:w="4725"/>
        <w:gridCol w:w="4725"/>
      </w:tblGrid>
      <w:tr w:rsidR="0039132D" w:rsidRPr="00087828" w14:paraId="6CA80ED9" w14:textId="77777777" w:rsidTr="00D27309">
        <w:trPr>
          <w:trHeight w:val="1012"/>
        </w:trPr>
        <w:tc>
          <w:tcPr>
            <w:tcW w:w="9450" w:type="dxa"/>
            <w:gridSpan w:val="2"/>
            <w:shd w:val="clear" w:color="auto" w:fill="2D4541" w:themeFill="accent2"/>
            <w:vAlign w:val="center"/>
            <w:hideMark/>
          </w:tcPr>
          <w:p w14:paraId="7F86AD01" w14:textId="57E4A25E" w:rsidR="0039132D" w:rsidRPr="00D27309" w:rsidRDefault="00D27309" w:rsidP="009E75E3">
            <w:pPr>
              <w:rPr>
                <w:rStyle w:val="Strong"/>
                <w:color w:val="FFFFFF" w:themeColor="background1"/>
                <w:highlight w:val="darkYellow"/>
              </w:rPr>
            </w:pPr>
            <w:r w:rsidRPr="00D27309">
              <w:rPr>
                <w:rStyle w:val="Strong"/>
                <w:color w:val="FFFFFF" w:themeColor="background1"/>
              </w:rPr>
              <w:t xml:space="preserve">Table </w:t>
            </w:r>
            <w:r w:rsidR="00F65E4D">
              <w:rPr>
                <w:rStyle w:val="Strong"/>
                <w:color w:val="FFFFFF" w:themeColor="background1"/>
              </w:rPr>
              <w:t>4</w:t>
            </w:r>
            <w:r w:rsidR="009E75E3">
              <w:rPr>
                <w:rStyle w:val="Strong"/>
                <w:color w:val="FFFFFF" w:themeColor="background1"/>
              </w:rPr>
              <w:t>4</w:t>
            </w:r>
            <w:r w:rsidRPr="00D27309">
              <w:rPr>
                <w:rStyle w:val="Strong"/>
                <w:color w:val="FFFFFF" w:themeColor="background1"/>
              </w:rPr>
              <w:t xml:space="preserve">: </w:t>
            </w:r>
            <w:r w:rsidR="0039132D" w:rsidRPr="00D27309">
              <w:rPr>
                <w:rStyle w:val="Strong"/>
                <w:color w:val="FFFFFF" w:themeColor="background1"/>
              </w:rPr>
              <w:t xml:space="preserve">WorkCover WA’s links to Government Goals through its Agency Desired Outcome and Services </w:t>
            </w:r>
          </w:p>
        </w:tc>
      </w:tr>
      <w:tr w:rsidR="0039132D" w:rsidRPr="0049229C" w14:paraId="0FB8845E" w14:textId="77777777" w:rsidTr="00D27309">
        <w:trPr>
          <w:trHeight w:val="602"/>
        </w:trPr>
        <w:tc>
          <w:tcPr>
            <w:tcW w:w="9450" w:type="dxa"/>
            <w:gridSpan w:val="2"/>
            <w:shd w:val="clear" w:color="auto" w:fill="D4E2E0" w:themeFill="accent5"/>
            <w:vAlign w:val="center"/>
            <w:hideMark/>
          </w:tcPr>
          <w:p w14:paraId="064E950B" w14:textId="77777777" w:rsidR="0039132D" w:rsidRPr="00D27309" w:rsidRDefault="0039132D" w:rsidP="00697009">
            <w:pPr>
              <w:spacing w:after="0" w:line="240" w:lineRule="auto"/>
              <w:jc w:val="center"/>
              <w:rPr>
                <w:rFonts w:cs="Arial"/>
                <w:b/>
                <w:bCs/>
                <w:lang w:eastAsia="en-AU"/>
              </w:rPr>
            </w:pPr>
            <w:r w:rsidRPr="00D27309">
              <w:rPr>
                <w:rFonts w:cs="Arial"/>
                <w:b/>
                <w:bCs/>
                <w:sz w:val="22"/>
                <w:szCs w:val="22"/>
                <w:lang w:eastAsia="en-AU"/>
              </w:rPr>
              <w:t>Government Goal</w:t>
            </w:r>
          </w:p>
        </w:tc>
      </w:tr>
      <w:tr w:rsidR="0039132D" w:rsidRPr="0049229C" w14:paraId="158A82BB" w14:textId="77777777" w:rsidTr="00D27309">
        <w:trPr>
          <w:trHeight w:val="655"/>
        </w:trPr>
        <w:tc>
          <w:tcPr>
            <w:tcW w:w="9450" w:type="dxa"/>
            <w:gridSpan w:val="2"/>
            <w:shd w:val="clear" w:color="000000" w:fill="FFFFFF" w:themeFill="background1"/>
            <w:hideMark/>
          </w:tcPr>
          <w:p w14:paraId="34BAB48F" w14:textId="77777777" w:rsidR="0039132D" w:rsidRPr="00D27309" w:rsidRDefault="0039132D" w:rsidP="00697009">
            <w:pPr>
              <w:spacing w:after="120" w:line="240" w:lineRule="auto"/>
              <w:jc w:val="center"/>
              <w:rPr>
                <w:rStyle w:val="Strong"/>
              </w:rPr>
            </w:pPr>
            <w:r w:rsidRPr="00D27309">
              <w:rPr>
                <w:rStyle w:val="Strong"/>
              </w:rPr>
              <w:t>Results-Based Service Delivery</w:t>
            </w:r>
          </w:p>
          <w:p w14:paraId="79ADA471" w14:textId="77777777" w:rsidR="0039132D" w:rsidRPr="00D27309" w:rsidRDefault="0039132D" w:rsidP="00D27309">
            <w:pPr>
              <w:rPr>
                <w:b/>
                <w:bCs/>
                <w:lang w:eastAsia="en-AU"/>
              </w:rPr>
            </w:pPr>
            <w:r w:rsidRPr="00D27309">
              <w:rPr>
                <w:lang w:eastAsia="en-AU"/>
              </w:rPr>
              <w:t>Greater focus on achieving results in key service delivery areas for the benefit of all Western Australians.</w:t>
            </w:r>
          </w:p>
        </w:tc>
      </w:tr>
      <w:tr w:rsidR="0039132D" w:rsidRPr="003F47A3" w14:paraId="310EB2AD" w14:textId="77777777" w:rsidTr="00D27309">
        <w:trPr>
          <w:trHeight w:val="528"/>
        </w:trPr>
        <w:tc>
          <w:tcPr>
            <w:tcW w:w="9450" w:type="dxa"/>
            <w:gridSpan w:val="2"/>
            <w:shd w:val="clear" w:color="auto" w:fill="D4E2E0" w:themeFill="accent5"/>
            <w:vAlign w:val="center"/>
            <w:hideMark/>
          </w:tcPr>
          <w:p w14:paraId="7DC60730" w14:textId="77777777" w:rsidR="0039132D" w:rsidRPr="00D27309" w:rsidRDefault="0039132D" w:rsidP="00697009">
            <w:pPr>
              <w:spacing w:after="0" w:line="240" w:lineRule="auto"/>
              <w:jc w:val="center"/>
              <w:rPr>
                <w:rFonts w:cs="Arial"/>
                <w:b/>
                <w:bCs/>
                <w:lang w:eastAsia="en-AU"/>
              </w:rPr>
            </w:pPr>
            <w:r w:rsidRPr="00D27309">
              <w:rPr>
                <w:rFonts w:cs="Arial"/>
                <w:b/>
                <w:bCs/>
                <w:sz w:val="22"/>
                <w:szCs w:val="22"/>
                <w:lang w:eastAsia="en-AU"/>
              </w:rPr>
              <w:t>WorkCover WA’s Agency Desired Outcome</w:t>
            </w:r>
          </w:p>
        </w:tc>
      </w:tr>
      <w:tr w:rsidR="0039132D" w:rsidRPr="003F47A3" w14:paraId="637879EC" w14:textId="77777777" w:rsidTr="00D27309">
        <w:trPr>
          <w:trHeight w:val="1086"/>
        </w:trPr>
        <w:tc>
          <w:tcPr>
            <w:tcW w:w="9450" w:type="dxa"/>
            <w:gridSpan w:val="2"/>
            <w:shd w:val="clear" w:color="auto" w:fill="auto"/>
            <w:hideMark/>
          </w:tcPr>
          <w:p w14:paraId="1BE9629A" w14:textId="3EDED28B" w:rsidR="0039132D" w:rsidRPr="003F47A3" w:rsidRDefault="00F426E3" w:rsidP="00D27309">
            <w:pPr>
              <w:rPr>
                <w:lang w:eastAsia="en-AU"/>
              </w:rPr>
            </w:pPr>
            <w:r w:rsidRPr="00F426E3">
              <w:t>To ensure a workers’ compensation and injury management scheme that is financially viable, contemporary and integrated whilst providing services that are fair, accessible, timely and cost</w:t>
            </w:r>
            <w:r>
              <w:t xml:space="preserve"> effective for all participants</w:t>
            </w:r>
            <w:r w:rsidR="0039132D" w:rsidRPr="00B80E10">
              <w:t>.</w:t>
            </w:r>
          </w:p>
        </w:tc>
      </w:tr>
      <w:tr w:rsidR="0039132D" w:rsidRPr="003F47A3" w14:paraId="76CB08EA" w14:textId="77777777" w:rsidTr="00D27309">
        <w:trPr>
          <w:trHeight w:val="580"/>
        </w:trPr>
        <w:tc>
          <w:tcPr>
            <w:tcW w:w="9450" w:type="dxa"/>
            <w:gridSpan w:val="2"/>
            <w:shd w:val="clear" w:color="auto" w:fill="D4E2E0" w:themeFill="accent5"/>
            <w:vAlign w:val="center"/>
            <w:hideMark/>
          </w:tcPr>
          <w:p w14:paraId="1FEA339E" w14:textId="77777777" w:rsidR="0039132D" w:rsidRPr="00D27309" w:rsidRDefault="0039132D" w:rsidP="00697009">
            <w:pPr>
              <w:spacing w:after="0" w:line="240" w:lineRule="auto"/>
              <w:jc w:val="center"/>
              <w:rPr>
                <w:rFonts w:cs="Arial"/>
                <w:lang w:eastAsia="en-AU"/>
              </w:rPr>
            </w:pPr>
            <w:r w:rsidRPr="00D27309">
              <w:rPr>
                <w:rFonts w:cs="Arial"/>
                <w:b/>
                <w:bCs/>
                <w:sz w:val="22"/>
                <w:szCs w:val="22"/>
                <w:lang w:eastAsia="en-AU"/>
              </w:rPr>
              <w:t>WorkCover WA’s Agency Services</w:t>
            </w:r>
          </w:p>
        </w:tc>
      </w:tr>
      <w:tr w:rsidR="0039132D" w:rsidRPr="003F47A3" w14:paraId="7963CC43" w14:textId="77777777" w:rsidTr="00D27309">
        <w:trPr>
          <w:trHeight w:val="1227"/>
        </w:trPr>
        <w:tc>
          <w:tcPr>
            <w:tcW w:w="4725" w:type="dxa"/>
            <w:hideMark/>
          </w:tcPr>
          <w:p w14:paraId="6621F503" w14:textId="0612EFCB" w:rsidR="0039132D" w:rsidRPr="003F47A3" w:rsidRDefault="0039132D" w:rsidP="00697009">
            <w:pPr>
              <w:spacing w:after="0" w:line="240" w:lineRule="auto"/>
              <w:rPr>
                <w:rFonts w:cs="Arial"/>
                <w:b/>
                <w:bCs/>
                <w:lang w:eastAsia="en-AU"/>
              </w:rPr>
            </w:pPr>
            <w:r w:rsidRPr="00F426E3">
              <w:rPr>
                <w:rStyle w:val="Strong"/>
              </w:rPr>
              <w:t xml:space="preserve">1. </w:t>
            </w:r>
            <w:r w:rsidR="00F426E3" w:rsidRPr="00F426E3">
              <w:rPr>
                <w:rStyle w:val="Strong"/>
              </w:rPr>
              <w:t xml:space="preserve">Scheme Regulation </w:t>
            </w:r>
            <w:r w:rsidR="00F426E3" w:rsidRPr="00F426E3">
              <w:rPr>
                <w:rStyle w:val="TableTextChar"/>
              </w:rPr>
              <w:t>(regulation of workers' compensation scheme participants for compliance with legislative requirements)</w:t>
            </w:r>
          </w:p>
        </w:tc>
        <w:tc>
          <w:tcPr>
            <w:tcW w:w="4725" w:type="dxa"/>
          </w:tcPr>
          <w:p w14:paraId="3FC1659B" w14:textId="7904EE96" w:rsidR="0039132D" w:rsidRPr="003F47A3" w:rsidRDefault="0039132D" w:rsidP="00697009">
            <w:pPr>
              <w:spacing w:after="0" w:line="240" w:lineRule="auto"/>
              <w:rPr>
                <w:rFonts w:cs="Arial"/>
                <w:lang w:eastAsia="en-AU"/>
              </w:rPr>
            </w:pPr>
            <w:r w:rsidRPr="00F426E3">
              <w:rPr>
                <w:rStyle w:val="Strong"/>
              </w:rPr>
              <w:t>2. Scheme Services</w:t>
            </w:r>
            <w:r w:rsidRPr="003F47A3">
              <w:rPr>
                <w:rFonts w:cs="Arial"/>
                <w:sz w:val="22"/>
                <w:szCs w:val="22"/>
                <w:lang w:eastAsia="en-AU"/>
              </w:rPr>
              <w:t xml:space="preserve"> </w:t>
            </w:r>
            <w:r w:rsidR="00F426E3" w:rsidRPr="00F426E3">
              <w:t>(provision of effective and equitable dispute resolution and other services to scheme participants)</w:t>
            </w:r>
          </w:p>
        </w:tc>
      </w:tr>
    </w:tbl>
    <w:p w14:paraId="68130524" w14:textId="528E5739" w:rsidR="00CD3AB0" w:rsidRDefault="00CD3AB0" w:rsidP="00DE1FA7"/>
    <w:p w14:paraId="39B4FF06" w14:textId="6FA8506F" w:rsidR="00CD3AB0" w:rsidRDefault="00CD3AB0" w:rsidP="00CD3AB0"/>
    <w:p w14:paraId="54805933" w14:textId="77777777" w:rsidR="00CD3AB0" w:rsidRPr="00952488" w:rsidRDefault="00CD3AB0" w:rsidP="00952488">
      <w:pPr>
        <w:pStyle w:val="Heading2nonumber"/>
      </w:pPr>
      <w:bookmarkStart w:id="573" w:name="_Toc392689885"/>
      <w:bookmarkStart w:id="574" w:name="_Toc392690095"/>
      <w:bookmarkStart w:id="575" w:name="_Toc392690158"/>
      <w:bookmarkStart w:id="576" w:name="_Toc426617606"/>
      <w:bookmarkStart w:id="577" w:name="_Toc430091337"/>
      <w:r w:rsidRPr="00952488">
        <w:lastRenderedPageBreak/>
        <w:t xml:space="preserve">Changes to the Outcomes Based Management Structure (OBM) in </w:t>
      </w:r>
      <w:bookmarkEnd w:id="573"/>
      <w:bookmarkEnd w:id="574"/>
      <w:bookmarkEnd w:id="575"/>
      <w:r w:rsidRPr="00952488">
        <w:t>2014/15</w:t>
      </w:r>
      <w:bookmarkEnd w:id="576"/>
      <w:bookmarkEnd w:id="577"/>
    </w:p>
    <w:p w14:paraId="581B6E18" w14:textId="065F65E0" w:rsidR="00F426E3" w:rsidRDefault="00F426E3" w:rsidP="00F426E3">
      <w:r>
        <w:t>Section three of the Treasurer’s Instruction 904 requires that all changes in agency level desired outcomes, services and key performance indicators require the prior approval of the Under Treasurer irrespective of whether they occur within a reporting ye</w:t>
      </w:r>
      <w:r w:rsidR="00984686">
        <w:t xml:space="preserve">ar or between reporting years. </w:t>
      </w:r>
      <w:r>
        <w:t xml:space="preserve">These changes are also required to be disclosed in the agency’s annual report. </w:t>
      </w:r>
    </w:p>
    <w:p w14:paraId="2F5B66D6" w14:textId="77777777" w:rsidR="00F426E3" w:rsidRDefault="00F426E3" w:rsidP="00F426E3">
      <w:r>
        <w:t>WorkCover WA undertakes regular reviews of its OBM and KPI framework to ensure it provides the most suitable measures to indicate the Agency’s performance.</w:t>
      </w:r>
    </w:p>
    <w:p w14:paraId="6628B4AA" w14:textId="77777777" w:rsidR="00F426E3" w:rsidRDefault="00F426E3" w:rsidP="00F426E3">
      <w:r>
        <w:t xml:space="preserve">Changes to the OBM for the 2014/15 reporting year were endorsed by the WorkCover WA Board on 20 November 2014, approved by the Under Treasurer on 16 December 2014 and noted by the Minister 5 January 2015. </w:t>
      </w:r>
    </w:p>
    <w:p w14:paraId="2BA6D3C1" w14:textId="42A7C9BB" w:rsidR="00CD3AB0" w:rsidRDefault="00CD3AB0" w:rsidP="00984686">
      <w:pPr>
        <w:rPr>
          <w:lang w:eastAsia="en-AU"/>
        </w:rPr>
      </w:pPr>
      <w:r w:rsidRPr="00F53CA9">
        <w:rPr>
          <w:lang w:eastAsia="en-AU"/>
        </w:rPr>
        <w:t>These changes</w:t>
      </w:r>
      <w:r>
        <w:rPr>
          <w:lang w:eastAsia="en-AU"/>
        </w:rPr>
        <w:t xml:space="preserve"> involved:</w:t>
      </w:r>
    </w:p>
    <w:p w14:paraId="2BB5AEA0" w14:textId="77777777" w:rsidR="00F426E3" w:rsidRDefault="00F426E3" w:rsidP="00A16123">
      <w:pPr>
        <w:pStyle w:val="ListParagraph"/>
        <w:numPr>
          <w:ilvl w:val="0"/>
          <w:numId w:val="12"/>
        </w:numPr>
        <w:spacing w:before="120" w:after="190" w:line="276" w:lineRule="auto"/>
        <w:jc w:val="both"/>
        <w:rPr>
          <w:i/>
        </w:rPr>
      </w:pPr>
      <w:r>
        <w:rPr>
          <w:lang w:eastAsia="en-AU"/>
        </w:rPr>
        <w:t xml:space="preserve">Shortening the title of </w:t>
      </w:r>
      <w:r>
        <w:t>Effectiveness KPI 1.</w:t>
      </w:r>
      <w:r w:rsidRPr="00AD62E1">
        <w:rPr>
          <w:i/>
        </w:rPr>
        <w:t xml:space="preserve">2 </w:t>
      </w:r>
      <w:r>
        <w:t xml:space="preserve">from </w:t>
      </w:r>
      <w:r w:rsidRPr="00AD62E1">
        <w:rPr>
          <w:i/>
        </w:rPr>
        <w:t xml:space="preserve">The proportion of conciliations completed within 8 weeks of the date the application for conciliation was accepted </w:t>
      </w:r>
      <w:r w:rsidRPr="00FA3700">
        <w:t>to</w:t>
      </w:r>
      <w:r>
        <w:t xml:space="preserve"> </w:t>
      </w:r>
      <w:r w:rsidRPr="00AD62E1">
        <w:rPr>
          <w:i/>
        </w:rPr>
        <w:t>The proportion of concili</w:t>
      </w:r>
      <w:r>
        <w:rPr>
          <w:i/>
        </w:rPr>
        <w:t>ations completed within 8 weeks.</w:t>
      </w:r>
    </w:p>
    <w:p w14:paraId="07E28507" w14:textId="77777777" w:rsidR="00F426E3" w:rsidRPr="00AD7E01" w:rsidRDefault="00F426E3" w:rsidP="00984686">
      <w:pPr>
        <w:spacing w:after="190"/>
        <w:jc w:val="both"/>
      </w:pPr>
      <w:r>
        <w:t>Including the words “</w:t>
      </w:r>
      <w:r w:rsidRPr="00AD7E01">
        <w:rPr>
          <w:i/>
        </w:rPr>
        <w:t>of the date the application for conciliation was</w:t>
      </w:r>
      <w:r>
        <w:t xml:space="preserve"> accepted” in the title of the KPI is unnecessary and simply states part of the methodology used to determine the indicator outcome. No change is proposed to the methodology of the KPI and the shortened name brings the title more in line with other agency KPIs.</w:t>
      </w:r>
    </w:p>
    <w:p w14:paraId="757B1AAA" w14:textId="391AEF96" w:rsidR="00BD14A2" w:rsidRPr="00984686" w:rsidRDefault="00F426E3" w:rsidP="00A16123">
      <w:pPr>
        <w:pStyle w:val="ListParagraph"/>
        <w:keepLines w:val="0"/>
        <w:numPr>
          <w:ilvl w:val="0"/>
          <w:numId w:val="12"/>
        </w:numPr>
        <w:spacing w:before="120" w:after="120" w:line="276" w:lineRule="auto"/>
        <w:jc w:val="both"/>
        <w:rPr>
          <w:rFonts w:eastAsia="Calibri"/>
          <w:lang w:eastAsia="en-AU"/>
        </w:rPr>
      </w:pPr>
      <w:r w:rsidRPr="00F426E3">
        <w:rPr>
          <w:rFonts w:eastAsia="Calibri"/>
          <w:lang w:eastAsia="en-AU"/>
        </w:rPr>
        <w:t xml:space="preserve">Replacing effectiveness KPI 1.3 </w:t>
      </w:r>
      <w:r w:rsidRPr="00F426E3">
        <w:rPr>
          <w:rFonts w:eastAsia="Calibri"/>
          <w:i/>
        </w:rPr>
        <w:t>The average number of days to resolve a dispute</w:t>
      </w:r>
      <w:r w:rsidRPr="00F426E3">
        <w:rPr>
          <w:rFonts w:eastAsia="Calibri"/>
          <w:lang w:eastAsia="en-AU"/>
        </w:rPr>
        <w:t xml:space="preserve"> with a new KPI </w:t>
      </w:r>
      <w:r w:rsidRPr="00F426E3">
        <w:rPr>
          <w:rFonts w:eastAsia="Calibri"/>
          <w:i/>
          <w:lang w:eastAsia="en-AU"/>
        </w:rPr>
        <w:t>The proportion of disputes resolved within 6 months</w:t>
      </w:r>
      <w:r w:rsidRPr="00F426E3">
        <w:rPr>
          <w:rFonts w:eastAsia="Calibri"/>
          <w:lang w:eastAsia="en-AU"/>
        </w:rPr>
        <w:t xml:space="preserve"> to better show the overall performance of WorkCover WA in resolving disputes.</w:t>
      </w:r>
    </w:p>
    <w:p w14:paraId="34E6C383" w14:textId="77777777" w:rsidR="00BD14A2" w:rsidRDefault="00F426E3" w:rsidP="00BD14A2">
      <w:r w:rsidRPr="00BD14A2">
        <w:t>The new KPI shows for the period in review the percentage of disputes resolved within six months from the initial date of acceptance.</w:t>
      </w:r>
    </w:p>
    <w:p w14:paraId="087038FF" w14:textId="77777777" w:rsidR="00BD14A2" w:rsidRDefault="00F426E3" w:rsidP="00BD14A2">
      <w:r w:rsidRPr="00F426E3">
        <w:t xml:space="preserve">This KPI will improve the focus of our measurable outcomes and ensure we are providing the most relevant, meaningful and measurable information for our stakeholders. It not only shows our performance in administering dispute resolution but is also a measure that can compare the performance of WorkCover WA with other jurisdictions. </w:t>
      </w:r>
    </w:p>
    <w:p w14:paraId="2205439F" w14:textId="54475571" w:rsidR="00F426E3" w:rsidRPr="00BD14A2" w:rsidRDefault="00F426E3" w:rsidP="00BD14A2">
      <w:pPr>
        <w:rPr>
          <w:rFonts w:eastAsia="Calibri" w:cstheme="minorBidi"/>
          <w:lang w:eastAsia="en-AU"/>
        </w:rPr>
      </w:pPr>
      <w:r w:rsidRPr="00F426E3">
        <w:t xml:space="preserve">This comparative information is provided in an annual performance monitoring report produced by Safe Work Australia that includes comparison of the performance of workers’ compensation dispute resolution agencies across Australia and New </w:t>
      </w:r>
      <w:r w:rsidRPr="002C70A6">
        <w:t>Zealand.</w:t>
      </w:r>
    </w:p>
    <w:p w14:paraId="792E79A1" w14:textId="77777777" w:rsidR="00F426E3" w:rsidRPr="002C70A6" w:rsidRDefault="00F426E3" w:rsidP="007D395C">
      <w:r w:rsidRPr="002C70A6">
        <w:lastRenderedPageBreak/>
        <w:t xml:space="preserve">The KPI covers all disputes resolved whether through conciliation or arbitration, whereas, whilst not clear from the title, the discontinued KPI </w:t>
      </w:r>
      <w:r w:rsidRPr="007D395C">
        <w:rPr>
          <w:rStyle w:val="Emphasis"/>
        </w:rPr>
        <w:t>‘The average number of days to resolve a dispute’</w:t>
      </w:r>
      <w:r w:rsidRPr="002C70A6">
        <w:rPr>
          <w:rStyle w:val="Emphasis"/>
          <w:b/>
        </w:rPr>
        <w:t xml:space="preserve"> </w:t>
      </w:r>
      <w:r w:rsidRPr="002C70A6">
        <w:t xml:space="preserve">only measured disputes finalised through arbitration.  </w:t>
      </w:r>
    </w:p>
    <w:p w14:paraId="06C9C16D" w14:textId="06FD1BEA" w:rsidR="00CD3AB0" w:rsidRPr="00AD7E01" w:rsidRDefault="00CD3AB0" w:rsidP="00F426E3">
      <w:pPr>
        <w:pStyle w:val="Heading3nonumber"/>
        <w:rPr>
          <w:lang w:eastAsia="en-AU"/>
        </w:rPr>
      </w:pPr>
      <w:bookmarkStart w:id="578" w:name="_Toc426617607"/>
      <w:bookmarkStart w:id="579" w:name="_Toc430091338"/>
      <w:r w:rsidRPr="00AD7E01">
        <w:rPr>
          <w:lang w:eastAsia="en-AU"/>
        </w:rPr>
        <w:t>More relevance to Stakeholders</w:t>
      </w:r>
      <w:bookmarkEnd w:id="578"/>
      <w:bookmarkEnd w:id="579"/>
    </w:p>
    <w:p w14:paraId="1D4D5B3E" w14:textId="77777777" w:rsidR="002C70A6" w:rsidRPr="002C70A6" w:rsidRDefault="002C70A6" w:rsidP="007D395C">
      <w:pPr>
        <w:rPr>
          <w:lang w:eastAsia="en-AU"/>
        </w:rPr>
      </w:pPr>
      <w:r w:rsidRPr="002C70A6">
        <w:rPr>
          <w:lang w:eastAsia="en-AU"/>
        </w:rPr>
        <w:t xml:space="preserve">As mentioned above the previous KPI only measured disputes finalised through arbitration. In 2013/14 only 22 per cent of all disputed matters proceeded to arbitration. The average duration of arbitration matters is also significantly affected by a small number of complex and protracted arbitrated cases which can sometimes take a very long time to resolve. The apparent long duration of cases suggested by the KPI is not typical of the majority of disputes which are in fact resolved in a relatively short period. </w:t>
      </w:r>
    </w:p>
    <w:p w14:paraId="3BB22E1E" w14:textId="77777777" w:rsidR="002C70A6" w:rsidRPr="002C70A6" w:rsidRDefault="002C70A6" w:rsidP="007D395C">
      <w:pPr>
        <w:rPr>
          <w:lang w:eastAsia="en-AU"/>
        </w:rPr>
      </w:pPr>
      <w:r w:rsidRPr="002C70A6">
        <w:rPr>
          <w:lang w:eastAsia="en-AU"/>
        </w:rPr>
        <w:t>The new KPI measures all disputes resolved within six months from the day of initial acceptance for conciliation through to the day they are resolved either via conciliation or arbitration. It is based on a long established metric calculated at a national level and provides the performance of workers’ compensation dispute resolution in Western Australia.</w:t>
      </w:r>
    </w:p>
    <w:p w14:paraId="40CC958C" w14:textId="77777777" w:rsidR="002C70A6" w:rsidRDefault="002C70A6" w:rsidP="007D395C">
      <w:pPr>
        <w:rPr>
          <w:lang w:eastAsia="en-AU"/>
        </w:rPr>
      </w:pPr>
      <w:r w:rsidRPr="002C70A6">
        <w:rPr>
          <w:lang w:eastAsia="en-AU"/>
        </w:rPr>
        <w:t xml:space="preserve">Historical data is readily available and comparisons with both the previous dispute resolution process and other Australian jurisdictions are possible. </w:t>
      </w:r>
    </w:p>
    <w:p w14:paraId="52D29B5F" w14:textId="0391F63A" w:rsidR="00CD3AB0" w:rsidRPr="008E7661" w:rsidRDefault="00CD3AB0" w:rsidP="002C70A6">
      <w:pPr>
        <w:pStyle w:val="Heading3nonumber"/>
      </w:pPr>
      <w:bookmarkStart w:id="580" w:name="_Toc426617608"/>
      <w:bookmarkStart w:id="581" w:name="_Toc430091339"/>
      <w:r w:rsidRPr="0080212E">
        <w:t>Issues with the previous KPI 1.3</w:t>
      </w:r>
      <w:bookmarkEnd w:id="580"/>
      <w:bookmarkEnd w:id="581"/>
    </w:p>
    <w:p w14:paraId="1758934A" w14:textId="77777777" w:rsidR="002C70A6" w:rsidRPr="0080212E" w:rsidRDefault="002C70A6" w:rsidP="00984686">
      <w:pPr>
        <w:autoSpaceDE w:val="0"/>
        <w:autoSpaceDN w:val="0"/>
        <w:adjustRightInd w:val="0"/>
        <w:spacing w:after="0"/>
        <w:rPr>
          <w:rFonts w:cs="Arial"/>
        </w:rPr>
      </w:pPr>
      <w:r w:rsidRPr="0080212E">
        <w:rPr>
          <w:rFonts w:cs="Arial"/>
        </w:rPr>
        <w:t>WorkCover WA has used a number of indicators in an attempt to provide an effective</w:t>
      </w:r>
    </w:p>
    <w:p w14:paraId="3C1747B0" w14:textId="77777777" w:rsidR="002C70A6" w:rsidRPr="0080212E" w:rsidRDefault="002C70A6" w:rsidP="00984686">
      <w:pPr>
        <w:autoSpaceDE w:val="0"/>
        <w:autoSpaceDN w:val="0"/>
        <w:adjustRightInd w:val="0"/>
        <w:spacing w:after="0"/>
        <w:rPr>
          <w:rFonts w:cs="Arial"/>
        </w:rPr>
      </w:pPr>
      <w:r w:rsidRPr="0080212E">
        <w:rPr>
          <w:rFonts w:cs="Arial"/>
        </w:rPr>
        <w:t>measure of service delivery outcomes for dispute. Until 2012/13 the indicator was:</w:t>
      </w:r>
    </w:p>
    <w:p w14:paraId="6426018D" w14:textId="77777777" w:rsidR="002C70A6" w:rsidRPr="0080212E" w:rsidRDefault="002C70A6" w:rsidP="00984686">
      <w:pPr>
        <w:autoSpaceDE w:val="0"/>
        <w:autoSpaceDN w:val="0"/>
        <w:adjustRightInd w:val="0"/>
        <w:spacing w:after="0"/>
        <w:rPr>
          <w:rFonts w:cs="Arial"/>
          <w:i/>
          <w:iCs/>
        </w:rPr>
      </w:pPr>
      <w:r w:rsidRPr="0080212E">
        <w:rPr>
          <w:rFonts w:cs="Arial"/>
          <w:i/>
          <w:iCs/>
        </w:rPr>
        <w:t>The proportion of arbitrations completed within 18 weeks of the date the</w:t>
      </w:r>
    </w:p>
    <w:p w14:paraId="21167D87" w14:textId="77777777" w:rsidR="002C70A6" w:rsidRPr="0080212E" w:rsidRDefault="002C70A6" w:rsidP="00984686">
      <w:pPr>
        <w:autoSpaceDE w:val="0"/>
        <w:autoSpaceDN w:val="0"/>
        <w:adjustRightInd w:val="0"/>
        <w:spacing w:after="0"/>
        <w:rPr>
          <w:rFonts w:cs="Arial"/>
          <w:i/>
          <w:iCs/>
        </w:rPr>
      </w:pPr>
      <w:r w:rsidRPr="0080212E">
        <w:rPr>
          <w:rFonts w:cs="Arial"/>
          <w:i/>
          <w:iCs/>
        </w:rPr>
        <w:t>application for arbitration was accepted.</w:t>
      </w:r>
    </w:p>
    <w:p w14:paraId="76DA6ED2" w14:textId="77777777" w:rsidR="002C70A6" w:rsidRPr="0080212E" w:rsidRDefault="002C70A6" w:rsidP="00984686">
      <w:pPr>
        <w:autoSpaceDE w:val="0"/>
        <w:autoSpaceDN w:val="0"/>
        <w:adjustRightInd w:val="0"/>
        <w:spacing w:after="0"/>
        <w:rPr>
          <w:rFonts w:cs="Arial"/>
          <w:i/>
          <w:iCs/>
        </w:rPr>
      </w:pPr>
    </w:p>
    <w:p w14:paraId="34DA52C5" w14:textId="77777777" w:rsidR="002C70A6" w:rsidRPr="0080212E" w:rsidRDefault="002C70A6" w:rsidP="00984686">
      <w:pPr>
        <w:autoSpaceDE w:val="0"/>
        <w:autoSpaceDN w:val="0"/>
        <w:adjustRightInd w:val="0"/>
        <w:spacing w:after="0"/>
        <w:rPr>
          <w:rFonts w:cs="Arial"/>
        </w:rPr>
      </w:pPr>
      <w:r w:rsidRPr="0080212E">
        <w:rPr>
          <w:rFonts w:cs="Arial"/>
        </w:rPr>
        <w:t>In 2012/13 the indicator was changed to ‘</w:t>
      </w:r>
      <w:r w:rsidRPr="0080212E">
        <w:rPr>
          <w:rFonts w:cs="Arial"/>
          <w:i/>
          <w:iCs/>
        </w:rPr>
        <w:t xml:space="preserve">The average number of days to resolve a dispute’. This </w:t>
      </w:r>
      <w:r w:rsidRPr="0080212E">
        <w:rPr>
          <w:rFonts w:cs="Arial"/>
        </w:rPr>
        <w:t>was adopted as part of a legislative reform which established</w:t>
      </w:r>
    </w:p>
    <w:p w14:paraId="1D282822" w14:textId="43AF1F06" w:rsidR="002C70A6" w:rsidRPr="0080212E" w:rsidRDefault="002C70A6" w:rsidP="00984686">
      <w:pPr>
        <w:autoSpaceDE w:val="0"/>
        <w:autoSpaceDN w:val="0"/>
        <w:adjustRightInd w:val="0"/>
        <w:spacing w:after="0"/>
        <w:rPr>
          <w:rFonts w:cs="Arial"/>
        </w:rPr>
      </w:pPr>
      <w:r w:rsidRPr="0080212E">
        <w:rPr>
          <w:rFonts w:cs="Arial"/>
        </w:rPr>
        <w:t>WorkCover WA’s Conciliation and Arbitration Services. The KPI sought to measure the total time taken to resolve disputes from the acceptance of an application for</w:t>
      </w:r>
      <w:r>
        <w:rPr>
          <w:rFonts w:cs="Arial"/>
        </w:rPr>
        <w:t xml:space="preserve"> </w:t>
      </w:r>
      <w:r w:rsidRPr="0080212E">
        <w:rPr>
          <w:rFonts w:cs="Arial"/>
        </w:rPr>
        <w:t>conciliation through to when the arbitration matter is finalised.</w:t>
      </w:r>
    </w:p>
    <w:p w14:paraId="289852EE" w14:textId="77777777" w:rsidR="002C70A6" w:rsidRPr="00DB16F1" w:rsidRDefault="002C70A6" w:rsidP="002C70A6">
      <w:pPr>
        <w:autoSpaceDE w:val="0"/>
        <w:autoSpaceDN w:val="0"/>
        <w:adjustRightInd w:val="0"/>
        <w:spacing w:after="0" w:line="240" w:lineRule="auto"/>
        <w:rPr>
          <w:rFonts w:cs="Arial"/>
          <w:highlight w:val="cyan"/>
        </w:rPr>
      </w:pPr>
    </w:p>
    <w:p w14:paraId="76B23F3D" w14:textId="23EB9C72" w:rsidR="002C70A6" w:rsidRDefault="002C70A6" w:rsidP="00984686">
      <w:pPr>
        <w:autoSpaceDE w:val="0"/>
        <w:autoSpaceDN w:val="0"/>
        <w:adjustRightInd w:val="0"/>
        <w:spacing w:after="0"/>
        <w:rPr>
          <w:rFonts w:cs="Arial"/>
        </w:rPr>
      </w:pPr>
      <w:r w:rsidRPr="002F4A1F">
        <w:rPr>
          <w:rFonts w:cs="Arial"/>
        </w:rPr>
        <w:t>While not clear from its description, th</w:t>
      </w:r>
      <w:r>
        <w:rPr>
          <w:rFonts w:cs="Arial"/>
        </w:rPr>
        <w:t xml:space="preserve">is previous </w:t>
      </w:r>
      <w:r w:rsidRPr="002F4A1F">
        <w:rPr>
          <w:rFonts w:cs="Arial"/>
        </w:rPr>
        <w:t xml:space="preserve">KPI was based only on disputes which proceed to arbitration. In 2013/14 only twenty two </w:t>
      </w:r>
      <w:r w:rsidR="00123F56">
        <w:rPr>
          <w:rFonts w:cs="Arial"/>
        </w:rPr>
        <w:t>per cent</w:t>
      </w:r>
      <w:r w:rsidRPr="002F4A1F">
        <w:rPr>
          <w:rFonts w:cs="Arial"/>
        </w:rPr>
        <w:t xml:space="preserve"> of disputes entered arbitration with an average of 190 days to resolution relative to a target of 126 days. </w:t>
      </w:r>
    </w:p>
    <w:p w14:paraId="2F30EBA4" w14:textId="77777777" w:rsidR="002C70A6" w:rsidRDefault="002C70A6" w:rsidP="00984686">
      <w:pPr>
        <w:autoSpaceDE w:val="0"/>
        <w:autoSpaceDN w:val="0"/>
        <w:adjustRightInd w:val="0"/>
        <w:spacing w:after="0"/>
        <w:rPr>
          <w:rFonts w:cs="Arial"/>
        </w:rPr>
      </w:pPr>
    </w:p>
    <w:p w14:paraId="02CCBC63" w14:textId="6FED660B" w:rsidR="002C70A6" w:rsidRPr="002F4A1F" w:rsidRDefault="002C70A6" w:rsidP="00984686">
      <w:pPr>
        <w:autoSpaceDE w:val="0"/>
        <w:autoSpaceDN w:val="0"/>
        <w:adjustRightInd w:val="0"/>
        <w:spacing w:after="0"/>
        <w:rPr>
          <w:rFonts w:cs="Arial"/>
        </w:rPr>
      </w:pPr>
      <w:r w:rsidRPr="002F4A1F">
        <w:rPr>
          <w:rFonts w:cs="Arial"/>
        </w:rPr>
        <w:lastRenderedPageBreak/>
        <w:t xml:space="preserve">This means only twenty two </w:t>
      </w:r>
      <w:r w:rsidR="00123F56">
        <w:rPr>
          <w:rFonts w:cs="Arial"/>
        </w:rPr>
        <w:t>per cent</w:t>
      </w:r>
      <w:r w:rsidRPr="002F4A1F">
        <w:rPr>
          <w:rFonts w:cs="Arial"/>
        </w:rPr>
        <w:t xml:space="preserve"> of disputes was being measured. This KPI did not properly reflect the actual performance of conciliation and arbitration, particularly the reality that the overwhelming majority of matters are resolved either at conciliation or quite quickly in the arbitration process.</w:t>
      </w:r>
    </w:p>
    <w:p w14:paraId="0363D239" w14:textId="77777777" w:rsidR="002C70A6" w:rsidRPr="00DB16F1" w:rsidRDefault="002C70A6" w:rsidP="00984686">
      <w:pPr>
        <w:autoSpaceDE w:val="0"/>
        <w:autoSpaceDN w:val="0"/>
        <w:adjustRightInd w:val="0"/>
        <w:spacing w:after="0"/>
        <w:rPr>
          <w:rFonts w:cs="Arial"/>
          <w:highlight w:val="cyan"/>
        </w:rPr>
      </w:pPr>
    </w:p>
    <w:p w14:paraId="2784874A" w14:textId="77777777" w:rsidR="002C70A6" w:rsidRDefault="002C70A6" w:rsidP="00984686">
      <w:pPr>
        <w:autoSpaceDE w:val="0"/>
        <w:autoSpaceDN w:val="0"/>
        <w:adjustRightInd w:val="0"/>
        <w:spacing w:after="0"/>
        <w:rPr>
          <w:rFonts w:cs="Arial"/>
        </w:rPr>
      </w:pPr>
      <w:r w:rsidRPr="002F4A1F">
        <w:rPr>
          <w:rFonts w:cs="Arial"/>
        </w:rPr>
        <w:t>The average duration of arbitration matters is significantly affected by a small number of complex and protracted arbitrated cases which can sometimes take a very long time to resolve. In addition to the need to consider complex evidence and law, these cases can be appealed to the District Court and may be remitted back to the Arbitration Service for further consideration, all of which affect the average number of days to closure.</w:t>
      </w:r>
    </w:p>
    <w:p w14:paraId="2246DD4B" w14:textId="77777777" w:rsidR="002C70A6" w:rsidRDefault="002C70A6" w:rsidP="00984686">
      <w:pPr>
        <w:autoSpaceDE w:val="0"/>
        <w:autoSpaceDN w:val="0"/>
        <w:adjustRightInd w:val="0"/>
        <w:spacing w:after="0"/>
        <w:rPr>
          <w:rFonts w:cs="Arial"/>
        </w:rPr>
      </w:pPr>
    </w:p>
    <w:p w14:paraId="13A4526A" w14:textId="77777777" w:rsidR="002C70A6" w:rsidRPr="002F4A1F" w:rsidRDefault="002C70A6" w:rsidP="00984686">
      <w:pPr>
        <w:autoSpaceDE w:val="0"/>
        <w:autoSpaceDN w:val="0"/>
        <w:adjustRightInd w:val="0"/>
        <w:spacing w:after="0"/>
        <w:rPr>
          <w:rFonts w:cs="Arial"/>
        </w:rPr>
      </w:pPr>
      <w:r w:rsidRPr="002F4A1F">
        <w:rPr>
          <w:rFonts w:cs="Arial"/>
        </w:rPr>
        <w:t>The apparent long average duration of arbitrated cases suggested by the previous KPI is not typical of the majority of arbitrated disputes which in fact are resolved in a relatively short period</w:t>
      </w:r>
      <w:r>
        <w:rPr>
          <w:rFonts w:cs="Arial"/>
        </w:rPr>
        <w:t xml:space="preserve">, which is </w:t>
      </w:r>
      <w:r w:rsidRPr="002F4A1F">
        <w:rPr>
          <w:rFonts w:cs="Arial"/>
        </w:rPr>
        <w:t>within six months of the initial conciliation application.</w:t>
      </w:r>
    </w:p>
    <w:p w14:paraId="21FA6545" w14:textId="5AE8F334" w:rsidR="002C70A6" w:rsidRPr="008F7277" w:rsidRDefault="00664937" w:rsidP="00984686">
      <w:pPr>
        <w:autoSpaceDE w:val="0"/>
        <w:autoSpaceDN w:val="0"/>
        <w:adjustRightInd w:val="0"/>
        <w:spacing w:after="0"/>
        <w:rPr>
          <w:rFonts w:cs="Arial"/>
          <w:highlight w:val="cyan"/>
        </w:rPr>
      </w:pPr>
      <w:r>
        <w:rPr>
          <w:noProof/>
          <w:lang w:eastAsia="en-AU"/>
        </w:rPr>
        <w:drawing>
          <wp:anchor distT="0" distB="0" distL="114300" distR="114300" simplePos="0" relativeHeight="251729920" behindDoc="0" locked="0" layoutInCell="1" allowOverlap="1" wp14:anchorId="6E9186E3" wp14:editId="67B52855">
            <wp:simplePos x="0" y="0"/>
            <wp:positionH relativeFrom="column">
              <wp:posOffset>2778471</wp:posOffset>
            </wp:positionH>
            <wp:positionV relativeFrom="page">
              <wp:posOffset>6048663</wp:posOffset>
            </wp:positionV>
            <wp:extent cx="6416040" cy="2842260"/>
            <wp:effectExtent l="0" t="0" r="3810" b="0"/>
            <wp:wrapSquare wrapText="bothSides"/>
            <wp:docPr id="31" name="Picture 31"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17" cstate="print">
                      <a:extLst>
                        <a:ext uri="{28A0092B-C50C-407E-A947-70E740481C1C}">
                          <a14:useLocalDpi xmlns:a14="http://schemas.microsoft.com/office/drawing/2010/main" val="0"/>
                        </a:ext>
                      </a:extLst>
                    </a:blip>
                    <a:srcRect t="39269" b="29401"/>
                    <a:stretch/>
                  </pic:blipFill>
                  <pic:spPr bwMode="auto">
                    <a:xfrm>
                      <a:off x="0" y="0"/>
                      <a:ext cx="6416040"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012671" w14:textId="2216AC9E" w:rsidR="00F0370A" w:rsidRDefault="00F0370A" w:rsidP="00984686">
      <w:pPr>
        <w:sectPr w:rsidR="00F0370A" w:rsidSect="00184DF0">
          <w:headerReference w:type="default" r:id="rId32"/>
          <w:pgSz w:w="11906" w:h="16838"/>
          <w:pgMar w:top="1440" w:right="1440" w:bottom="1440" w:left="1440" w:header="709" w:footer="0" w:gutter="0"/>
          <w:cols w:space="708"/>
          <w:docGrid w:linePitch="360"/>
        </w:sectPr>
      </w:pPr>
    </w:p>
    <w:p w14:paraId="00449E29" w14:textId="4261AC92" w:rsidR="00F0370A" w:rsidRPr="0061288F" w:rsidRDefault="008E7661" w:rsidP="00EC6B47">
      <w:pPr>
        <w:pStyle w:val="Heading1nonumber"/>
        <w:spacing w:after="0"/>
      </w:pPr>
      <w:bookmarkStart w:id="582" w:name="_Toc392689886"/>
      <w:bookmarkStart w:id="583" w:name="_Toc392690096"/>
      <w:bookmarkStart w:id="584" w:name="_Toc392690159"/>
      <w:bookmarkStart w:id="585" w:name="_Toc426617609"/>
      <w:bookmarkStart w:id="586" w:name="_Toc430091340"/>
      <w:r w:rsidRPr="0061288F">
        <w:lastRenderedPageBreak/>
        <w:t>Key Performance Indicators</w:t>
      </w:r>
      <w:bookmarkEnd w:id="582"/>
      <w:bookmarkEnd w:id="583"/>
      <w:bookmarkEnd w:id="584"/>
      <w:bookmarkEnd w:id="585"/>
      <w:bookmarkEnd w:id="586"/>
    </w:p>
    <w:p w14:paraId="63742C3C" w14:textId="77777777" w:rsidR="00F0370A" w:rsidRDefault="00F0370A" w:rsidP="00F0370A">
      <w:pPr>
        <w:spacing w:after="0" w:line="240" w:lineRule="auto"/>
        <w:jc w:val="both"/>
      </w:pPr>
    </w:p>
    <w:tbl>
      <w:tblPr>
        <w:tblStyle w:val="TableGrid"/>
        <w:tblW w:w="14567"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ook w:val="0620" w:firstRow="1" w:lastRow="0" w:firstColumn="0" w:lastColumn="0" w:noHBand="1" w:noVBand="1"/>
        <w:tblCaption w:val="Table 45 WorkCover WAs Key Performance Indicators for WorkCover WA and their relationship witht he agency's outcome based management structure"/>
        <w:tblDescription w:val="Table 25 details Agency Desired Outcomes, Effictiveness Indicators, Agency Services and Efficiency Indicators"/>
      </w:tblPr>
      <w:tblGrid>
        <w:gridCol w:w="2427"/>
        <w:gridCol w:w="2428"/>
        <w:gridCol w:w="2341"/>
        <w:gridCol w:w="2515"/>
        <w:gridCol w:w="2428"/>
        <w:gridCol w:w="2428"/>
      </w:tblGrid>
      <w:tr w:rsidR="00F0370A" w14:paraId="63769D4F" w14:textId="77777777" w:rsidTr="00CF1E5A">
        <w:trPr>
          <w:trHeight w:val="799"/>
        </w:trPr>
        <w:tc>
          <w:tcPr>
            <w:tcW w:w="14567" w:type="dxa"/>
            <w:gridSpan w:val="6"/>
            <w:shd w:val="clear" w:color="auto" w:fill="1E5352"/>
            <w:vAlign w:val="center"/>
          </w:tcPr>
          <w:p w14:paraId="7AD1F37B" w14:textId="212AFC9B" w:rsidR="00F0370A" w:rsidRPr="008F1A7F" w:rsidRDefault="00F0370A" w:rsidP="009E75E3">
            <w:pPr>
              <w:rPr>
                <w:b/>
                <w:bCs/>
                <w:color w:val="FFFFFF" w:themeColor="background1"/>
              </w:rPr>
            </w:pPr>
            <w:r w:rsidRPr="008F1A7F">
              <w:rPr>
                <w:rStyle w:val="Strong"/>
                <w:color w:val="FFFFFF" w:themeColor="background1"/>
              </w:rPr>
              <w:t xml:space="preserve">Table </w:t>
            </w:r>
            <w:r w:rsidR="00F65E4D">
              <w:rPr>
                <w:rStyle w:val="Strong"/>
                <w:color w:val="FFFFFF" w:themeColor="background1"/>
              </w:rPr>
              <w:t>4</w:t>
            </w:r>
            <w:r w:rsidR="009E75E3">
              <w:rPr>
                <w:rStyle w:val="Strong"/>
                <w:color w:val="FFFFFF" w:themeColor="background1"/>
              </w:rPr>
              <w:t>5</w:t>
            </w:r>
            <w:r w:rsidRPr="008F1A7F">
              <w:rPr>
                <w:rStyle w:val="Strong"/>
                <w:color w:val="FFFFFF" w:themeColor="background1"/>
              </w:rPr>
              <w:t>: WorkCover WA’s Key Performance Indicators for WorkCover WA and their relationship with the agency’s Outcome Based Management Structure</w:t>
            </w:r>
          </w:p>
        </w:tc>
      </w:tr>
      <w:tr w:rsidR="00F0370A" w14:paraId="6B7A26D6" w14:textId="77777777" w:rsidTr="00CF1E5A">
        <w:trPr>
          <w:trHeight w:val="340"/>
        </w:trPr>
        <w:tc>
          <w:tcPr>
            <w:tcW w:w="14567" w:type="dxa"/>
            <w:gridSpan w:val="6"/>
            <w:shd w:val="clear" w:color="auto" w:fill="6FA198" w:themeFill="accent2" w:themeFillTint="99"/>
            <w:vAlign w:val="center"/>
          </w:tcPr>
          <w:p w14:paraId="587DC1A1" w14:textId="77777777" w:rsidR="00F0370A" w:rsidRPr="0061288F" w:rsidRDefault="00F0370A" w:rsidP="00256DC5">
            <w:pPr>
              <w:jc w:val="center"/>
              <w:rPr>
                <w:rStyle w:val="Strong"/>
              </w:rPr>
            </w:pPr>
            <w:r w:rsidRPr="0061288F">
              <w:rPr>
                <w:rStyle w:val="Strong"/>
              </w:rPr>
              <w:t>Agency Desired Outcome</w:t>
            </w:r>
          </w:p>
        </w:tc>
      </w:tr>
      <w:tr w:rsidR="00F0370A" w:rsidRPr="00FF0E8D" w14:paraId="12858146" w14:textId="77777777" w:rsidTr="00CF1E5A">
        <w:trPr>
          <w:trHeight w:val="676"/>
        </w:trPr>
        <w:tc>
          <w:tcPr>
            <w:tcW w:w="14567" w:type="dxa"/>
            <w:gridSpan w:val="6"/>
          </w:tcPr>
          <w:p w14:paraId="4830C86B" w14:textId="7DE58864" w:rsidR="00F0370A" w:rsidRPr="00FF0E8D" w:rsidRDefault="009E0AB1" w:rsidP="00256DC5">
            <w:r w:rsidRPr="009E0AB1">
              <w:t>To ensure a workers’ compensation and injury management scheme that is financially viable, contemporary, and integrated whilst providing services that are fair, accessible, timely and cost effective for all participants</w:t>
            </w:r>
            <w:r>
              <w:t>.</w:t>
            </w:r>
          </w:p>
        </w:tc>
      </w:tr>
      <w:tr w:rsidR="00F0370A" w14:paraId="3D38B58D" w14:textId="77777777" w:rsidTr="00CF1E5A">
        <w:trPr>
          <w:trHeight w:val="413"/>
        </w:trPr>
        <w:tc>
          <w:tcPr>
            <w:tcW w:w="14567" w:type="dxa"/>
            <w:gridSpan w:val="6"/>
            <w:shd w:val="clear" w:color="auto" w:fill="CEDFDC" w:themeFill="accent2" w:themeFillTint="33"/>
            <w:vAlign w:val="center"/>
          </w:tcPr>
          <w:p w14:paraId="26BD0A16" w14:textId="77777777" w:rsidR="00F0370A" w:rsidRPr="0061288F" w:rsidRDefault="00F0370A" w:rsidP="00256DC5">
            <w:pPr>
              <w:jc w:val="center"/>
              <w:rPr>
                <w:rStyle w:val="Strong"/>
              </w:rPr>
            </w:pPr>
            <w:r w:rsidRPr="0061288F">
              <w:rPr>
                <w:rStyle w:val="Strong"/>
              </w:rPr>
              <w:t>Effectiveness Indicators</w:t>
            </w:r>
          </w:p>
        </w:tc>
      </w:tr>
      <w:tr w:rsidR="00F0370A" w:rsidRPr="00BF2072" w14:paraId="7FE8E08E" w14:textId="77777777" w:rsidTr="00CF1E5A">
        <w:trPr>
          <w:trHeight w:val="924"/>
        </w:trPr>
        <w:tc>
          <w:tcPr>
            <w:tcW w:w="4855" w:type="dxa"/>
            <w:gridSpan w:val="2"/>
          </w:tcPr>
          <w:p w14:paraId="4399A79B" w14:textId="3625ADAA" w:rsidR="00F0370A" w:rsidRPr="00BF2072" w:rsidRDefault="00F0370A" w:rsidP="00256DC5">
            <w:r w:rsidRPr="008E7661">
              <w:rPr>
                <w:rStyle w:val="Strong"/>
              </w:rPr>
              <w:t>1.1</w:t>
            </w:r>
            <w:r>
              <w:t xml:space="preserve"> </w:t>
            </w:r>
            <w:r w:rsidR="009E0AB1" w:rsidRPr="009E0AB1">
              <w:t>The number of non-compliance events identified as a result of a claim on the General Account</w:t>
            </w:r>
          </w:p>
        </w:tc>
        <w:tc>
          <w:tcPr>
            <w:tcW w:w="4856" w:type="dxa"/>
            <w:gridSpan w:val="2"/>
          </w:tcPr>
          <w:p w14:paraId="78BFC6CA" w14:textId="2F44D754" w:rsidR="00F0370A" w:rsidRDefault="00F0370A" w:rsidP="00256DC5">
            <w:pPr>
              <w:rPr>
                <w:rFonts w:eastAsiaTheme="minorHAnsi" w:cstheme="minorBidi"/>
              </w:rPr>
            </w:pPr>
            <w:r w:rsidRPr="008E7661">
              <w:rPr>
                <w:rStyle w:val="Strong"/>
              </w:rPr>
              <w:t>1.2</w:t>
            </w:r>
            <w:r>
              <w:t xml:space="preserve"> </w:t>
            </w:r>
            <w:r w:rsidR="009E0AB1" w:rsidRPr="009E0AB1">
              <w:t>The proportion of conciliations completed within 8 weeks</w:t>
            </w:r>
          </w:p>
        </w:tc>
        <w:tc>
          <w:tcPr>
            <w:tcW w:w="4856" w:type="dxa"/>
            <w:gridSpan w:val="2"/>
          </w:tcPr>
          <w:p w14:paraId="703A1948" w14:textId="6900148D" w:rsidR="00F0370A" w:rsidRDefault="00F0370A" w:rsidP="00256DC5">
            <w:pPr>
              <w:rPr>
                <w:rFonts w:eastAsiaTheme="minorHAnsi" w:cstheme="minorBidi"/>
              </w:rPr>
            </w:pPr>
            <w:r w:rsidRPr="008E7661">
              <w:rPr>
                <w:rStyle w:val="Strong"/>
              </w:rPr>
              <w:t>1.3</w:t>
            </w:r>
            <w:r>
              <w:t xml:space="preserve"> </w:t>
            </w:r>
            <w:r w:rsidR="009E0AB1" w:rsidRPr="009E0AB1">
              <w:t>The proportion of disputes resolved within 6 months</w:t>
            </w:r>
          </w:p>
        </w:tc>
      </w:tr>
      <w:tr w:rsidR="00F0370A" w14:paraId="06A0564F" w14:textId="77777777" w:rsidTr="00CF1E5A">
        <w:tc>
          <w:tcPr>
            <w:tcW w:w="14567" w:type="dxa"/>
            <w:gridSpan w:val="6"/>
            <w:shd w:val="clear" w:color="auto" w:fill="897719" w:themeFill="accent3"/>
          </w:tcPr>
          <w:p w14:paraId="23FB9C1A" w14:textId="77777777" w:rsidR="00F0370A" w:rsidRPr="0061288F" w:rsidRDefault="00F0370A" w:rsidP="00256DC5">
            <w:pPr>
              <w:jc w:val="center"/>
              <w:rPr>
                <w:rStyle w:val="Strong"/>
              </w:rPr>
            </w:pPr>
            <w:r w:rsidRPr="0061288F">
              <w:rPr>
                <w:rStyle w:val="Strong"/>
              </w:rPr>
              <w:t>Agency Services</w:t>
            </w:r>
          </w:p>
        </w:tc>
      </w:tr>
      <w:tr w:rsidR="00F0370A" w:rsidRPr="006625B9" w14:paraId="08D3A341" w14:textId="77777777" w:rsidTr="00CF1E5A">
        <w:trPr>
          <w:trHeight w:val="702"/>
        </w:trPr>
        <w:tc>
          <w:tcPr>
            <w:tcW w:w="7196" w:type="dxa"/>
            <w:gridSpan w:val="3"/>
          </w:tcPr>
          <w:p w14:paraId="64287B6B" w14:textId="77777777" w:rsidR="009E0AB1" w:rsidRPr="009E0AB1" w:rsidRDefault="00F0370A" w:rsidP="00A16123">
            <w:pPr>
              <w:pStyle w:val="ListParagraph"/>
              <w:numPr>
                <w:ilvl w:val="0"/>
                <w:numId w:val="14"/>
              </w:numPr>
            </w:pPr>
            <w:r w:rsidRPr="009E0AB1">
              <w:rPr>
                <w:b/>
              </w:rPr>
              <w:t>Scheme Regulation</w:t>
            </w:r>
            <w:r w:rsidRPr="00586B11">
              <w:t xml:space="preserve"> </w:t>
            </w:r>
            <w:r w:rsidR="009E0AB1" w:rsidRPr="009E0AB1">
              <w:t>(regulation of workers’ compensation scheme participants for compliance with legislative requirements)</w:t>
            </w:r>
          </w:p>
          <w:p w14:paraId="501BC567" w14:textId="145A3824" w:rsidR="00F0370A" w:rsidRPr="00821179" w:rsidRDefault="00F0370A" w:rsidP="00380F61">
            <w:pPr>
              <w:pStyle w:val="ListParagraph"/>
            </w:pPr>
          </w:p>
        </w:tc>
        <w:tc>
          <w:tcPr>
            <w:tcW w:w="7371" w:type="dxa"/>
            <w:gridSpan w:val="3"/>
          </w:tcPr>
          <w:p w14:paraId="5470DCCE" w14:textId="3D02A122" w:rsidR="00F0370A" w:rsidRPr="00B80E10" w:rsidRDefault="00F0370A" w:rsidP="00A16123">
            <w:pPr>
              <w:pStyle w:val="ListParagraph"/>
              <w:numPr>
                <w:ilvl w:val="0"/>
                <w:numId w:val="14"/>
              </w:numPr>
            </w:pPr>
            <w:r w:rsidRPr="008E7661">
              <w:rPr>
                <w:b/>
              </w:rPr>
              <w:t>Scheme Services</w:t>
            </w:r>
            <w:r w:rsidRPr="00B80E10">
              <w:t xml:space="preserve"> </w:t>
            </w:r>
            <w:r w:rsidR="009E0AB1" w:rsidRPr="009E0AB1">
              <w:t>(provision of effective and equitable dispute resolution and other services to scheme participants)</w:t>
            </w:r>
          </w:p>
        </w:tc>
      </w:tr>
      <w:tr w:rsidR="00F0370A" w14:paraId="136DB5C9" w14:textId="77777777" w:rsidTr="00CF1E5A">
        <w:tc>
          <w:tcPr>
            <w:tcW w:w="14567" w:type="dxa"/>
            <w:gridSpan w:val="6"/>
            <w:shd w:val="clear" w:color="auto" w:fill="F5EDC1" w:themeFill="accent4"/>
          </w:tcPr>
          <w:p w14:paraId="3A2AB4FA" w14:textId="77777777" w:rsidR="00F0370A" w:rsidRPr="0061288F" w:rsidRDefault="00F0370A" w:rsidP="00256DC5">
            <w:pPr>
              <w:jc w:val="center"/>
              <w:rPr>
                <w:rStyle w:val="Strong"/>
              </w:rPr>
            </w:pPr>
            <w:r w:rsidRPr="0061288F">
              <w:rPr>
                <w:rStyle w:val="Strong"/>
              </w:rPr>
              <w:t>Efficiency Indicators</w:t>
            </w:r>
          </w:p>
        </w:tc>
      </w:tr>
      <w:tr w:rsidR="00F0370A" w:rsidRPr="00BF2072" w14:paraId="74A81BE5" w14:textId="77777777" w:rsidTr="00CF1E5A">
        <w:trPr>
          <w:trHeight w:val="1445"/>
        </w:trPr>
        <w:tc>
          <w:tcPr>
            <w:tcW w:w="2427" w:type="dxa"/>
          </w:tcPr>
          <w:p w14:paraId="72E3A720" w14:textId="7F3A80D6" w:rsidR="00F0370A" w:rsidRDefault="00F0370A" w:rsidP="00256DC5">
            <w:r w:rsidRPr="006625B9">
              <w:rPr>
                <w:b/>
              </w:rPr>
              <w:t>1.1</w:t>
            </w:r>
            <w:r>
              <w:t xml:space="preserve"> </w:t>
            </w:r>
            <w:r w:rsidR="009E0AB1" w:rsidRPr="009E0AB1">
              <w:t>Average cost per employer compliance activity</w:t>
            </w:r>
          </w:p>
        </w:tc>
        <w:tc>
          <w:tcPr>
            <w:tcW w:w="2428" w:type="dxa"/>
          </w:tcPr>
          <w:p w14:paraId="228F5EED" w14:textId="0F999E92" w:rsidR="00F0370A" w:rsidRDefault="00F0370A" w:rsidP="00256DC5">
            <w:r w:rsidRPr="006625B9">
              <w:rPr>
                <w:b/>
              </w:rPr>
              <w:t>1.2</w:t>
            </w:r>
            <w:r>
              <w:t xml:space="preserve"> </w:t>
            </w:r>
            <w:r w:rsidR="009E0AB1" w:rsidRPr="009E0AB1">
              <w:t>Average cost  per approved and monitored service provider</w:t>
            </w:r>
          </w:p>
        </w:tc>
        <w:tc>
          <w:tcPr>
            <w:tcW w:w="2341" w:type="dxa"/>
          </w:tcPr>
          <w:p w14:paraId="71397DF1" w14:textId="0F3A9BD3" w:rsidR="00F0370A" w:rsidRDefault="00F0370A" w:rsidP="00256DC5">
            <w:r w:rsidRPr="006625B9">
              <w:rPr>
                <w:b/>
              </w:rPr>
              <w:t>1.3</w:t>
            </w:r>
            <w:r>
              <w:t xml:space="preserve"> </w:t>
            </w:r>
            <w:r w:rsidR="009E0AB1" w:rsidRPr="009E0AB1">
              <w:t>Average cost per client contact to provide information and advice</w:t>
            </w:r>
          </w:p>
        </w:tc>
        <w:tc>
          <w:tcPr>
            <w:tcW w:w="2515" w:type="dxa"/>
          </w:tcPr>
          <w:p w14:paraId="45A16A35" w14:textId="4441EAAB" w:rsidR="00F0370A" w:rsidRPr="00BF2072" w:rsidRDefault="00F0370A" w:rsidP="00256DC5">
            <w:r w:rsidRPr="006625B9">
              <w:rPr>
                <w:b/>
              </w:rPr>
              <w:t>2.1</w:t>
            </w:r>
            <w:r>
              <w:t xml:space="preserve"> </w:t>
            </w:r>
            <w:r w:rsidR="009E0AB1" w:rsidRPr="009E0AB1">
              <w:t>Average cost to complete a conciliation</w:t>
            </w:r>
          </w:p>
        </w:tc>
        <w:tc>
          <w:tcPr>
            <w:tcW w:w="2428" w:type="dxa"/>
          </w:tcPr>
          <w:p w14:paraId="5C743D35" w14:textId="78F9BDDC" w:rsidR="00F0370A" w:rsidRPr="00BF2072" w:rsidRDefault="00F0370A" w:rsidP="00256DC5">
            <w:r w:rsidRPr="006625B9">
              <w:rPr>
                <w:b/>
              </w:rPr>
              <w:t>2.2</w:t>
            </w:r>
            <w:r>
              <w:t xml:space="preserve"> </w:t>
            </w:r>
            <w:r w:rsidR="009E0AB1" w:rsidRPr="009E0AB1">
              <w:t>Average cost to complete an arbitration</w:t>
            </w:r>
          </w:p>
        </w:tc>
        <w:tc>
          <w:tcPr>
            <w:tcW w:w="2428" w:type="dxa"/>
          </w:tcPr>
          <w:p w14:paraId="725CFECE" w14:textId="18AB4631" w:rsidR="00F0370A" w:rsidRPr="00BF2072" w:rsidRDefault="00F0370A" w:rsidP="00256DC5">
            <w:r w:rsidRPr="006625B9">
              <w:rPr>
                <w:b/>
              </w:rPr>
              <w:t>2.3</w:t>
            </w:r>
            <w:r>
              <w:t xml:space="preserve"> </w:t>
            </w:r>
            <w:r w:rsidR="009E0AB1" w:rsidRPr="009E0AB1">
              <w:t>Average cost to process a Memorandum of Agreement</w:t>
            </w:r>
          </w:p>
        </w:tc>
      </w:tr>
    </w:tbl>
    <w:p w14:paraId="70431228" w14:textId="114AE8CC" w:rsidR="00F0370A" w:rsidRDefault="00F0370A" w:rsidP="00F0370A">
      <w:pPr>
        <w:sectPr w:rsidR="00F0370A" w:rsidSect="00685A0F">
          <w:headerReference w:type="first" r:id="rId33"/>
          <w:pgSz w:w="16838" w:h="11906" w:orient="landscape" w:code="9"/>
          <w:pgMar w:top="1440" w:right="1440" w:bottom="1440" w:left="1440" w:header="709" w:footer="0" w:gutter="0"/>
          <w:cols w:space="708"/>
          <w:titlePg/>
          <w:docGrid w:linePitch="360"/>
        </w:sectPr>
      </w:pPr>
    </w:p>
    <w:p w14:paraId="60222696" w14:textId="53D2E363" w:rsidR="002E3897" w:rsidRPr="00223F12" w:rsidRDefault="00CD3AB0" w:rsidP="008E7661">
      <w:pPr>
        <w:pStyle w:val="Heading2nonumber"/>
      </w:pPr>
      <w:bookmarkStart w:id="587" w:name="_Toc392690097"/>
      <w:bookmarkStart w:id="588" w:name="_Toc392690160"/>
      <w:bookmarkStart w:id="589" w:name="_Toc426617610"/>
      <w:bookmarkStart w:id="590" w:name="_Toc430091341"/>
      <w:r w:rsidRPr="00CD3AB0">
        <w:rPr>
          <w:rFonts w:eastAsia="Calibri"/>
        </w:rPr>
        <w:lastRenderedPageBreak/>
        <w:t>Summary of Key Performance Indicators</w:t>
      </w:r>
      <w:bookmarkEnd w:id="587"/>
      <w:bookmarkEnd w:id="588"/>
      <w:bookmarkEnd w:id="589"/>
      <w:bookmarkEnd w:id="590"/>
    </w:p>
    <w:tbl>
      <w:tblPr>
        <w:tblW w:w="10910" w:type="dxa"/>
        <w:jc w:val="center"/>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Caption w:val="Table 46 Key Performance Indicators of Effectiveness"/>
      </w:tblPr>
      <w:tblGrid>
        <w:gridCol w:w="626"/>
        <w:gridCol w:w="83"/>
        <w:gridCol w:w="2745"/>
        <w:gridCol w:w="197"/>
        <w:gridCol w:w="425"/>
        <w:gridCol w:w="623"/>
        <w:gridCol w:w="511"/>
        <w:gridCol w:w="734"/>
        <w:gridCol w:w="400"/>
        <w:gridCol w:w="876"/>
        <w:gridCol w:w="258"/>
        <w:gridCol w:w="1018"/>
        <w:gridCol w:w="116"/>
        <w:gridCol w:w="1134"/>
        <w:gridCol w:w="25"/>
        <w:gridCol w:w="1109"/>
        <w:gridCol w:w="30"/>
      </w:tblGrid>
      <w:tr w:rsidR="00380F61" w:rsidRPr="00CD3AB0" w14:paraId="2B03ED8E" w14:textId="77777777" w:rsidTr="002D35F8">
        <w:trPr>
          <w:trHeight w:val="567"/>
          <w:jc w:val="center"/>
        </w:trPr>
        <w:tc>
          <w:tcPr>
            <w:tcW w:w="10910" w:type="dxa"/>
            <w:gridSpan w:val="17"/>
            <w:shd w:val="clear" w:color="auto" w:fill="3D5C57" w:themeFill="accent1"/>
          </w:tcPr>
          <w:p w14:paraId="2D0B713D" w14:textId="1AB2BD58" w:rsidR="00380F61" w:rsidRPr="00980693" w:rsidRDefault="00380F61" w:rsidP="009E75E3">
            <w:pPr>
              <w:keepLines w:val="0"/>
              <w:spacing w:after="0" w:line="240" w:lineRule="auto"/>
              <w:rPr>
                <w:rStyle w:val="Strong"/>
                <w:rFonts w:eastAsia="Calibri"/>
                <w:color w:val="FFFFFF" w:themeColor="background1"/>
              </w:rPr>
            </w:pPr>
            <w:r w:rsidRPr="00980693">
              <w:rPr>
                <w:rStyle w:val="Strong"/>
                <w:color w:val="FFFFFF" w:themeColor="background1"/>
              </w:rPr>
              <w:t xml:space="preserve">Table </w:t>
            </w:r>
            <w:r>
              <w:rPr>
                <w:rStyle w:val="Strong"/>
                <w:color w:val="FFFFFF" w:themeColor="background1"/>
              </w:rPr>
              <w:t>4</w:t>
            </w:r>
            <w:r w:rsidR="009E75E3">
              <w:rPr>
                <w:rStyle w:val="Strong"/>
                <w:color w:val="FFFFFF" w:themeColor="background1"/>
              </w:rPr>
              <w:t>6</w:t>
            </w:r>
            <w:r w:rsidRPr="00980693">
              <w:rPr>
                <w:rStyle w:val="Strong"/>
                <w:color w:val="FFFFFF" w:themeColor="background1"/>
              </w:rPr>
              <w:t>: Key Performance Indicators of Effectiveness</w:t>
            </w:r>
          </w:p>
        </w:tc>
      </w:tr>
      <w:tr w:rsidR="009E0AB1" w:rsidRPr="00CD3AB0" w14:paraId="4BBA6651" w14:textId="77777777" w:rsidTr="002D35F8">
        <w:trPr>
          <w:gridAfter w:val="1"/>
          <w:wAfter w:w="30" w:type="dxa"/>
          <w:trHeight w:val="567"/>
          <w:jc w:val="center"/>
        </w:trPr>
        <w:tc>
          <w:tcPr>
            <w:tcW w:w="626" w:type="dxa"/>
            <w:shd w:val="clear" w:color="auto" w:fill="D4E2E0" w:themeFill="accent5"/>
          </w:tcPr>
          <w:p w14:paraId="55A36210" w14:textId="11A63E9B" w:rsidR="009E0AB1" w:rsidRPr="0061288F" w:rsidRDefault="009E0AB1" w:rsidP="00CD3AB0">
            <w:pPr>
              <w:keepLines w:val="0"/>
              <w:spacing w:before="120" w:after="120" w:line="240" w:lineRule="auto"/>
              <w:rPr>
                <w:rFonts w:eastAsia="Calibri" w:cs="Arial"/>
                <w:b/>
                <w:bCs/>
              </w:rPr>
            </w:pPr>
            <w:r>
              <w:rPr>
                <w:rFonts w:eastAsia="Calibri" w:cs="Arial"/>
                <w:b/>
                <w:bCs/>
              </w:rPr>
              <w:t>#</w:t>
            </w:r>
          </w:p>
        </w:tc>
        <w:tc>
          <w:tcPr>
            <w:tcW w:w="3025" w:type="dxa"/>
            <w:gridSpan w:val="3"/>
            <w:shd w:val="clear" w:color="auto" w:fill="D4E2E0" w:themeFill="accent5"/>
            <w:vAlign w:val="center"/>
          </w:tcPr>
          <w:p w14:paraId="0CC7CEE4" w14:textId="25515549" w:rsidR="009E0AB1" w:rsidRPr="0061288F" w:rsidRDefault="009E0AB1" w:rsidP="00CD3AB0">
            <w:pPr>
              <w:keepLines w:val="0"/>
              <w:spacing w:before="120" w:after="120" w:line="240" w:lineRule="auto"/>
              <w:rPr>
                <w:rFonts w:eastAsia="Calibri" w:cs="Arial"/>
                <w:b/>
                <w:bCs/>
              </w:rPr>
            </w:pPr>
            <w:r w:rsidRPr="0061288F">
              <w:rPr>
                <w:rFonts w:eastAsia="Calibri" w:cs="Arial"/>
                <w:b/>
                <w:bCs/>
              </w:rPr>
              <w:t>Indic</w:t>
            </w:r>
            <w:r>
              <w:rPr>
                <w:rFonts w:eastAsia="Calibri" w:cs="Arial"/>
                <w:b/>
                <w:bCs/>
              </w:rPr>
              <w:t>ator</w:t>
            </w:r>
          </w:p>
        </w:tc>
        <w:tc>
          <w:tcPr>
            <w:tcW w:w="425" w:type="dxa"/>
            <w:shd w:val="clear" w:color="auto" w:fill="D4E2E0" w:themeFill="accent5"/>
            <w:vAlign w:val="center"/>
            <w:hideMark/>
          </w:tcPr>
          <w:p w14:paraId="2E23C4D8" w14:textId="6582A430" w:rsidR="009E0AB1" w:rsidRPr="0061288F" w:rsidRDefault="009E0AB1" w:rsidP="00CD3AB0">
            <w:pPr>
              <w:keepLines w:val="0"/>
              <w:spacing w:after="0" w:line="240" w:lineRule="auto"/>
              <w:jc w:val="center"/>
              <w:rPr>
                <w:rFonts w:eastAsia="Calibri" w:cs="Arial"/>
                <w:b/>
                <w:bCs/>
              </w:rPr>
            </w:pPr>
          </w:p>
        </w:tc>
        <w:tc>
          <w:tcPr>
            <w:tcW w:w="1134" w:type="dxa"/>
            <w:gridSpan w:val="2"/>
            <w:shd w:val="clear" w:color="auto" w:fill="D4E2E0" w:themeFill="accent5"/>
          </w:tcPr>
          <w:p w14:paraId="6B73D7EE" w14:textId="77777777" w:rsidR="009E0AB1" w:rsidRPr="009E0AB1" w:rsidRDefault="009E0AB1" w:rsidP="009E0AB1">
            <w:pPr>
              <w:keepLines w:val="0"/>
              <w:spacing w:after="0" w:line="240" w:lineRule="auto"/>
              <w:jc w:val="center"/>
              <w:rPr>
                <w:rFonts w:eastAsia="Calibri" w:cs="Arial"/>
                <w:b/>
                <w:bCs/>
              </w:rPr>
            </w:pPr>
            <w:r w:rsidRPr="009E0AB1">
              <w:rPr>
                <w:rFonts w:eastAsia="Calibri" w:cs="Arial"/>
                <w:b/>
                <w:bCs/>
              </w:rPr>
              <w:t>2010/11</w:t>
            </w:r>
          </w:p>
          <w:p w14:paraId="1885FC38" w14:textId="562FB7CD" w:rsidR="009E0AB1" w:rsidRPr="0061288F" w:rsidRDefault="009E0AB1" w:rsidP="009E0AB1">
            <w:pPr>
              <w:keepLines w:val="0"/>
              <w:spacing w:after="0" w:line="240" w:lineRule="auto"/>
              <w:jc w:val="center"/>
              <w:rPr>
                <w:rFonts w:eastAsia="Calibri" w:cs="Arial"/>
                <w:b/>
                <w:bCs/>
              </w:rPr>
            </w:pPr>
            <w:r w:rsidRPr="009E0AB1">
              <w:rPr>
                <w:rFonts w:eastAsia="Calibri" w:cs="Arial"/>
                <w:b/>
                <w:bCs/>
              </w:rPr>
              <w:t>Actual</w:t>
            </w:r>
          </w:p>
        </w:tc>
        <w:tc>
          <w:tcPr>
            <w:tcW w:w="1134" w:type="dxa"/>
            <w:gridSpan w:val="2"/>
            <w:shd w:val="clear" w:color="auto" w:fill="D4E2E0" w:themeFill="accent5"/>
            <w:vAlign w:val="center"/>
          </w:tcPr>
          <w:p w14:paraId="2D436D22" w14:textId="644DD234" w:rsidR="009E0AB1" w:rsidRPr="0061288F" w:rsidRDefault="009E0AB1" w:rsidP="00CD3AB0">
            <w:pPr>
              <w:keepLines w:val="0"/>
              <w:spacing w:after="0" w:line="240" w:lineRule="auto"/>
              <w:jc w:val="center"/>
              <w:rPr>
                <w:rFonts w:eastAsia="Calibri" w:cs="Arial"/>
                <w:b/>
                <w:bCs/>
              </w:rPr>
            </w:pPr>
            <w:r w:rsidRPr="0061288F">
              <w:rPr>
                <w:rFonts w:eastAsia="Calibri" w:cs="Arial"/>
                <w:b/>
                <w:bCs/>
              </w:rPr>
              <w:t>2011/12</w:t>
            </w:r>
          </w:p>
          <w:p w14:paraId="0EBE82F4" w14:textId="77777777" w:rsidR="009E0AB1" w:rsidRPr="0061288F" w:rsidRDefault="009E0AB1" w:rsidP="00CD3AB0">
            <w:pPr>
              <w:keepLines w:val="0"/>
              <w:spacing w:after="0" w:line="240" w:lineRule="auto"/>
              <w:jc w:val="center"/>
              <w:rPr>
                <w:rFonts w:eastAsia="Calibri" w:cs="Arial"/>
                <w:b/>
                <w:bCs/>
              </w:rPr>
            </w:pPr>
            <w:r w:rsidRPr="0061288F">
              <w:rPr>
                <w:rFonts w:eastAsia="Calibri" w:cs="Arial"/>
                <w:b/>
                <w:bCs/>
              </w:rPr>
              <w:t>Actual</w:t>
            </w:r>
          </w:p>
        </w:tc>
        <w:tc>
          <w:tcPr>
            <w:tcW w:w="1134" w:type="dxa"/>
            <w:gridSpan w:val="2"/>
            <w:shd w:val="clear" w:color="auto" w:fill="D4E2E0" w:themeFill="accent5"/>
            <w:vAlign w:val="center"/>
          </w:tcPr>
          <w:p w14:paraId="3DB276B3" w14:textId="77777777" w:rsidR="009E0AB1" w:rsidRPr="0061288F" w:rsidRDefault="009E0AB1" w:rsidP="00CD3AB0">
            <w:pPr>
              <w:keepLines w:val="0"/>
              <w:spacing w:after="0" w:line="240" w:lineRule="auto"/>
              <w:jc w:val="center"/>
              <w:rPr>
                <w:rFonts w:eastAsia="Calibri" w:cs="Arial"/>
                <w:b/>
                <w:bCs/>
              </w:rPr>
            </w:pPr>
            <w:r w:rsidRPr="0061288F">
              <w:rPr>
                <w:rFonts w:eastAsia="Calibri" w:cs="Arial"/>
                <w:b/>
                <w:bCs/>
              </w:rPr>
              <w:t>2012/13 Actual</w:t>
            </w:r>
          </w:p>
        </w:tc>
        <w:tc>
          <w:tcPr>
            <w:tcW w:w="1134" w:type="dxa"/>
            <w:gridSpan w:val="2"/>
            <w:shd w:val="clear" w:color="auto" w:fill="D4E2E0" w:themeFill="accent5"/>
            <w:vAlign w:val="center"/>
            <w:hideMark/>
          </w:tcPr>
          <w:p w14:paraId="02808361" w14:textId="77777777" w:rsidR="009E0AB1" w:rsidRPr="0061288F" w:rsidRDefault="009E0AB1" w:rsidP="00CD3AB0">
            <w:pPr>
              <w:keepLines w:val="0"/>
              <w:spacing w:after="0" w:line="240" w:lineRule="auto"/>
              <w:jc w:val="center"/>
              <w:rPr>
                <w:rFonts w:eastAsia="Calibri" w:cs="Arial"/>
                <w:b/>
                <w:bCs/>
              </w:rPr>
            </w:pPr>
            <w:r w:rsidRPr="0061288F">
              <w:rPr>
                <w:rFonts w:eastAsia="Calibri" w:cs="Arial"/>
                <w:b/>
                <w:bCs/>
              </w:rPr>
              <w:t xml:space="preserve">2013/14 </w:t>
            </w:r>
          </w:p>
          <w:p w14:paraId="173CC541" w14:textId="77777777" w:rsidR="009E0AB1" w:rsidRPr="0061288F" w:rsidRDefault="009E0AB1" w:rsidP="00CD3AB0">
            <w:pPr>
              <w:keepLines w:val="0"/>
              <w:spacing w:after="0" w:line="240" w:lineRule="auto"/>
              <w:jc w:val="center"/>
              <w:rPr>
                <w:rFonts w:eastAsia="Calibri" w:cs="Arial"/>
                <w:b/>
                <w:bCs/>
              </w:rPr>
            </w:pPr>
            <w:r w:rsidRPr="0061288F">
              <w:rPr>
                <w:rFonts w:eastAsia="Calibri" w:cs="Arial"/>
                <w:b/>
                <w:bCs/>
              </w:rPr>
              <w:t xml:space="preserve">Actual </w:t>
            </w:r>
          </w:p>
        </w:tc>
        <w:tc>
          <w:tcPr>
            <w:tcW w:w="1134" w:type="dxa"/>
            <w:shd w:val="clear" w:color="auto" w:fill="D4E2E0" w:themeFill="accent5"/>
            <w:vAlign w:val="center"/>
            <w:hideMark/>
          </w:tcPr>
          <w:p w14:paraId="11681E1E" w14:textId="77777777" w:rsidR="009E0AB1" w:rsidRPr="0061288F" w:rsidRDefault="009E0AB1" w:rsidP="00CD3AB0">
            <w:pPr>
              <w:keepLines w:val="0"/>
              <w:spacing w:after="0" w:line="240" w:lineRule="auto"/>
              <w:jc w:val="center"/>
              <w:rPr>
                <w:rFonts w:eastAsia="Calibri" w:cs="Arial"/>
                <w:b/>
                <w:bCs/>
              </w:rPr>
            </w:pPr>
            <w:r w:rsidRPr="0061288F">
              <w:rPr>
                <w:rFonts w:eastAsia="Calibri" w:cs="Arial"/>
                <w:b/>
                <w:bCs/>
                <w:sz w:val="22"/>
                <w:szCs w:val="22"/>
              </w:rPr>
              <w:t>2014/15</w:t>
            </w:r>
          </w:p>
          <w:p w14:paraId="625824A9" w14:textId="509E8460" w:rsidR="009E0AB1" w:rsidRPr="0061288F" w:rsidRDefault="009E0AB1" w:rsidP="00CD3AB0">
            <w:pPr>
              <w:keepLines w:val="0"/>
              <w:spacing w:after="0" w:line="240" w:lineRule="auto"/>
              <w:jc w:val="center"/>
              <w:rPr>
                <w:rFonts w:eastAsia="Calibri" w:cs="Arial"/>
                <w:b/>
                <w:bCs/>
              </w:rPr>
            </w:pPr>
            <w:r>
              <w:rPr>
                <w:rFonts w:eastAsia="Calibri" w:cs="Arial"/>
                <w:b/>
                <w:bCs/>
                <w:sz w:val="22"/>
                <w:szCs w:val="22"/>
              </w:rPr>
              <w:t>Actual</w:t>
            </w:r>
            <w:r w:rsidRPr="0061288F">
              <w:rPr>
                <w:rFonts w:eastAsia="Calibri" w:cs="Arial"/>
                <w:b/>
                <w:bCs/>
                <w:sz w:val="22"/>
                <w:szCs w:val="22"/>
              </w:rPr>
              <w:t xml:space="preserve"> </w:t>
            </w:r>
          </w:p>
        </w:tc>
        <w:tc>
          <w:tcPr>
            <w:tcW w:w="1134" w:type="dxa"/>
            <w:gridSpan w:val="2"/>
            <w:shd w:val="clear" w:color="auto" w:fill="D4E2E0" w:themeFill="accent5"/>
            <w:vAlign w:val="center"/>
            <w:hideMark/>
          </w:tcPr>
          <w:p w14:paraId="6A835756" w14:textId="77777777" w:rsidR="009E0AB1" w:rsidRPr="0061288F" w:rsidRDefault="009E0AB1" w:rsidP="00CD3AB0">
            <w:pPr>
              <w:keepLines w:val="0"/>
              <w:spacing w:after="0" w:line="240" w:lineRule="auto"/>
              <w:jc w:val="center"/>
              <w:rPr>
                <w:rFonts w:eastAsia="Calibri" w:cs="Arial"/>
                <w:b/>
                <w:bCs/>
              </w:rPr>
            </w:pPr>
            <w:r w:rsidRPr="0061288F">
              <w:rPr>
                <w:rFonts w:eastAsia="Calibri" w:cs="Arial"/>
                <w:b/>
                <w:bCs/>
              </w:rPr>
              <w:t>2014/15 Target</w:t>
            </w:r>
          </w:p>
        </w:tc>
      </w:tr>
      <w:tr w:rsidR="009E0AB1" w:rsidRPr="00CD3AB0" w14:paraId="0B19BF6D" w14:textId="77777777" w:rsidTr="002D35F8">
        <w:trPr>
          <w:gridAfter w:val="1"/>
          <w:wAfter w:w="30" w:type="dxa"/>
          <w:trHeight w:val="567"/>
          <w:jc w:val="center"/>
        </w:trPr>
        <w:tc>
          <w:tcPr>
            <w:tcW w:w="626" w:type="dxa"/>
            <w:shd w:val="clear" w:color="auto" w:fill="D4E2E0" w:themeFill="accent5"/>
          </w:tcPr>
          <w:p w14:paraId="31CD7DC0" w14:textId="4B1B0857" w:rsidR="009E0AB1" w:rsidRPr="00CD3AB0" w:rsidRDefault="009E0AB1" w:rsidP="009E0AB1">
            <w:pPr>
              <w:rPr>
                <w:rFonts w:eastAsia="Calibri"/>
                <w:b/>
              </w:rPr>
            </w:pPr>
            <w:r w:rsidRPr="00CD3AB0">
              <w:rPr>
                <w:rFonts w:eastAsia="Calibri"/>
                <w:b/>
              </w:rPr>
              <w:t>1.1</w:t>
            </w:r>
          </w:p>
        </w:tc>
        <w:tc>
          <w:tcPr>
            <w:tcW w:w="3450" w:type="dxa"/>
            <w:gridSpan w:val="4"/>
            <w:vAlign w:val="center"/>
            <w:hideMark/>
          </w:tcPr>
          <w:p w14:paraId="5718CD96" w14:textId="037084BE" w:rsidR="009E0AB1" w:rsidRPr="00CD3AB0" w:rsidRDefault="009E0AB1" w:rsidP="009E0AB1">
            <w:pPr>
              <w:rPr>
                <w:rFonts w:eastAsia="Calibri"/>
              </w:rPr>
            </w:pPr>
            <w:r w:rsidRPr="00CD3AB0">
              <w:rPr>
                <w:rFonts w:eastAsia="Calibri"/>
              </w:rPr>
              <w:t>The number of non-compliance events identified as a result of a claim on the General Account</w:t>
            </w:r>
          </w:p>
        </w:tc>
        <w:tc>
          <w:tcPr>
            <w:tcW w:w="1134" w:type="dxa"/>
            <w:gridSpan w:val="2"/>
          </w:tcPr>
          <w:p w14:paraId="46448104" w14:textId="22874F30" w:rsidR="009E0AB1" w:rsidRPr="00CD3AB0" w:rsidRDefault="009E0AB1" w:rsidP="009E0AB1">
            <w:pPr>
              <w:rPr>
                <w:rFonts w:eastAsia="Calibri"/>
              </w:rPr>
            </w:pPr>
            <w:r w:rsidRPr="00A82BEA">
              <w:t>6</w:t>
            </w:r>
          </w:p>
        </w:tc>
        <w:tc>
          <w:tcPr>
            <w:tcW w:w="1134" w:type="dxa"/>
            <w:gridSpan w:val="2"/>
          </w:tcPr>
          <w:p w14:paraId="6D93E289" w14:textId="5BA311B5" w:rsidR="009E0AB1" w:rsidRPr="00CD3AB0" w:rsidRDefault="009E0AB1" w:rsidP="009E0AB1">
            <w:pPr>
              <w:rPr>
                <w:rFonts w:eastAsia="Calibri"/>
              </w:rPr>
            </w:pPr>
            <w:r w:rsidRPr="00A82BEA">
              <w:t>5</w:t>
            </w:r>
          </w:p>
        </w:tc>
        <w:tc>
          <w:tcPr>
            <w:tcW w:w="1134" w:type="dxa"/>
            <w:gridSpan w:val="2"/>
          </w:tcPr>
          <w:p w14:paraId="5D6682F3" w14:textId="6FE0881C" w:rsidR="009E0AB1" w:rsidRPr="00CD3AB0" w:rsidRDefault="009E0AB1" w:rsidP="009E0AB1">
            <w:pPr>
              <w:rPr>
                <w:rFonts w:eastAsia="Calibri"/>
              </w:rPr>
            </w:pPr>
            <w:r w:rsidRPr="00A82BEA">
              <w:t>3</w:t>
            </w:r>
          </w:p>
        </w:tc>
        <w:tc>
          <w:tcPr>
            <w:tcW w:w="1134" w:type="dxa"/>
            <w:gridSpan w:val="2"/>
            <w:hideMark/>
          </w:tcPr>
          <w:p w14:paraId="40BA94BF" w14:textId="0E264CE8" w:rsidR="009E0AB1" w:rsidRPr="00CD3AB0" w:rsidRDefault="009E0AB1" w:rsidP="009E0AB1">
            <w:pPr>
              <w:rPr>
                <w:rFonts w:eastAsia="Calibri"/>
                <w:highlight w:val="yellow"/>
              </w:rPr>
            </w:pPr>
            <w:r w:rsidRPr="00A82BEA">
              <w:t>4</w:t>
            </w:r>
          </w:p>
        </w:tc>
        <w:tc>
          <w:tcPr>
            <w:tcW w:w="1134" w:type="dxa"/>
            <w:shd w:val="clear" w:color="auto" w:fill="EAE2B9"/>
            <w:hideMark/>
          </w:tcPr>
          <w:p w14:paraId="50E92F83" w14:textId="1D0EED59" w:rsidR="009E0AB1" w:rsidRPr="00CD3AB0" w:rsidRDefault="009E0AB1" w:rsidP="009E0AB1">
            <w:pPr>
              <w:rPr>
                <w:rFonts w:eastAsia="Calibri"/>
                <w:highlight w:val="yellow"/>
              </w:rPr>
            </w:pPr>
            <w:r w:rsidRPr="00A82BEA">
              <w:t>3</w:t>
            </w:r>
          </w:p>
        </w:tc>
        <w:tc>
          <w:tcPr>
            <w:tcW w:w="1134" w:type="dxa"/>
            <w:gridSpan w:val="2"/>
            <w:shd w:val="clear" w:color="auto" w:fill="D4E2E0" w:themeFill="accent5"/>
            <w:hideMark/>
          </w:tcPr>
          <w:p w14:paraId="1CD0A369" w14:textId="7E59BACF" w:rsidR="009E0AB1" w:rsidRPr="00CD3AB0" w:rsidRDefault="009E0AB1" w:rsidP="009E0AB1">
            <w:pPr>
              <w:rPr>
                <w:rFonts w:eastAsia="Calibri"/>
              </w:rPr>
            </w:pPr>
            <w:r w:rsidRPr="00A82BEA">
              <w:t>8</w:t>
            </w:r>
          </w:p>
        </w:tc>
      </w:tr>
      <w:tr w:rsidR="00421A61" w:rsidRPr="00CD3AB0" w14:paraId="0486CF34" w14:textId="77777777" w:rsidTr="002D35F8">
        <w:trPr>
          <w:gridAfter w:val="1"/>
          <w:wAfter w:w="30" w:type="dxa"/>
          <w:trHeight w:val="567"/>
          <w:jc w:val="center"/>
        </w:trPr>
        <w:tc>
          <w:tcPr>
            <w:tcW w:w="626" w:type="dxa"/>
            <w:shd w:val="clear" w:color="auto" w:fill="D4E2E0" w:themeFill="accent5"/>
          </w:tcPr>
          <w:p w14:paraId="3662FE39" w14:textId="372EBE60" w:rsidR="00421A61" w:rsidRPr="00CD3AB0" w:rsidRDefault="00421A61" w:rsidP="00421A61">
            <w:pPr>
              <w:rPr>
                <w:rFonts w:eastAsia="Calibri"/>
                <w:b/>
              </w:rPr>
            </w:pPr>
            <w:r w:rsidRPr="00CD3AB0">
              <w:rPr>
                <w:rFonts w:eastAsia="Calibri"/>
                <w:b/>
              </w:rPr>
              <w:t>1.2</w:t>
            </w:r>
          </w:p>
        </w:tc>
        <w:tc>
          <w:tcPr>
            <w:tcW w:w="4584" w:type="dxa"/>
            <w:gridSpan w:val="6"/>
            <w:vAlign w:val="center"/>
          </w:tcPr>
          <w:p w14:paraId="6EB0E0C8" w14:textId="454D1563" w:rsidR="00421A61" w:rsidRPr="00CD3AB0" w:rsidRDefault="00421A61" w:rsidP="00421A61">
            <w:pPr>
              <w:rPr>
                <w:rFonts w:eastAsia="Calibri"/>
              </w:rPr>
            </w:pPr>
            <w:r w:rsidRPr="00CD3AB0">
              <w:rPr>
                <w:rFonts w:eastAsia="Calibri"/>
              </w:rPr>
              <w:t xml:space="preserve">The proportion of conciliations completed within 8 weeks </w:t>
            </w:r>
          </w:p>
        </w:tc>
        <w:tc>
          <w:tcPr>
            <w:tcW w:w="1134" w:type="dxa"/>
            <w:gridSpan w:val="2"/>
          </w:tcPr>
          <w:p w14:paraId="7DA7AC85" w14:textId="386FCF5D" w:rsidR="00421A61" w:rsidRPr="00CD3AB0" w:rsidRDefault="00421A61" w:rsidP="00421A61">
            <w:pPr>
              <w:rPr>
                <w:rFonts w:eastAsia="Calibri"/>
              </w:rPr>
            </w:pPr>
            <w:r w:rsidRPr="00972368">
              <w:t>96.7%</w:t>
            </w:r>
          </w:p>
        </w:tc>
        <w:tc>
          <w:tcPr>
            <w:tcW w:w="1134" w:type="dxa"/>
            <w:gridSpan w:val="2"/>
          </w:tcPr>
          <w:p w14:paraId="249267D3" w14:textId="396F4204" w:rsidR="00421A61" w:rsidRPr="00CD3AB0" w:rsidRDefault="00421A61" w:rsidP="00421A61">
            <w:pPr>
              <w:rPr>
                <w:rFonts w:eastAsia="Calibri"/>
                <w:highlight w:val="yellow"/>
              </w:rPr>
            </w:pPr>
            <w:r w:rsidRPr="00972368">
              <w:t>97.8%</w:t>
            </w:r>
          </w:p>
        </w:tc>
        <w:tc>
          <w:tcPr>
            <w:tcW w:w="1134" w:type="dxa"/>
            <w:gridSpan w:val="2"/>
          </w:tcPr>
          <w:p w14:paraId="1FA5C6B9" w14:textId="651C6AB4" w:rsidR="00421A61" w:rsidRPr="00CD3AB0" w:rsidRDefault="00421A61" w:rsidP="00421A61">
            <w:pPr>
              <w:rPr>
                <w:rFonts w:eastAsia="Calibri"/>
              </w:rPr>
            </w:pPr>
            <w:r w:rsidRPr="00972368">
              <w:t>96.8%</w:t>
            </w:r>
          </w:p>
        </w:tc>
        <w:tc>
          <w:tcPr>
            <w:tcW w:w="1134" w:type="dxa"/>
            <w:shd w:val="clear" w:color="auto" w:fill="EAE2B9"/>
          </w:tcPr>
          <w:p w14:paraId="35C55C1B" w14:textId="5A898F64" w:rsidR="00421A61" w:rsidRPr="00CD3AB0" w:rsidRDefault="00421A61" w:rsidP="00421A61">
            <w:pPr>
              <w:rPr>
                <w:rFonts w:eastAsia="Calibri"/>
              </w:rPr>
            </w:pPr>
            <w:r w:rsidRPr="00972368">
              <w:t>96.3%</w:t>
            </w:r>
          </w:p>
        </w:tc>
        <w:tc>
          <w:tcPr>
            <w:tcW w:w="1134" w:type="dxa"/>
            <w:gridSpan w:val="2"/>
            <w:shd w:val="clear" w:color="auto" w:fill="D4E2E0" w:themeFill="accent5"/>
          </w:tcPr>
          <w:p w14:paraId="6F6B5AC9" w14:textId="3AB4D83A" w:rsidR="00421A61" w:rsidRPr="00CD3AB0" w:rsidRDefault="00421A61" w:rsidP="00421A61">
            <w:pPr>
              <w:rPr>
                <w:rFonts w:eastAsia="Calibri"/>
              </w:rPr>
            </w:pPr>
            <w:r>
              <w:t>97</w:t>
            </w:r>
            <w:r w:rsidRPr="00972368">
              <w:t>.0%</w:t>
            </w:r>
          </w:p>
        </w:tc>
      </w:tr>
      <w:tr w:rsidR="00421A61" w:rsidRPr="00CD3AB0" w14:paraId="7C2AF1D2" w14:textId="77777777" w:rsidTr="002D35F8">
        <w:trPr>
          <w:gridAfter w:val="1"/>
          <w:wAfter w:w="30" w:type="dxa"/>
          <w:trHeight w:val="567"/>
          <w:jc w:val="center"/>
        </w:trPr>
        <w:tc>
          <w:tcPr>
            <w:tcW w:w="626" w:type="dxa"/>
            <w:shd w:val="clear" w:color="auto" w:fill="D4E2E0" w:themeFill="accent5"/>
          </w:tcPr>
          <w:p w14:paraId="67E7E695" w14:textId="4FB72811" w:rsidR="00421A61" w:rsidRPr="00CD3AB0" w:rsidRDefault="00421A61" w:rsidP="00421A61">
            <w:pPr>
              <w:rPr>
                <w:rFonts w:eastAsia="Calibri"/>
                <w:b/>
              </w:rPr>
            </w:pPr>
            <w:r w:rsidRPr="00CD3AB0">
              <w:rPr>
                <w:rFonts w:eastAsia="Calibri"/>
                <w:b/>
              </w:rPr>
              <w:t>1.3</w:t>
            </w:r>
          </w:p>
        </w:tc>
        <w:tc>
          <w:tcPr>
            <w:tcW w:w="3450" w:type="dxa"/>
            <w:gridSpan w:val="4"/>
          </w:tcPr>
          <w:p w14:paraId="013FBC96" w14:textId="28B00757" w:rsidR="00421A61" w:rsidRPr="00CD3AB0" w:rsidRDefault="00421A61" w:rsidP="00421A61">
            <w:pPr>
              <w:rPr>
                <w:rFonts w:eastAsia="Calibri"/>
              </w:rPr>
            </w:pPr>
            <w:r w:rsidRPr="00CD3AB0">
              <w:rPr>
                <w:rFonts w:eastAsia="Calibri"/>
              </w:rPr>
              <w:t>The proportion of disputes resolved within 6 months</w:t>
            </w:r>
          </w:p>
        </w:tc>
        <w:tc>
          <w:tcPr>
            <w:tcW w:w="1134" w:type="dxa"/>
            <w:gridSpan w:val="2"/>
          </w:tcPr>
          <w:p w14:paraId="789D6475" w14:textId="4320C396" w:rsidR="00421A61" w:rsidRPr="00CD3AB0" w:rsidRDefault="00421A61" w:rsidP="00421A61">
            <w:pPr>
              <w:rPr>
                <w:rFonts w:eastAsia="Calibri"/>
              </w:rPr>
            </w:pPr>
            <w:r w:rsidRPr="00996F69">
              <w:t>84.9%</w:t>
            </w:r>
          </w:p>
        </w:tc>
        <w:tc>
          <w:tcPr>
            <w:tcW w:w="1134" w:type="dxa"/>
            <w:gridSpan w:val="2"/>
          </w:tcPr>
          <w:p w14:paraId="0532643E" w14:textId="14540D5E" w:rsidR="00421A61" w:rsidRPr="00CD3AB0" w:rsidRDefault="00421A61" w:rsidP="00421A61">
            <w:pPr>
              <w:rPr>
                <w:rFonts w:eastAsia="Calibri"/>
              </w:rPr>
            </w:pPr>
            <w:r w:rsidRPr="00996F69">
              <w:t>86.8%</w:t>
            </w:r>
          </w:p>
        </w:tc>
        <w:tc>
          <w:tcPr>
            <w:tcW w:w="1134" w:type="dxa"/>
            <w:gridSpan w:val="2"/>
          </w:tcPr>
          <w:p w14:paraId="793C5645" w14:textId="26AE6A62" w:rsidR="00421A61" w:rsidRPr="00CD3AB0" w:rsidRDefault="00421A61" w:rsidP="00421A61">
            <w:pPr>
              <w:rPr>
                <w:rFonts w:eastAsia="Calibri"/>
                <w:highlight w:val="yellow"/>
              </w:rPr>
            </w:pPr>
            <w:r w:rsidRPr="00996F69">
              <w:t>92.3%</w:t>
            </w:r>
          </w:p>
        </w:tc>
        <w:tc>
          <w:tcPr>
            <w:tcW w:w="1134" w:type="dxa"/>
            <w:gridSpan w:val="2"/>
            <w:shd w:val="clear" w:color="auto" w:fill="auto"/>
          </w:tcPr>
          <w:p w14:paraId="1AC67FCD" w14:textId="3F29F374" w:rsidR="00421A61" w:rsidRPr="00CD3AB0" w:rsidRDefault="00421A61" w:rsidP="00421A61">
            <w:pPr>
              <w:rPr>
                <w:rFonts w:eastAsia="Calibri"/>
                <w:highlight w:val="yellow"/>
              </w:rPr>
            </w:pPr>
            <w:r w:rsidRPr="00996F69">
              <w:t>89.5%</w:t>
            </w:r>
          </w:p>
        </w:tc>
        <w:tc>
          <w:tcPr>
            <w:tcW w:w="1134" w:type="dxa"/>
            <w:shd w:val="clear" w:color="auto" w:fill="EAE2B9"/>
          </w:tcPr>
          <w:p w14:paraId="4C2190E5" w14:textId="4F076BB3" w:rsidR="00421A61" w:rsidRPr="00CD3AB0" w:rsidRDefault="00421A61" w:rsidP="00421A61">
            <w:pPr>
              <w:rPr>
                <w:rFonts w:eastAsia="Calibri"/>
                <w:highlight w:val="yellow"/>
              </w:rPr>
            </w:pPr>
            <w:r w:rsidRPr="00996F69">
              <w:t>88.8%</w:t>
            </w:r>
          </w:p>
        </w:tc>
        <w:tc>
          <w:tcPr>
            <w:tcW w:w="1134" w:type="dxa"/>
            <w:gridSpan w:val="2"/>
            <w:shd w:val="clear" w:color="auto" w:fill="D4E2E0" w:themeFill="accent5"/>
          </w:tcPr>
          <w:p w14:paraId="3EC08E96" w14:textId="39F6FE0B" w:rsidR="00421A61" w:rsidRPr="00CD3AB0" w:rsidRDefault="00421A61" w:rsidP="00421A61">
            <w:pPr>
              <w:rPr>
                <w:rFonts w:eastAsia="Calibri"/>
              </w:rPr>
            </w:pPr>
            <w:r w:rsidRPr="00996F69">
              <w:t>90.0%</w:t>
            </w:r>
          </w:p>
        </w:tc>
      </w:tr>
      <w:tr w:rsidR="00380F61" w:rsidRPr="00CD3AB0" w14:paraId="045C3CF7" w14:textId="77777777" w:rsidTr="002D35F8">
        <w:tblPrEx>
          <w:tblBorders>
            <w:top w:val="single" w:sz="4" w:space="0" w:color="EFE29B" w:themeColor="accent4" w:themeShade="E6"/>
            <w:left w:val="single" w:sz="4" w:space="0" w:color="EFE29B" w:themeColor="accent4" w:themeShade="E6"/>
            <w:bottom w:val="single" w:sz="4" w:space="0" w:color="EFE29B" w:themeColor="accent4" w:themeShade="E6"/>
            <w:right w:val="single" w:sz="4" w:space="0" w:color="EFE29B" w:themeColor="accent4" w:themeShade="E6"/>
            <w:insideH w:val="single" w:sz="4" w:space="0" w:color="EFE29B" w:themeColor="accent4" w:themeShade="E6"/>
            <w:insideV w:val="single" w:sz="4" w:space="0" w:color="EFE29B" w:themeColor="accent4" w:themeShade="E6"/>
          </w:tblBorders>
        </w:tblPrEx>
        <w:trPr>
          <w:trHeight w:val="567"/>
          <w:jc w:val="center"/>
        </w:trPr>
        <w:tc>
          <w:tcPr>
            <w:tcW w:w="10910" w:type="dxa"/>
            <w:gridSpan w:val="17"/>
            <w:shd w:val="clear" w:color="auto" w:fill="AD9600"/>
          </w:tcPr>
          <w:p w14:paraId="4E253482" w14:textId="39C45760" w:rsidR="00380F61" w:rsidRPr="00CD3AB0" w:rsidRDefault="00380F61" w:rsidP="009E75E3">
            <w:pPr>
              <w:keepLines w:val="0"/>
              <w:spacing w:after="0" w:line="240" w:lineRule="auto"/>
              <w:rPr>
                <w:rFonts w:eastAsia="Calibri" w:cs="Arial"/>
                <w:b/>
                <w:bCs/>
                <w:color w:val="FFFFFF"/>
              </w:rPr>
            </w:pPr>
            <w:r w:rsidRPr="00CA07ED">
              <w:rPr>
                <w:rStyle w:val="Strong"/>
                <w:color w:val="FFFFFF" w:themeColor="background1"/>
              </w:rPr>
              <w:t>Table</w:t>
            </w:r>
            <w:r>
              <w:rPr>
                <w:rStyle w:val="Strong"/>
                <w:color w:val="FFFFFF" w:themeColor="background1"/>
              </w:rPr>
              <w:t xml:space="preserve"> </w:t>
            </w:r>
            <w:r w:rsidR="009E75E3">
              <w:rPr>
                <w:rStyle w:val="Strong"/>
                <w:color w:val="FFFFFF" w:themeColor="background1"/>
              </w:rPr>
              <w:t>47</w:t>
            </w:r>
            <w:r w:rsidRPr="00CA07ED">
              <w:rPr>
                <w:rStyle w:val="Strong"/>
                <w:color w:val="FFFFFF" w:themeColor="background1"/>
              </w:rPr>
              <w:t xml:space="preserve">: Key Performance Indicators of </w:t>
            </w:r>
            <w:r>
              <w:rPr>
                <w:rStyle w:val="Strong"/>
                <w:color w:val="FFFFFF" w:themeColor="background1"/>
              </w:rPr>
              <w:t>Efficiency</w:t>
            </w:r>
          </w:p>
        </w:tc>
      </w:tr>
      <w:tr w:rsidR="009E0AB1" w:rsidRPr="00CD3AB0" w14:paraId="656CE6FE" w14:textId="77777777" w:rsidTr="002D35F8">
        <w:tblPrEx>
          <w:tblBorders>
            <w:top w:val="single" w:sz="4" w:space="0" w:color="EFE29B" w:themeColor="accent4" w:themeShade="E6"/>
            <w:left w:val="single" w:sz="4" w:space="0" w:color="EFE29B" w:themeColor="accent4" w:themeShade="E6"/>
            <w:bottom w:val="single" w:sz="4" w:space="0" w:color="EFE29B" w:themeColor="accent4" w:themeShade="E6"/>
            <w:right w:val="single" w:sz="4" w:space="0" w:color="EFE29B" w:themeColor="accent4" w:themeShade="E6"/>
            <w:insideH w:val="single" w:sz="4" w:space="0" w:color="EFE29B" w:themeColor="accent4" w:themeShade="E6"/>
            <w:insideV w:val="single" w:sz="4" w:space="0" w:color="EFE29B" w:themeColor="accent4" w:themeShade="E6"/>
          </w:tblBorders>
        </w:tblPrEx>
        <w:trPr>
          <w:trHeight w:val="567"/>
          <w:jc w:val="center"/>
        </w:trPr>
        <w:tc>
          <w:tcPr>
            <w:tcW w:w="709" w:type="dxa"/>
            <w:gridSpan w:val="2"/>
            <w:shd w:val="clear" w:color="auto" w:fill="F5EDC1" w:themeFill="accent4"/>
          </w:tcPr>
          <w:p w14:paraId="3BDB8F3D" w14:textId="1DE20C36" w:rsidR="009E0AB1" w:rsidRPr="00E664DB" w:rsidRDefault="009E0AB1" w:rsidP="00E664DB">
            <w:pPr>
              <w:rPr>
                <w:rStyle w:val="Strong"/>
                <w:rFonts w:eastAsia="Calibri"/>
              </w:rPr>
            </w:pPr>
            <w:r w:rsidRPr="00E664DB">
              <w:rPr>
                <w:rStyle w:val="Strong"/>
                <w:rFonts w:eastAsia="Calibri"/>
              </w:rPr>
              <w:t>#</w:t>
            </w:r>
          </w:p>
        </w:tc>
        <w:tc>
          <w:tcPr>
            <w:tcW w:w="2745" w:type="dxa"/>
            <w:shd w:val="clear" w:color="auto" w:fill="F5EDC1" w:themeFill="accent4"/>
          </w:tcPr>
          <w:p w14:paraId="33FA4B48" w14:textId="2111187B" w:rsidR="009E0AB1" w:rsidRPr="00E664DB" w:rsidRDefault="009E0AB1" w:rsidP="00E664DB">
            <w:pPr>
              <w:rPr>
                <w:rStyle w:val="Strong"/>
                <w:rFonts w:eastAsia="Calibri"/>
              </w:rPr>
            </w:pPr>
            <w:r w:rsidRPr="00E664DB">
              <w:rPr>
                <w:rStyle w:val="Strong"/>
                <w:rFonts w:eastAsia="Calibri"/>
              </w:rPr>
              <w:t>Indicator</w:t>
            </w:r>
          </w:p>
        </w:tc>
        <w:tc>
          <w:tcPr>
            <w:tcW w:w="1245" w:type="dxa"/>
            <w:gridSpan w:val="3"/>
            <w:shd w:val="clear" w:color="auto" w:fill="F5EDC1" w:themeFill="accent4"/>
          </w:tcPr>
          <w:p w14:paraId="162764C3" w14:textId="16C452C9" w:rsidR="009E0AB1" w:rsidRDefault="009E0AB1" w:rsidP="00E664DB">
            <w:pPr>
              <w:rPr>
                <w:rStyle w:val="Strong"/>
                <w:rFonts w:eastAsia="Calibri"/>
              </w:rPr>
            </w:pPr>
            <w:r>
              <w:rPr>
                <w:rStyle w:val="Strong"/>
                <w:rFonts w:eastAsia="Calibri"/>
              </w:rPr>
              <w:t>2010/11 Actual</w:t>
            </w:r>
          </w:p>
        </w:tc>
        <w:tc>
          <w:tcPr>
            <w:tcW w:w="1245" w:type="dxa"/>
            <w:gridSpan w:val="2"/>
            <w:shd w:val="clear" w:color="auto" w:fill="F5EDC1" w:themeFill="accent4"/>
            <w:hideMark/>
          </w:tcPr>
          <w:p w14:paraId="7E7E14BE" w14:textId="745258D9" w:rsidR="009E0AB1" w:rsidRPr="00E664DB" w:rsidRDefault="009E0AB1" w:rsidP="00E664DB">
            <w:pPr>
              <w:rPr>
                <w:rStyle w:val="Strong"/>
                <w:rFonts w:eastAsia="Calibri"/>
              </w:rPr>
            </w:pPr>
            <w:r>
              <w:rPr>
                <w:rStyle w:val="Strong"/>
                <w:rFonts w:eastAsia="Calibri"/>
              </w:rPr>
              <w:t>2011/12</w:t>
            </w:r>
            <w:r w:rsidRPr="00E664DB">
              <w:rPr>
                <w:rStyle w:val="Strong"/>
                <w:rFonts w:eastAsia="Calibri"/>
              </w:rPr>
              <w:t>Actual</w:t>
            </w:r>
          </w:p>
        </w:tc>
        <w:tc>
          <w:tcPr>
            <w:tcW w:w="1276" w:type="dxa"/>
            <w:gridSpan w:val="2"/>
            <w:shd w:val="clear" w:color="auto" w:fill="F5EDC1" w:themeFill="accent4"/>
          </w:tcPr>
          <w:p w14:paraId="45EEB8BB" w14:textId="77777777" w:rsidR="009E0AB1" w:rsidRPr="00E664DB" w:rsidRDefault="009E0AB1" w:rsidP="00E664DB">
            <w:pPr>
              <w:rPr>
                <w:rStyle w:val="Strong"/>
                <w:rFonts w:eastAsia="Calibri"/>
              </w:rPr>
            </w:pPr>
            <w:r w:rsidRPr="00E664DB">
              <w:rPr>
                <w:rStyle w:val="Strong"/>
                <w:rFonts w:eastAsia="Calibri"/>
              </w:rPr>
              <w:t>2012/13 Actual</w:t>
            </w:r>
          </w:p>
        </w:tc>
        <w:tc>
          <w:tcPr>
            <w:tcW w:w="1276" w:type="dxa"/>
            <w:gridSpan w:val="2"/>
            <w:shd w:val="clear" w:color="auto" w:fill="F5EDC1" w:themeFill="accent4"/>
            <w:hideMark/>
          </w:tcPr>
          <w:p w14:paraId="77C2FFD7" w14:textId="1E1279FB" w:rsidR="009E0AB1" w:rsidRPr="00E664DB" w:rsidRDefault="009E0AB1" w:rsidP="00E664DB">
            <w:pPr>
              <w:rPr>
                <w:rStyle w:val="Strong"/>
                <w:rFonts w:eastAsia="Calibri"/>
              </w:rPr>
            </w:pPr>
            <w:r>
              <w:rPr>
                <w:rStyle w:val="Strong"/>
                <w:rFonts w:eastAsia="Calibri"/>
              </w:rPr>
              <w:t xml:space="preserve">2013/14 </w:t>
            </w:r>
            <w:r w:rsidRPr="00E664DB">
              <w:rPr>
                <w:rStyle w:val="Strong"/>
                <w:rFonts w:eastAsia="Calibri"/>
              </w:rPr>
              <w:t xml:space="preserve">Actual </w:t>
            </w:r>
          </w:p>
        </w:tc>
        <w:tc>
          <w:tcPr>
            <w:tcW w:w="1275" w:type="dxa"/>
            <w:gridSpan w:val="3"/>
            <w:tcBorders>
              <w:right w:val="single" w:sz="4" w:space="0" w:color="D4E2E0" w:themeColor="accent5"/>
            </w:tcBorders>
            <w:shd w:val="clear" w:color="auto" w:fill="F5EDC1" w:themeFill="accent4"/>
            <w:hideMark/>
          </w:tcPr>
          <w:p w14:paraId="703EB6ED" w14:textId="565D9EDC" w:rsidR="009E0AB1" w:rsidRPr="00E664DB" w:rsidRDefault="009E0AB1" w:rsidP="00E664DB">
            <w:pPr>
              <w:rPr>
                <w:rStyle w:val="Strong"/>
                <w:rFonts w:eastAsia="Calibri"/>
              </w:rPr>
            </w:pPr>
            <w:r>
              <w:rPr>
                <w:rStyle w:val="Strong"/>
                <w:rFonts w:eastAsia="Calibri"/>
              </w:rPr>
              <w:t xml:space="preserve">2014/15 </w:t>
            </w:r>
            <w:r w:rsidRPr="00E664DB">
              <w:rPr>
                <w:rStyle w:val="Strong"/>
                <w:rFonts w:eastAsia="Calibri"/>
              </w:rPr>
              <w:t xml:space="preserve"> </w:t>
            </w:r>
            <w:r>
              <w:rPr>
                <w:rStyle w:val="Strong"/>
                <w:rFonts w:eastAsia="Calibri"/>
              </w:rPr>
              <w:t>Actual</w:t>
            </w:r>
          </w:p>
        </w:tc>
        <w:tc>
          <w:tcPr>
            <w:tcW w:w="1139" w:type="dxa"/>
            <w:gridSpan w:val="2"/>
            <w:tcBorders>
              <w:top w:val="single" w:sz="4" w:space="0" w:color="D4E2E0" w:themeColor="accent5"/>
              <w:left w:val="single" w:sz="4" w:space="0" w:color="D4E2E0" w:themeColor="accent5"/>
              <w:bottom w:val="single" w:sz="4" w:space="0" w:color="D4E2E0" w:themeColor="accent5"/>
              <w:right w:val="single" w:sz="4" w:space="0" w:color="D4E2E0" w:themeColor="accent5"/>
            </w:tcBorders>
            <w:shd w:val="clear" w:color="auto" w:fill="CEDFDC" w:themeFill="accent2" w:themeFillTint="33"/>
            <w:hideMark/>
          </w:tcPr>
          <w:p w14:paraId="30FC9856" w14:textId="77777777" w:rsidR="009E0AB1" w:rsidRPr="00E664DB" w:rsidRDefault="009E0AB1" w:rsidP="00E664DB">
            <w:pPr>
              <w:keepLines w:val="0"/>
              <w:spacing w:after="0" w:line="240" w:lineRule="auto"/>
              <w:rPr>
                <w:rStyle w:val="Strong"/>
                <w:rFonts w:eastAsia="Calibri"/>
              </w:rPr>
            </w:pPr>
            <w:r w:rsidRPr="00E664DB">
              <w:rPr>
                <w:rStyle w:val="Strong"/>
                <w:rFonts w:eastAsia="Calibri"/>
              </w:rPr>
              <w:t>2014/15 Target</w:t>
            </w:r>
          </w:p>
        </w:tc>
      </w:tr>
      <w:tr w:rsidR="009E0AB1" w:rsidRPr="00CD3AB0" w14:paraId="20A75AD2" w14:textId="77777777" w:rsidTr="002D35F8">
        <w:tblPrEx>
          <w:tblBorders>
            <w:top w:val="single" w:sz="4" w:space="0" w:color="EFE29B" w:themeColor="accent4" w:themeShade="E6"/>
            <w:left w:val="single" w:sz="4" w:space="0" w:color="EFE29B" w:themeColor="accent4" w:themeShade="E6"/>
            <w:bottom w:val="single" w:sz="4" w:space="0" w:color="EFE29B" w:themeColor="accent4" w:themeShade="E6"/>
            <w:right w:val="single" w:sz="4" w:space="0" w:color="EFE29B" w:themeColor="accent4" w:themeShade="E6"/>
            <w:insideH w:val="single" w:sz="4" w:space="0" w:color="EFE29B" w:themeColor="accent4" w:themeShade="E6"/>
            <w:insideV w:val="single" w:sz="4" w:space="0" w:color="EFE29B" w:themeColor="accent4" w:themeShade="E6"/>
          </w:tblBorders>
        </w:tblPrEx>
        <w:trPr>
          <w:trHeight w:val="1074"/>
          <w:jc w:val="center"/>
        </w:trPr>
        <w:tc>
          <w:tcPr>
            <w:tcW w:w="709" w:type="dxa"/>
            <w:gridSpan w:val="2"/>
            <w:shd w:val="clear" w:color="auto" w:fill="F5EDC1" w:themeFill="accent4"/>
          </w:tcPr>
          <w:p w14:paraId="7DD9E87F" w14:textId="56B75239" w:rsidR="009E0AB1" w:rsidRPr="00CD3AB0" w:rsidRDefault="009E0AB1" w:rsidP="009E0AB1">
            <w:pPr>
              <w:rPr>
                <w:rFonts w:eastAsia="Calibri"/>
                <w:b/>
              </w:rPr>
            </w:pPr>
            <w:r w:rsidRPr="00CD3AB0">
              <w:rPr>
                <w:rFonts w:eastAsia="Calibri"/>
                <w:b/>
              </w:rPr>
              <w:t>1.1</w:t>
            </w:r>
          </w:p>
        </w:tc>
        <w:tc>
          <w:tcPr>
            <w:tcW w:w="2745" w:type="dxa"/>
            <w:vAlign w:val="center"/>
            <w:hideMark/>
          </w:tcPr>
          <w:p w14:paraId="3146B7EB" w14:textId="67EAB460" w:rsidR="009E0AB1" w:rsidRPr="00CD3AB0" w:rsidRDefault="009E0AB1" w:rsidP="009E0AB1">
            <w:pPr>
              <w:rPr>
                <w:rFonts w:eastAsia="Calibri"/>
                <w:color w:val="000000"/>
              </w:rPr>
            </w:pPr>
            <w:r w:rsidRPr="00CD3AB0">
              <w:rPr>
                <w:rFonts w:eastAsia="Calibri"/>
              </w:rPr>
              <w:t>Average cost per employer compliance activity</w:t>
            </w:r>
          </w:p>
        </w:tc>
        <w:tc>
          <w:tcPr>
            <w:tcW w:w="1245" w:type="dxa"/>
            <w:gridSpan w:val="3"/>
          </w:tcPr>
          <w:p w14:paraId="497BE552" w14:textId="5AC41CFC" w:rsidR="009E0AB1" w:rsidRPr="00CD3AB0" w:rsidRDefault="009E0AB1" w:rsidP="009E0AB1">
            <w:pPr>
              <w:rPr>
                <w:rFonts w:eastAsia="Calibri"/>
                <w:color w:val="000000"/>
              </w:rPr>
            </w:pPr>
            <w:r w:rsidRPr="001F1060">
              <w:t>$281</w:t>
            </w:r>
          </w:p>
        </w:tc>
        <w:tc>
          <w:tcPr>
            <w:tcW w:w="1245" w:type="dxa"/>
            <w:gridSpan w:val="2"/>
            <w:hideMark/>
          </w:tcPr>
          <w:p w14:paraId="010A86E5" w14:textId="74F638A5" w:rsidR="009E0AB1" w:rsidRPr="00CD3AB0" w:rsidRDefault="009E0AB1" w:rsidP="009E0AB1">
            <w:pPr>
              <w:rPr>
                <w:rFonts w:eastAsia="Calibri"/>
                <w:color w:val="000000"/>
              </w:rPr>
            </w:pPr>
            <w:r w:rsidRPr="001F1060">
              <w:t>$235</w:t>
            </w:r>
          </w:p>
        </w:tc>
        <w:tc>
          <w:tcPr>
            <w:tcW w:w="1276" w:type="dxa"/>
            <w:gridSpan w:val="2"/>
          </w:tcPr>
          <w:p w14:paraId="0BE5AE7A" w14:textId="74ED741E" w:rsidR="009E0AB1" w:rsidRPr="00CD3AB0" w:rsidRDefault="009E0AB1" w:rsidP="009E0AB1">
            <w:pPr>
              <w:rPr>
                <w:rFonts w:eastAsia="Calibri"/>
                <w:color w:val="000000"/>
              </w:rPr>
            </w:pPr>
            <w:r w:rsidRPr="001F1060">
              <w:t>$265</w:t>
            </w:r>
          </w:p>
        </w:tc>
        <w:tc>
          <w:tcPr>
            <w:tcW w:w="1276" w:type="dxa"/>
            <w:gridSpan w:val="2"/>
            <w:hideMark/>
          </w:tcPr>
          <w:p w14:paraId="0563230A" w14:textId="31D89416" w:rsidR="009E0AB1" w:rsidRPr="00CD3AB0" w:rsidRDefault="009E0AB1" w:rsidP="009E0AB1">
            <w:pPr>
              <w:rPr>
                <w:rFonts w:eastAsia="Calibri"/>
                <w:color w:val="000000"/>
                <w:highlight w:val="yellow"/>
              </w:rPr>
            </w:pPr>
            <w:r w:rsidRPr="001F1060">
              <w:t>$198</w:t>
            </w:r>
          </w:p>
        </w:tc>
        <w:tc>
          <w:tcPr>
            <w:tcW w:w="1275" w:type="dxa"/>
            <w:gridSpan w:val="3"/>
            <w:tcBorders>
              <w:right w:val="single" w:sz="4" w:space="0" w:color="D4E2E0" w:themeColor="accent5"/>
            </w:tcBorders>
            <w:shd w:val="clear" w:color="auto" w:fill="F5EDC1" w:themeFill="accent4"/>
            <w:hideMark/>
          </w:tcPr>
          <w:p w14:paraId="4743F5C3" w14:textId="4AE975C4" w:rsidR="009E0AB1" w:rsidRPr="00CD3AB0" w:rsidRDefault="009E0AB1" w:rsidP="009E0AB1">
            <w:pPr>
              <w:rPr>
                <w:rFonts w:eastAsia="Calibri"/>
                <w:color w:val="000000"/>
                <w:highlight w:val="yellow"/>
              </w:rPr>
            </w:pPr>
            <w:r w:rsidRPr="001F1060">
              <w:t>$255</w:t>
            </w:r>
          </w:p>
        </w:tc>
        <w:tc>
          <w:tcPr>
            <w:tcW w:w="1139" w:type="dxa"/>
            <w:gridSpan w:val="2"/>
            <w:tcBorders>
              <w:top w:val="single" w:sz="4" w:space="0" w:color="D4E2E0" w:themeColor="accent5"/>
              <w:left w:val="single" w:sz="4" w:space="0" w:color="D4E2E0" w:themeColor="accent5"/>
              <w:bottom w:val="single" w:sz="4" w:space="0" w:color="D4E2E0" w:themeColor="accent5"/>
              <w:right w:val="single" w:sz="4" w:space="0" w:color="D4E2E0" w:themeColor="accent5"/>
            </w:tcBorders>
            <w:shd w:val="clear" w:color="auto" w:fill="CEDFDC" w:themeFill="accent2" w:themeFillTint="33"/>
            <w:hideMark/>
          </w:tcPr>
          <w:p w14:paraId="153801BD" w14:textId="3449F806" w:rsidR="009E0AB1" w:rsidRPr="00CD3AB0" w:rsidRDefault="009E0AB1" w:rsidP="009E0AB1">
            <w:pPr>
              <w:rPr>
                <w:rFonts w:eastAsia="Calibri"/>
                <w:color w:val="000000"/>
              </w:rPr>
            </w:pPr>
            <w:r w:rsidRPr="001F1060">
              <w:t>$257</w:t>
            </w:r>
          </w:p>
        </w:tc>
      </w:tr>
      <w:tr w:rsidR="009E0AB1" w:rsidRPr="00CD3AB0" w14:paraId="58ECC9F3" w14:textId="77777777" w:rsidTr="002D35F8">
        <w:tblPrEx>
          <w:tblBorders>
            <w:top w:val="single" w:sz="4" w:space="0" w:color="EFE29B" w:themeColor="accent4" w:themeShade="E6"/>
            <w:left w:val="single" w:sz="4" w:space="0" w:color="EFE29B" w:themeColor="accent4" w:themeShade="E6"/>
            <w:bottom w:val="single" w:sz="4" w:space="0" w:color="EFE29B" w:themeColor="accent4" w:themeShade="E6"/>
            <w:right w:val="single" w:sz="4" w:space="0" w:color="EFE29B" w:themeColor="accent4" w:themeShade="E6"/>
            <w:insideH w:val="single" w:sz="4" w:space="0" w:color="EFE29B" w:themeColor="accent4" w:themeShade="E6"/>
            <w:insideV w:val="single" w:sz="4" w:space="0" w:color="EFE29B" w:themeColor="accent4" w:themeShade="E6"/>
          </w:tblBorders>
        </w:tblPrEx>
        <w:trPr>
          <w:trHeight w:val="850"/>
          <w:jc w:val="center"/>
        </w:trPr>
        <w:tc>
          <w:tcPr>
            <w:tcW w:w="709" w:type="dxa"/>
            <w:gridSpan w:val="2"/>
            <w:tcBorders>
              <w:bottom w:val="single" w:sz="4" w:space="0" w:color="EFE29B" w:themeColor="accent4" w:themeShade="E6"/>
            </w:tcBorders>
            <w:shd w:val="clear" w:color="auto" w:fill="F5EDC1" w:themeFill="accent4"/>
          </w:tcPr>
          <w:p w14:paraId="0031E103" w14:textId="7A83511A" w:rsidR="009E0AB1" w:rsidRPr="00CD3AB0" w:rsidRDefault="009E0AB1" w:rsidP="009E0AB1">
            <w:pPr>
              <w:rPr>
                <w:rFonts w:eastAsia="Calibri"/>
                <w:b/>
              </w:rPr>
            </w:pPr>
            <w:r w:rsidRPr="00CD3AB0">
              <w:rPr>
                <w:rFonts w:eastAsia="Calibri"/>
                <w:b/>
              </w:rPr>
              <w:t>1.2</w:t>
            </w:r>
          </w:p>
        </w:tc>
        <w:tc>
          <w:tcPr>
            <w:tcW w:w="2745" w:type="dxa"/>
            <w:tcBorders>
              <w:bottom w:val="single" w:sz="4" w:space="0" w:color="EFE29B" w:themeColor="accent4" w:themeShade="E6"/>
            </w:tcBorders>
            <w:vAlign w:val="center"/>
            <w:hideMark/>
          </w:tcPr>
          <w:p w14:paraId="6307507D" w14:textId="0C52D853" w:rsidR="009E0AB1" w:rsidRPr="00CD3AB0" w:rsidRDefault="009E0AB1" w:rsidP="009E0AB1">
            <w:pPr>
              <w:rPr>
                <w:rFonts w:eastAsia="Calibri"/>
                <w:color w:val="000000"/>
              </w:rPr>
            </w:pPr>
            <w:r w:rsidRPr="00CD3AB0">
              <w:rPr>
                <w:rFonts w:eastAsia="Calibri"/>
              </w:rPr>
              <w:t>Average cost per approved and monitored service provider</w:t>
            </w:r>
          </w:p>
        </w:tc>
        <w:tc>
          <w:tcPr>
            <w:tcW w:w="1245" w:type="dxa"/>
            <w:gridSpan w:val="3"/>
            <w:tcBorders>
              <w:bottom w:val="single" w:sz="4" w:space="0" w:color="EFE29B" w:themeColor="accent4" w:themeShade="E6"/>
            </w:tcBorders>
          </w:tcPr>
          <w:p w14:paraId="33240C4F" w14:textId="3530667A" w:rsidR="009E0AB1" w:rsidRPr="00CD3AB0" w:rsidRDefault="009E0AB1" w:rsidP="009E0AB1">
            <w:pPr>
              <w:rPr>
                <w:rFonts w:eastAsia="Calibri"/>
                <w:color w:val="000000"/>
              </w:rPr>
            </w:pPr>
            <w:r w:rsidRPr="008F7400">
              <w:t>$2,942</w:t>
            </w:r>
          </w:p>
        </w:tc>
        <w:tc>
          <w:tcPr>
            <w:tcW w:w="1245" w:type="dxa"/>
            <w:gridSpan w:val="2"/>
            <w:tcBorders>
              <w:bottom w:val="single" w:sz="4" w:space="0" w:color="EFE29B" w:themeColor="accent4" w:themeShade="E6"/>
            </w:tcBorders>
          </w:tcPr>
          <w:p w14:paraId="2AA7BCC7" w14:textId="2BCAF16E" w:rsidR="009E0AB1" w:rsidRPr="00CD3AB0" w:rsidRDefault="009E0AB1" w:rsidP="009E0AB1">
            <w:pPr>
              <w:rPr>
                <w:rFonts w:eastAsia="Calibri"/>
                <w:color w:val="000000"/>
              </w:rPr>
            </w:pPr>
            <w:r w:rsidRPr="008F7400">
              <w:t>$3,087</w:t>
            </w:r>
          </w:p>
        </w:tc>
        <w:tc>
          <w:tcPr>
            <w:tcW w:w="1276" w:type="dxa"/>
            <w:gridSpan w:val="2"/>
            <w:tcBorders>
              <w:bottom w:val="single" w:sz="4" w:space="0" w:color="EFE29B" w:themeColor="accent4" w:themeShade="E6"/>
            </w:tcBorders>
          </w:tcPr>
          <w:p w14:paraId="0001F151" w14:textId="54C6E35E" w:rsidR="009E0AB1" w:rsidRPr="00CD3AB0" w:rsidRDefault="009E0AB1" w:rsidP="009E0AB1">
            <w:pPr>
              <w:rPr>
                <w:rFonts w:eastAsia="Calibri"/>
                <w:color w:val="000000"/>
                <w:highlight w:val="yellow"/>
              </w:rPr>
            </w:pPr>
            <w:r w:rsidRPr="008F7400">
              <w:t>$2,871</w:t>
            </w:r>
          </w:p>
        </w:tc>
        <w:tc>
          <w:tcPr>
            <w:tcW w:w="1276" w:type="dxa"/>
            <w:gridSpan w:val="2"/>
            <w:tcBorders>
              <w:bottom w:val="single" w:sz="4" w:space="0" w:color="EFE29B" w:themeColor="accent4" w:themeShade="E6"/>
            </w:tcBorders>
          </w:tcPr>
          <w:p w14:paraId="65936DCA" w14:textId="382EB2D2" w:rsidR="009E0AB1" w:rsidRPr="00CD3AB0" w:rsidRDefault="009E0AB1" w:rsidP="009E0AB1">
            <w:pPr>
              <w:rPr>
                <w:rFonts w:eastAsia="Calibri"/>
                <w:color w:val="000000"/>
                <w:highlight w:val="yellow"/>
              </w:rPr>
            </w:pPr>
            <w:r w:rsidRPr="008F7400">
              <w:t>$3,047</w:t>
            </w:r>
          </w:p>
        </w:tc>
        <w:tc>
          <w:tcPr>
            <w:tcW w:w="1275" w:type="dxa"/>
            <w:gridSpan w:val="3"/>
            <w:tcBorders>
              <w:bottom w:val="single" w:sz="4" w:space="0" w:color="EFE29B" w:themeColor="accent4" w:themeShade="E6"/>
              <w:right w:val="single" w:sz="4" w:space="0" w:color="D4E2E0" w:themeColor="accent5"/>
            </w:tcBorders>
            <w:shd w:val="clear" w:color="auto" w:fill="F5EDC1" w:themeFill="accent4"/>
          </w:tcPr>
          <w:p w14:paraId="63E7D585" w14:textId="72E9C9F8" w:rsidR="009E0AB1" w:rsidRPr="00CD3AB0" w:rsidRDefault="009E0AB1" w:rsidP="009E0AB1">
            <w:pPr>
              <w:rPr>
                <w:rFonts w:eastAsia="Calibri"/>
                <w:color w:val="000000"/>
                <w:highlight w:val="yellow"/>
              </w:rPr>
            </w:pPr>
            <w:r w:rsidRPr="008F7400">
              <w:t>$3,250</w:t>
            </w:r>
          </w:p>
        </w:tc>
        <w:tc>
          <w:tcPr>
            <w:tcW w:w="1139" w:type="dxa"/>
            <w:gridSpan w:val="2"/>
            <w:tcBorders>
              <w:top w:val="single" w:sz="4" w:space="0" w:color="D4E2E0" w:themeColor="accent5"/>
              <w:left w:val="single" w:sz="4" w:space="0" w:color="D4E2E0" w:themeColor="accent5"/>
              <w:bottom w:val="single" w:sz="4" w:space="0" w:color="D4E2E0" w:themeColor="accent5"/>
              <w:right w:val="single" w:sz="4" w:space="0" w:color="D4E2E0" w:themeColor="accent5"/>
            </w:tcBorders>
            <w:shd w:val="clear" w:color="auto" w:fill="CEDFDC" w:themeFill="accent2" w:themeFillTint="33"/>
          </w:tcPr>
          <w:p w14:paraId="4FF72FAC" w14:textId="344878FC" w:rsidR="009E0AB1" w:rsidRPr="00CD3AB0" w:rsidRDefault="009E0AB1" w:rsidP="009E0AB1">
            <w:pPr>
              <w:rPr>
                <w:rFonts w:eastAsia="Calibri"/>
                <w:color w:val="000000"/>
                <w:highlight w:val="yellow"/>
              </w:rPr>
            </w:pPr>
            <w:r w:rsidRPr="008F7400">
              <w:t>$3,309</w:t>
            </w:r>
          </w:p>
        </w:tc>
      </w:tr>
      <w:tr w:rsidR="009E0AB1" w:rsidRPr="00CD3AB0" w14:paraId="34A7AA92" w14:textId="77777777" w:rsidTr="002D35F8">
        <w:tblPrEx>
          <w:tblBorders>
            <w:top w:val="single" w:sz="4" w:space="0" w:color="EFE29B" w:themeColor="accent4" w:themeShade="E6"/>
            <w:left w:val="single" w:sz="4" w:space="0" w:color="EFE29B" w:themeColor="accent4" w:themeShade="E6"/>
            <w:bottom w:val="single" w:sz="4" w:space="0" w:color="EFE29B" w:themeColor="accent4" w:themeShade="E6"/>
            <w:right w:val="single" w:sz="4" w:space="0" w:color="EFE29B" w:themeColor="accent4" w:themeShade="E6"/>
            <w:insideH w:val="single" w:sz="4" w:space="0" w:color="EFE29B" w:themeColor="accent4" w:themeShade="E6"/>
            <w:insideV w:val="single" w:sz="4" w:space="0" w:color="EFE29B" w:themeColor="accent4" w:themeShade="E6"/>
          </w:tblBorders>
        </w:tblPrEx>
        <w:trPr>
          <w:trHeight w:val="850"/>
          <w:jc w:val="center"/>
        </w:trPr>
        <w:tc>
          <w:tcPr>
            <w:tcW w:w="709" w:type="dxa"/>
            <w:gridSpan w:val="2"/>
            <w:tcBorders>
              <w:bottom w:val="single" w:sz="8" w:space="0" w:color="897719" w:themeColor="accent3"/>
            </w:tcBorders>
            <w:shd w:val="clear" w:color="auto" w:fill="F5EDC1" w:themeFill="accent4"/>
          </w:tcPr>
          <w:p w14:paraId="39643F6A" w14:textId="7B5E421A" w:rsidR="009E0AB1" w:rsidRPr="00CD3AB0" w:rsidRDefault="009E0AB1" w:rsidP="009E0AB1">
            <w:pPr>
              <w:rPr>
                <w:rFonts w:eastAsia="Calibri"/>
                <w:b/>
              </w:rPr>
            </w:pPr>
            <w:r w:rsidRPr="00CD3AB0">
              <w:rPr>
                <w:rFonts w:eastAsia="Calibri"/>
                <w:b/>
              </w:rPr>
              <w:t>1.3</w:t>
            </w:r>
          </w:p>
        </w:tc>
        <w:tc>
          <w:tcPr>
            <w:tcW w:w="2745" w:type="dxa"/>
            <w:tcBorders>
              <w:bottom w:val="single" w:sz="8" w:space="0" w:color="897719" w:themeColor="accent3"/>
            </w:tcBorders>
            <w:vAlign w:val="center"/>
            <w:hideMark/>
          </w:tcPr>
          <w:p w14:paraId="690F8B05" w14:textId="074A85DB" w:rsidR="009E0AB1" w:rsidRPr="00CD3AB0" w:rsidRDefault="009E0AB1" w:rsidP="009E0AB1">
            <w:pPr>
              <w:rPr>
                <w:rFonts w:eastAsia="Calibri"/>
                <w:color w:val="000000"/>
              </w:rPr>
            </w:pPr>
            <w:r w:rsidRPr="00CD3AB0">
              <w:rPr>
                <w:rFonts w:eastAsia="Calibri"/>
              </w:rPr>
              <w:t>Average cost  per client contact to provide information and advice</w:t>
            </w:r>
          </w:p>
        </w:tc>
        <w:tc>
          <w:tcPr>
            <w:tcW w:w="1245" w:type="dxa"/>
            <w:gridSpan w:val="3"/>
            <w:tcBorders>
              <w:bottom w:val="single" w:sz="8" w:space="0" w:color="897719" w:themeColor="accent3"/>
            </w:tcBorders>
          </w:tcPr>
          <w:p w14:paraId="51694996" w14:textId="35DF3EBF" w:rsidR="009E0AB1" w:rsidRPr="00CD3AB0" w:rsidRDefault="009E0AB1" w:rsidP="009E0AB1">
            <w:pPr>
              <w:rPr>
                <w:rFonts w:eastAsia="Calibri"/>
                <w:color w:val="000000"/>
              </w:rPr>
            </w:pPr>
            <w:r w:rsidRPr="000E2E0A">
              <w:t>$126</w:t>
            </w:r>
          </w:p>
        </w:tc>
        <w:tc>
          <w:tcPr>
            <w:tcW w:w="1245" w:type="dxa"/>
            <w:gridSpan w:val="2"/>
            <w:tcBorders>
              <w:bottom w:val="single" w:sz="8" w:space="0" w:color="897719" w:themeColor="accent3"/>
            </w:tcBorders>
            <w:hideMark/>
          </w:tcPr>
          <w:p w14:paraId="14553176" w14:textId="7FCB4A02" w:rsidR="009E0AB1" w:rsidRPr="00CD3AB0" w:rsidRDefault="009E0AB1" w:rsidP="009E0AB1">
            <w:pPr>
              <w:rPr>
                <w:rFonts w:eastAsia="Calibri"/>
                <w:color w:val="000000"/>
              </w:rPr>
            </w:pPr>
            <w:r w:rsidRPr="000E2E0A">
              <w:t>$133</w:t>
            </w:r>
          </w:p>
        </w:tc>
        <w:tc>
          <w:tcPr>
            <w:tcW w:w="1276" w:type="dxa"/>
            <w:gridSpan w:val="2"/>
            <w:tcBorders>
              <w:bottom w:val="single" w:sz="8" w:space="0" w:color="897719" w:themeColor="accent3"/>
            </w:tcBorders>
          </w:tcPr>
          <w:p w14:paraId="23572BE6" w14:textId="07DD310C" w:rsidR="009E0AB1" w:rsidRPr="00CD3AB0" w:rsidRDefault="009E0AB1" w:rsidP="009E0AB1">
            <w:pPr>
              <w:rPr>
                <w:rFonts w:eastAsia="Calibri"/>
                <w:color w:val="000000"/>
                <w:highlight w:val="yellow"/>
              </w:rPr>
            </w:pPr>
            <w:r w:rsidRPr="000E2E0A">
              <w:t>$120</w:t>
            </w:r>
          </w:p>
        </w:tc>
        <w:tc>
          <w:tcPr>
            <w:tcW w:w="1276" w:type="dxa"/>
            <w:gridSpan w:val="2"/>
            <w:tcBorders>
              <w:bottom w:val="single" w:sz="8" w:space="0" w:color="897719" w:themeColor="accent3"/>
            </w:tcBorders>
            <w:hideMark/>
          </w:tcPr>
          <w:p w14:paraId="623BDA96" w14:textId="1D3235CA" w:rsidR="009E0AB1" w:rsidRPr="00CD3AB0" w:rsidRDefault="009E0AB1" w:rsidP="009E0AB1">
            <w:pPr>
              <w:rPr>
                <w:rFonts w:eastAsia="Calibri"/>
                <w:color w:val="000000"/>
              </w:rPr>
            </w:pPr>
            <w:r w:rsidRPr="000E2E0A">
              <w:t>$120</w:t>
            </w:r>
          </w:p>
        </w:tc>
        <w:tc>
          <w:tcPr>
            <w:tcW w:w="1275" w:type="dxa"/>
            <w:gridSpan w:val="3"/>
            <w:tcBorders>
              <w:bottom w:val="single" w:sz="8" w:space="0" w:color="897719" w:themeColor="accent3"/>
              <w:right w:val="single" w:sz="4" w:space="0" w:color="D4E2E0" w:themeColor="accent5"/>
            </w:tcBorders>
            <w:shd w:val="clear" w:color="auto" w:fill="F5EDC1" w:themeFill="accent4"/>
            <w:hideMark/>
          </w:tcPr>
          <w:p w14:paraId="2D3DAA00" w14:textId="6670B8B3" w:rsidR="009E0AB1" w:rsidRPr="00CD3AB0" w:rsidRDefault="009E0AB1" w:rsidP="009E0AB1">
            <w:pPr>
              <w:rPr>
                <w:rFonts w:eastAsia="Calibri"/>
                <w:color w:val="000000"/>
              </w:rPr>
            </w:pPr>
            <w:r w:rsidRPr="000E2E0A">
              <w:t>$120</w:t>
            </w:r>
          </w:p>
        </w:tc>
        <w:tc>
          <w:tcPr>
            <w:tcW w:w="1139" w:type="dxa"/>
            <w:gridSpan w:val="2"/>
            <w:tcBorders>
              <w:top w:val="single" w:sz="4" w:space="0" w:color="D4E2E0" w:themeColor="accent5"/>
              <w:left w:val="single" w:sz="4" w:space="0" w:color="D4E2E0" w:themeColor="accent5"/>
              <w:bottom w:val="single" w:sz="8" w:space="0" w:color="897719" w:themeColor="accent3"/>
              <w:right w:val="single" w:sz="4" w:space="0" w:color="D4E2E0" w:themeColor="accent5"/>
            </w:tcBorders>
            <w:shd w:val="clear" w:color="auto" w:fill="CEDFDC" w:themeFill="accent2" w:themeFillTint="33"/>
            <w:hideMark/>
          </w:tcPr>
          <w:p w14:paraId="31AF7EFE" w14:textId="4D6C084F" w:rsidR="009E0AB1" w:rsidRPr="00CD3AB0" w:rsidRDefault="009E0AB1" w:rsidP="009E0AB1">
            <w:pPr>
              <w:rPr>
                <w:rFonts w:eastAsia="Calibri"/>
                <w:color w:val="000000"/>
              </w:rPr>
            </w:pPr>
            <w:r w:rsidRPr="000E2E0A">
              <w:t>$113</w:t>
            </w:r>
          </w:p>
        </w:tc>
      </w:tr>
      <w:tr w:rsidR="009E0AB1" w:rsidRPr="00CD3AB0" w14:paraId="77EEAC4E" w14:textId="77777777" w:rsidTr="002D35F8">
        <w:tblPrEx>
          <w:tblBorders>
            <w:top w:val="single" w:sz="4" w:space="0" w:color="EFE29B" w:themeColor="accent4" w:themeShade="E6"/>
            <w:left w:val="single" w:sz="4" w:space="0" w:color="EFE29B" w:themeColor="accent4" w:themeShade="E6"/>
            <w:bottom w:val="single" w:sz="4" w:space="0" w:color="EFE29B" w:themeColor="accent4" w:themeShade="E6"/>
            <w:right w:val="single" w:sz="4" w:space="0" w:color="EFE29B" w:themeColor="accent4" w:themeShade="E6"/>
            <w:insideH w:val="single" w:sz="4" w:space="0" w:color="EFE29B" w:themeColor="accent4" w:themeShade="E6"/>
            <w:insideV w:val="single" w:sz="4" w:space="0" w:color="EFE29B" w:themeColor="accent4" w:themeShade="E6"/>
          </w:tblBorders>
        </w:tblPrEx>
        <w:trPr>
          <w:trHeight w:val="838"/>
          <w:jc w:val="center"/>
        </w:trPr>
        <w:tc>
          <w:tcPr>
            <w:tcW w:w="709" w:type="dxa"/>
            <w:gridSpan w:val="2"/>
            <w:tcBorders>
              <w:top w:val="single" w:sz="8" w:space="0" w:color="897719" w:themeColor="accent3"/>
            </w:tcBorders>
            <w:shd w:val="clear" w:color="auto" w:fill="F5EDC1" w:themeFill="accent4"/>
          </w:tcPr>
          <w:p w14:paraId="1E6414E7" w14:textId="1B36755C" w:rsidR="009E0AB1" w:rsidRPr="00CD3AB0" w:rsidRDefault="009E0AB1" w:rsidP="009E0AB1">
            <w:pPr>
              <w:rPr>
                <w:rFonts w:eastAsia="Calibri"/>
                <w:b/>
              </w:rPr>
            </w:pPr>
            <w:r>
              <w:rPr>
                <w:rFonts w:eastAsia="Calibri"/>
                <w:b/>
              </w:rPr>
              <w:t>2.1</w:t>
            </w:r>
          </w:p>
        </w:tc>
        <w:tc>
          <w:tcPr>
            <w:tcW w:w="3990" w:type="dxa"/>
            <w:gridSpan w:val="4"/>
            <w:tcBorders>
              <w:top w:val="single" w:sz="8" w:space="0" w:color="897719" w:themeColor="accent3"/>
            </w:tcBorders>
            <w:vAlign w:val="center"/>
            <w:hideMark/>
          </w:tcPr>
          <w:p w14:paraId="530D6284" w14:textId="1DB139B8" w:rsidR="009E0AB1" w:rsidRPr="00CD3AB0" w:rsidRDefault="009E0AB1" w:rsidP="009E0AB1">
            <w:pPr>
              <w:rPr>
                <w:rFonts w:eastAsia="Calibri"/>
              </w:rPr>
            </w:pPr>
            <w:r w:rsidRPr="00CD3AB0">
              <w:rPr>
                <w:rFonts w:eastAsia="Calibri"/>
              </w:rPr>
              <w:t>Average cost to complete a conciliation</w:t>
            </w:r>
          </w:p>
        </w:tc>
        <w:tc>
          <w:tcPr>
            <w:tcW w:w="1245" w:type="dxa"/>
            <w:gridSpan w:val="2"/>
            <w:tcBorders>
              <w:top w:val="single" w:sz="8" w:space="0" w:color="897719" w:themeColor="accent3"/>
            </w:tcBorders>
          </w:tcPr>
          <w:p w14:paraId="0060A021" w14:textId="36B65732" w:rsidR="009E0AB1" w:rsidRPr="00CD3AB0" w:rsidRDefault="009E0AB1" w:rsidP="009E0AB1">
            <w:pPr>
              <w:rPr>
                <w:rFonts w:eastAsia="Calibri"/>
                <w:highlight w:val="yellow"/>
              </w:rPr>
            </w:pPr>
            <w:r w:rsidRPr="002968E9">
              <w:t>$2,412</w:t>
            </w:r>
          </w:p>
        </w:tc>
        <w:tc>
          <w:tcPr>
            <w:tcW w:w="1276" w:type="dxa"/>
            <w:gridSpan w:val="2"/>
            <w:tcBorders>
              <w:top w:val="single" w:sz="8" w:space="0" w:color="897719" w:themeColor="accent3"/>
            </w:tcBorders>
            <w:shd w:val="clear" w:color="auto" w:fill="FFFFFF"/>
          </w:tcPr>
          <w:p w14:paraId="15EBC6AA" w14:textId="6FCA02DB" w:rsidR="009E0AB1" w:rsidRPr="00CD3AB0" w:rsidRDefault="009E0AB1" w:rsidP="009E0AB1">
            <w:pPr>
              <w:rPr>
                <w:rFonts w:eastAsia="Calibri"/>
                <w:highlight w:val="yellow"/>
              </w:rPr>
            </w:pPr>
            <w:r w:rsidRPr="002968E9">
              <w:t>$2,579</w:t>
            </w:r>
          </w:p>
        </w:tc>
        <w:tc>
          <w:tcPr>
            <w:tcW w:w="1276" w:type="dxa"/>
            <w:gridSpan w:val="2"/>
            <w:tcBorders>
              <w:top w:val="single" w:sz="8" w:space="0" w:color="897719" w:themeColor="accent3"/>
            </w:tcBorders>
            <w:shd w:val="clear" w:color="auto" w:fill="FFFFFF"/>
            <w:hideMark/>
          </w:tcPr>
          <w:p w14:paraId="113135D6" w14:textId="2D71FA74" w:rsidR="009E0AB1" w:rsidRPr="00CD3AB0" w:rsidRDefault="009E0AB1" w:rsidP="009E0AB1">
            <w:pPr>
              <w:rPr>
                <w:rFonts w:eastAsia="Calibri"/>
                <w:highlight w:val="yellow"/>
              </w:rPr>
            </w:pPr>
            <w:r w:rsidRPr="002968E9">
              <w:t>$2,268</w:t>
            </w:r>
          </w:p>
        </w:tc>
        <w:tc>
          <w:tcPr>
            <w:tcW w:w="1275" w:type="dxa"/>
            <w:gridSpan w:val="3"/>
            <w:tcBorders>
              <w:top w:val="single" w:sz="8" w:space="0" w:color="897719" w:themeColor="accent3"/>
              <w:right w:val="single" w:sz="4" w:space="0" w:color="D4E2E0" w:themeColor="accent5"/>
            </w:tcBorders>
            <w:shd w:val="clear" w:color="auto" w:fill="F5EDC1" w:themeFill="accent4"/>
            <w:hideMark/>
          </w:tcPr>
          <w:p w14:paraId="27EB1EED" w14:textId="4C5843D9" w:rsidR="009E0AB1" w:rsidRPr="00CD3AB0" w:rsidRDefault="009E0AB1" w:rsidP="009E0AB1">
            <w:pPr>
              <w:rPr>
                <w:rFonts w:eastAsia="Calibri"/>
              </w:rPr>
            </w:pPr>
            <w:r w:rsidRPr="002968E9">
              <w:t>$1,966</w:t>
            </w:r>
          </w:p>
        </w:tc>
        <w:tc>
          <w:tcPr>
            <w:tcW w:w="1139" w:type="dxa"/>
            <w:gridSpan w:val="2"/>
            <w:tcBorders>
              <w:top w:val="single" w:sz="8" w:space="0" w:color="897719" w:themeColor="accent3"/>
              <w:left w:val="single" w:sz="4" w:space="0" w:color="D4E2E0" w:themeColor="accent5"/>
              <w:bottom w:val="single" w:sz="4" w:space="0" w:color="D4E2E0" w:themeColor="accent5"/>
              <w:right w:val="single" w:sz="4" w:space="0" w:color="D4E2E0" w:themeColor="accent5"/>
            </w:tcBorders>
            <w:shd w:val="clear" w:color="auto" w:fill="CEDFDC" w:themeFill="accent2" w:themeFillTint="33"/>
          </w:tcPr>
          <w:p w14:paraId="020E4160" w14:textId="4C624FCA" w:rsidR="009E0AB1" w:rsidRPr="00CD3AB0" w:rsidRDefault="009E0AB1" w:rsidP="009E0AB1">
            <w:pPr>
              <w:rPr>
                <w:rFonts w:eastAsia="Calibri"/>
              </w:rPr>
            </w:pPr>
            <w:r w:rsidRPr="002968E9">
              <w:t>$2,023</w:t>
            </w:r>
          </w:p>
        </w:tc>
      </w:tr>
      <w:tr w:rsidR="009E0AB1" w:rsidRPr="00CD3AB0" w14:paraId="7F97227E" w14:textId="77777777" w:rsidTr="002D35F8">
        <w:tblPrEx>
          <w:tblBorders>
            <w:top w:val="single" w:sz="4" w:space="0" w:color="EFE29B" w:themeColor="accent4" w:themeShade="E6"/>
            <w:left w:val="single" w:sz="4" w:space="0" w:color="EFE29B" w:themeColor="accent4" w:themeShade="E6"/>
            <w:bottom w:val="single" w:sz="4" w:space="0" w:color="EFE29B" w:themeColor="accent4" w:themeShade="E6"/>
            <w:right w:val="single" w:sz="4" w:space="0" w:color="EFE29B" w:themeColor="accent4" w:themeShade="E6"/>
            <w:insideH w:val="single" w:sz="4" w:space="0" w:color="EFE29B" w:themeColor="accent4" w:themeShade="E6"/>
            <w:insideV w:val="single" w:sz="4" w:space="0" w:color="EFE29B" w:themeColor="accent4" w:themeShade="E6"/>
          </w:tblBorders>
        </w:tblPrEx>
        <w:trPr>
          <w:trHeight w:val="850"/>
          <w:jc w:val="center"/>
        </w:trPr>
        <w:tc>
          <w:tcPr>
            <w:tcW w:w="709" w:type="dxa"/>
            <w:gridSpan w:val="2"/>
            <w:shd w:val="clear" w:color="auto" w:fill="F5EDC1" w:themeFill="accent4"/>
          </w:tcPr>
          <w:p w14:paraId="2C9E95E2" w14:textId="1341119B" w:rsidR="009E0AB1" w:rsidRPr="00CD3AB0" w:rsidRDefault="009E0AB1" w:rsidP="009E0AB1">
            <w:pPr>
              <w:rPr>
                <w:rFonts w:eastAsia="Calibri"/>
                <w:b/>
              </w:rPr>
            </w:pPr>
            <w:r>
              <w:rPr>
                <w:rFonts w:eastAsia="Calibri"/>
                <w:b/>
              </w:rPr>
              <w:t>2.2</w:t>
            </w:r>
          </w:p>
        </w:tc>
        <w:tc>
          <w:tcPr>
            <w:tcW w:w="3990" w:type="dxa"/>
            <w:gridSpan w:val="4"/>
            <w:vAlign w:val="center"/>
            <w:hideMark/>
          </w:tcPr>
          <w:p w14:paraId="038563E3" w14:textId="52873034" w:rsidR="009E0AB1" w:rsidRPr="00CD3AB0" w:rsidRDefault="009E0AB1" w:rsidP="009E0AB1">
            <w:pPr>
              <w:rPr>
                <w:rFonts w:eastAsia="Calibri"/>
              </w:rPr>
            </w:pPr>
            <w:r w:rsidRPr="009E0AB1">
              <w:rPr>
                <w:rFonts w:eastAsia="Calibri"/>
              </w:rPr>
              <w:t>Average cost to complete an arbitration</w:t>
            </w:r>
          </w:p>
        </w:tc>
        <w:tc>
          <w:tcPr>
            <w:tcW w:w="1245" w:type="dxa"/>
            <w:gridSpan w:val="2"/>
          </w:tcPr>
          <w:p w14:paraId="4EF405E5" w14:textId="5DA63458" w:rsidR="009E0AB1" w:rsidRPr="00CD3AB0" w:rsidRDefault="009E0AB1" w:rsidP="009E0AB1">
            <w:pPr>
              <w:rPr>
                <w:rFonts w:eastAsia="Calibri"/>
                <w:color w:val="FF0000"/>
                <w:highlight w:val="yellow"/>
              </w:rPr>
            </w:pPr>
            <w:r w:rsidRPr="002968E9">
              <w:t>$13,803</w:t>
            </w:r>
          </w:p>
        </w:tc>
        <w:tc>
          <w:tcPr>
            <w:tcW w:w="1276" w:type="dxa"/>
            <w:gridSpan w:val="2"/>
            <w:shd w:val="clear" w:color="auto" w:fill="FFFFFF"/>
          </w:tcPr>
          <w:p w14:paraId="0292F178" w14:textId="5C43C88E" w:rsidR="009E0AB1" w:rsidRPr="00CD3AB0" w:rsidRDefault="009E0AB1" w:rsidP="009E0AB1">
            <w:pPr>
              <w:rPr>
                <w:rFonts w:eastAsia="Calibri"/>
              </w:rPr>
            </w:pPr>
            <w:r w:rsidRPr="002968E9">
              <w:t>$13,014</w:t>
            </w:r>
          </w:p>
        </w:tc>
        <w:tc>
          <w:tcPr>
            <w:tcW w:w="1276" w:type="dxa"/>
            <w:gridSpan w:val="2"/>
            <w:shd w:val="clear" w:color="auto" w:fill="FFFFFF"/>
            <w:hideMark/>
          </w:tcPr>
          <w:p w14:paraId="5A4642D0" w14:textId="3D31D649" w:rsidR="009E0AB1" w:rsidRPr="00CD3AB0" w:rsidRDefault="009E0AB1" w:rsidP="009E0AB1">
            <w:pPr>
              <w:rPr>
                <w:rFonts w:eastAsia="Calibri"/>
              </w:rPr>
            </w:pPr>
            <w:r w:rsidRPr="002968E9">
              <w:t>$11,153</w:t>
            </w:r>
          </w:p>
        </w:tc>
        <w:tc>
          <w:tcPr>
            <w:tcW w:w="1275" w:type="dxa"/>
            <w:gridSpan w:val="3"/>
            <w:tcBorders>
              <w:right w:val="single" w:sz="4" w:space="0" w:color="D4E2E0" w:themeColor="accent5"/>
            </w:tcBorders>
            <w:shd w:val="clear" w:color="auto" w:fill="F5EDC1" w:themeFill="accent4"/>
            <w:hideMark/>
          </w:tcPr>
          <w:p w14:paraId="547E0493" w14:textId="7A479532" w:rsidR="009E0AB1" w:rsidRPr="00CD3AB0" w:rsidRDefault="009E0AB1" w:rsidP="009E0AB1">
            <w:pPr>
              <w:rPr>
                <w:rFonts w:eastAsia="Calibri"/>
              </w:rPr>
            </w:pPr>
            <w:r w:rsidRPr="002968E9">
              <w:t>$10,042</w:t>
            </w:r>
          </w:p>
        </w:tc>
        <w:tc>
          <w:tcPr>
            <w:tcW w:w="1139" w:type="dxa"/>
            <w:gridSpan w:val="2"/>
            <w:tcBorders>
              <w:top w:val="single" w:sz="4" w:space="0" w:color="D4E2E0" w:themeColor="accent5"/>
              <w:left w:val="single" w:sz="4" w:space="0" w:color="D4E2E0" w:themeColor="accent5"/>
              <w:bottom w:val="single" w:sz="4" w:space="0" w:color="D4E2E0" w:themeColor="accent5"/>
              <w:right w:val="single" w:sz="4" w:space="0" w:color="D4E2E0" w:themeColor="accent5"/>
            </w:tcBorders>
            <w:shd w:val="clear" w:color="auto" w:fill="CEDFDC" w:themeFill="accent2" w:themeFillTint="33"/>
            <w:hideMark/>
          </w:tcPr>
          <w:p w14:paraId="0182522C" w14:textId="029DE917" w:rsidR="009E0AB1" w:rsidRPr="00CD3AB0" w:rsidRDefault="009E0AB1" w:rsidP="009E0AB1">
            <w:pPr>
              <w:rPr>
                <w:rFonts w:eastAsia="Calibri"/>
              </w:rPr>
            </w:pPr>
            <w:r w:rsidRPr="002968E9">
              <w:t>$8,611</w:t>
            </w:r>
          </w:p>
        </w:tc>
      </w:tr>
      <w:tr w:rsidR="009E0AB1" w:rsidRPr="00CD3AB0" w14:paraId="2420224D" w14:textId="77777777" w:rsidTr="002D35F8">
        <w:tblPrEx>
          <w:tblBorders>
            <w:top w:val="single" w:sz="4" w:space="0" w:color="EFE29B" w:themeColor="accent4" w:themeShade="E6"/>
            <w:left w:val="single" w:sz="4" w:space="0" w:color="EFE29B" w:themeColor="accent4" w:themeShade="E6"/>
            <w:bottom w:val="single" w:sz="4" w:space="0" w:color="EFE29B" w:themeColor="accent4" w:themeShade="E6"/>
            <w:right w:val="single" w:sz="4" w:space="0" w:color="EFE29B" w:themeColor="accent4" w:themeShade="E6"/>
            <w:insideH w:val="single" w:sz="4" w:space="0" w:color="EFE29B" w:themeColor="accent4" w:themeShade="E6"/>
            <w:insideV w:val="single" w:sz="4" w:space="0" w:color="EFE29B" w:themeColor="accent4" w:themeShade="E6"/>
          </w:tblBorders>
        </w:tblPrEx>
        <w:trPr>
          <w:trHeight w:val="699"/>
          <w:jc w:val="center"/>
        </w:trPr>
        <w:tc>
          <w:tcPr>
            <w:tcW w:w="709" w:type="dxa"/>
            <w:gridSpan w:val="2"/>
            <w:shd w:val="clear" w:color="auto" w:fill="F5EDC1" w:themeFill="accent4"/>
          </w:tcPr>
          <w:p w14:paraId="2E7ED944" w14:textId="424D3037" w:rsidR="009E0AB1" w:rsidRPr="00CD3AB0" w:rsidRDefault="009E0AB1" w:rsidP="009E0AB1">
            <w:pPr>
              <w:rPr>
                <w:rFonts w:eastAsia="Calibri"/>
                <w:b/>
              </w:rPr>
            </w:pPr>
            <w:r>
              <w:rPr>
                <w:rFonts w:eastAsia="Calibri"/>
                <w:b/>
              </w:rPr>
              <w:t>2.3</w:t>
            </w:r>
          </w:p>
        </w:tc>
        <w:tc>
          <w:tcPr>
            <w:tcW w:w="3990" w:type="dxa"/>
            <w:gridSpan w:val="4"/>
            <w:vAlign w:val="center"/>
          </w:tcPr>
          <w:p w14:paraId="048FABF4" w14:textId="686A6DCA" w:rsidR="009E0AB1" w:rsidRPr="00CD3AB0" w:rsidRDefault="009E0AB1" w:rsidP="009E0AB1">
            <w:pPr>
              <w:rPr>
                <w:rFonts w:eastAsia="Calibri"/>
              </w:rPr>
            </w:pPr>
            <w:r w:rsidRPr="009E0AB1">
              <w:rPr>
                <w:rFonts w:eastAsia="Calibri"/>
              </w:rPr>
              <w:t>Average cost to process a Memorandum  of Agreement</w:t>
            </w:r>
          </w:p>
        </w:tc>
        <w:tc>
          <w:tcPr>
            <w:tcW w:w="1245" w:type="dxa"/>
            <w:gridSpan w:val="2"/>
          </w:tcPr>
          <w:p w14:paraId="53328909" w14:textId="4D9D952B" w:rsidR="009E0AB1" w:rsidRPr="00CD3AB0" w:rsidRDefault="009E0AB1" w:rsidP="009E0AB1">
            <w:pPr>
              <w:rPr>
                <w:rFonts w:eastAsia="Calibri"/>
                <w:highlight w:val="yellow"/>
              </w:rPr>
            </w:pPr>
            <w:r w:rsidRPr="002968E9">
              <w:t>$381</w:t>
            </w:r>
          </w:p>
        </w:tc>
        <w:tc>
          <w:tcPr>
            <w:tcW w:w="1276" w:type="dxa"/>
            <w:gridSpan w:val="2"/>
          </w:tcPr>
          <w:p w14:paraId="54C00645" w14:textId="40BE7F62" w:rsidR="009E0AB1" w:rsidRPr="00CD3AB0" w:rsidRDefault="009E0AB1" w:rsidP="009E0AB1">
            <w:pPr>
              <w:rPr>
                <w:rFonts w:eastAsia="Calibri"/>
                <w:highlight w:val="yellow"/>
              </w:rPr>
            </w:pPr>
            <w:r w:rsidRPr="002968E9">
              <w:t>$373</w:t>
            </w:r>
          </w:p>
        </w:tc>
        <w:tc>
          <w:tcPr>
            <w:tcW w:w="1276" w:type="dxa"/>
            <w:gridSpan w:val="2"/>
          </w:tcPr>
          <w:p w14:paraId="65BD6366" w14:textId="46CEA572" w:rsidR="009E0AB1" w:rsidRPr="00CD3AB0" w:rsidRDefault="009E0AB1" w:rsidP="009E0AB1">
            <w:pPr>
              <w:rPr>
                <w:rFonts w:eastAsia="Calibri"/>
                <w:highlight w:val="yellow"/>
              </w:rPr>
            </w:pPr>
            <w:r w:rsidRPr="002968E9">
              <w:t>$389</w:t>
            </w:r>
          </w:p>
        </w:tc>
        <w:tc>
          <w:tcPr>
            <w:tcW w:w="1275" w:type="dxa"/>
            <w:gridSpan w:val="3"/>
            <w:tcBorders>
              <w:right w:val="single" w:sz="4" w:space="0" w:color="D4E2E0" w:themeColor="accent5"/>
            </w:tcBorders>
            <w:shd w:val="clear" w:color="auto" w:fill="F5EDC1" w:themeFill="accent4"/>
          </w:tcPr>
          <w:p w14:paraId="2D9B3432" w14:textId="2781464F" w:rsidR="009E0AB1" w:rsidRPr="00CD3AB0" w:rsidRDefault="009E0AB1" w:rsidP="009E0AB1">
            <w:pPr>
              <w:rPr>
                <w:rFonts w:eastAsia="Calibri"/>
              </w:rPr>
            </w:pPr>
            <w:r w:rsidRPr="002968E9">
              <w:t>$342</w:t>
            </w:r>
          </w:p>
        </w:tc>
        <w:tc>
          <w:tcPr>
            <w:tcW w:w="1139" w:type="dxa"/>
            <w:gridSpan w:val="2"/>
            <w:tcBorders>
              <w:top w:val="single" w:sz="4" w:space="0" w:color="D4E2E0" w:themeColor="accent5"/>
              <w:left w:val="single" w:sz="4" w:space="0" w:color="D4E2E0" w:themeColor="accent5"/>
              <w:bottom w:val="single" w:sz="4" w:space="0" w:color="D4E2E0" w:themeColor="accent5"/>
              <w:right w:val="single" w:sz="4" w:space="0" w:color="D4E2E0" w:themeColor="accent5"/>
            </w:tcBorders>
            <w:shd w:val="clear" w:color="auto" w:fill="CEDFDC" w:themeFill="accent2" w:themeFillTint="33"/>
          </w:tcPr>
          <w:p w14:paraId="362E2A79" w14:textId="4748AC47" w:rsidR="009E0AB1" w:rsidRPr="00CD3AB0" w:rsidRDefault="009E0AB1" w:rsidP="009E0AB1">
            <w:pPr>
              <w:rPr>
                <w:rFonts w:eastAsia="Calibri"/>
              </w:rPr>
            </w:pPr>
            <w:r w:rsidRPr="002968E9">
              <w:t>$401</w:t>
            </w:r>
          </w:p>
        </w:tc>
      </w:tr>
    </w:tbl>
    <w:p w14:paraId="7FD09C3E" w14:textId="77777777" w:rsidR="00CD3AB0" w:rsidRPr="00CD3AB0" w:rsidRDefault="00CD3AB0" w:rsidP="00B24B49">
      <w:pPr>
        <w:pStyle w:val="Heading2nonumber"/>
        <w:rPr>
          <w:rFonts w:eastAsia="Calibri"/>
        </w:rPr>
      </w:pPr>
      <w:bookmarkStart w:id="591" w:name="_Toc392689888"/>
      <w:bookmarkStart w:id="592" w:name="_Toc392690098"/>
      <w:bookmarkStart w:id="593" w:name="_Toc392690161"/>
      <w:bookmarkStart w:id="594" w:name="_Toc426617611"/>
      <w:bookmarkStart w:id="595" w:name="_Toc430091342"/>
      <w:r w:rsidRPr="00CD3AB0">
        <w:rPr>
          <w:rFonts w:eastAsia="Calibri"/>
        </w:rPr>
        <w:lastRenderedPageBreak/>
        <w:t>Key Performance Indicators of Effectiveness</w:t>
      </w:r>
      <w:bookmarkEnd w:id="591"/>
      <w:bookmarkEnd w:id="592"/>
      <w:bookmarkEnd w:id="593"/>
      <w:bookmarkEnd w:id="594"/>
      <w:bookmarkEnd w:id="595"/>
    </w:p>
    <w:p w14:paraId="1D0EDA9C" w14:textId="77777777" w:rsidR="003A4FD6" w:rsidRPr="003A4FD6" w:rsidRDefault="003A4FD6" w:rsidP="003A4FD6">
      <w:pPr>
        <w:rPr>
          <w:rFonts w:eastAsia="Calibri"/>
        </w:rPr>
      </w:pPr>
      <w:bookmarkStart w:id="596" w:name="_Indicator_1.1_Number"/>
      <w:bookmarkEnd w:id="596"/>
      <w:r w:rsidRPr="003A4FD6">
        <w:rPr>
          <w:rFonts w:eastAsia="Calibri"/>
        </w:rPr>
        <w:t xml:space="preserve">Agency level government desired outcomes should reflect the purpose of the agency. WorkCover WA’s Agency Desired Outcome is: </w:t>
      </w:r>
      <w:r w:rsidRPr="003A4FD6">
        <w:rPr>
          <w:rStyle w:val="Emphasis"/>
        </w:rPr>
        <w:t xml:space="preserve">“To ensure a workers’ compensation and injury management scheme that is financially viable, contemporary, and integrated whilst providing services that are fair, accessible, timely and cost effective for all participants.” </w:t>
      </w:r>
    </w:p>
    <w:p w14:paraId="5DE55A87" w14:textId="77777777" w:rsidR="003A4FD6" w:rsidRPr="003A4FD6" w:rsidRDefault="003A4FD6" w:rsidP="003A4FD6">
      <w:pPr>
        <w:rPr>
          <w:rFonts w:eastAsia="Calibri"/>
        </w:rPr>
      </w:pPr>
      <w:r w:rsidRPr="003A4FD6">
        <w:rPr>
          <w:rFonts w:eastAsia="Calibri"/>
        </w:rPr>
        <w:t>WorkCover WA must measure its success in achieving its outcome through effectiveness indicators. Effectiveness indicators provide information on the extent to which agency level Government desired outcomes have been achieved, or contributed to, through the delivery of services.</w:t>
      </w:r>
    </w:p>
    <w:p w14:paraId="42CECE4D" w14:textId="77777777" w:rsidR="003A4FD6" w:rsidRPr="003A4FD6" w:rsidRDefault="003A4FD6" w:rsidP="003A4FD6">
      <w:pPr>
        <w:rPr>
          <w:rFonts w:eastAsia="Calibri"/>
        </w:rPr>
      </w:pPr>
      <w:r w:rsidRPr="003A4FD6">
        <w:rPr>
          <w:rFonts w:eastAsia="Calibri"/>
        </w:rPr>
        <w:t xml:space="preserve">The effectiveness indicators chosen by WorkCover WA provide information in relation to workers’ compensation compliance activities and timeframes for managing conciliation and arbitration processes. </w:t>
      </w:r>
    </w:p>
    <w:p w14:paraId="12CD30F9" w14:textId="38122359" w:rsidR="003A4FD6" w:rsidRPr="003A4FD6" w:rsidRDefault="003A4FD6" w:rsidP="003A4FD6">
      <w:pPr>
        <w:rPr>
          <w:rFonts w:eastAsia="Calibri"/>
        </w:rPr>
      </w:pPr>
      <w:r w:rsidRPr="003A4FD6">
        <w:rPr>
          <w:rFonts w:eastAsia="Calibri"/>
        </w:rPr>
        <w:t>These indicators relate directly to the two services provided by WorkCover WA that is Scheme Regulation and Scheme Services.</w:t>
      </w:r>
    </w:p>
    <w:p w14:paraId="16911EF3" w14:textId="773125FB" w:rsidR="00421A61" w:rsidRPr="00341E08" w:rsidRDefault="003A4FD6" w:rsidP="00341E08">
      <w:pPr>
        <w:rPr>
          <w:rFonts w:eastAsia="Calibri"/>
        </w:rPr>
      </w:pPr>
      <w:r w:rsidRPr="003A4FD6">
        <w:rPr>
          <w:rFonts w:eastAsia="Calibri"/>
        </w:rPr>
        <w:t>The commentary below explains the rationale behind each effectiveness indicator and how it measures success in achieving our outcome.</w:t>
      </w:r>
    </w:p>
    <w:p w14:paraId="53E9D3F8" w14:textId="77777777" w:rsidR="00F0370A" w:rsidRPr="00664937" w:rsidRDefault="00CD3AB0" w:rsidP="00664937">
      <w:pPr>
        <w:pStyle w:val="Heading4"/>
        <w:rPr>
          <w:rStyle w:val="Strong"/>
          <w:b/>
          <w:bCs/>
          <w:color w:val="auto"/>
        </w:rPr>
      </w:pPr>
      <w:r w:rsidRPr="00664937">
        <w:rPr>
          <w:rStyle w:val="Strong"/>
          <w:b/>
          <w:bCs/>
          <w:color w:val="auto"/>
        </w:rPr>
        <w:t xml:space="preserve">Indicator 1.1 </w:t>
      </w:r>
    </w:p>
    <w:p w14:paraId="2AF7BD40" w14:textId="4C75A430" w:rsidR="00CD3AB0" w:rsidRPr="00F0370A" w:rsidRDefault="00CD3AB0" w:rsidP="00F0370A">
      <w:pPr>
        <w:rPr>
          <w:rStyle w:val="Strong"/>
          <w:color w:val="897719" w:themeColor="accent3"/>
        </w:rPr>
      </w:pPr>
      <w:r w:rsidRPr="00F0370A">
        <w:rPr>
          <w:rStyle w:val="Strong"/>
          <w:color w:val="897719" w:themeColor="accent3"/>
        </w:rPr>
        <w:t xml:space="preserve">Number of non-compliance events identified as a result of a claim on the General Account </w:t>
      </w:r>
    </w:p>
    <w:tbl>
      <w:tblPr>
        <w:tblpPr w:leftFromText="180" w:rightFromText="180" w:vertAnchor="text" w:horzAnchor="margin" w:tblpY="278"/>
        <w:tblW w:w="9889" w:type="dxa"/>
        <w:tblBorders>
          <w:top w:val="single" w:sz="8" w:space="0" w:color="D4E2E0" w:themeColor="accent5"/>
          <w:left w:val="single" w:sz="8" w:space="0" w:color="D4E2E0" w:themeColor="accent5"/>
          <w:bottom w:val="single" w:sz="8" w:space="0" w:color="D4E2E0" w:themeColor="accent5"/>
          <w:right w:val="single" w:sz="8" w:space="0" w:color="D4E2E0" w:themeColor="accent5"/>
          <w:insideH w:val="single" w:sz="8" w:space="0" w:color="D4E2E0" w:themeColor="accent5"/>
          <w:insideV w:val="single" w:sz="8" w:space="0" w:color="D4E2E0" w:themeColor="accent5"/>
        </w:tblBorders>
        <w:tblLayout w:type="fixed"/>
        <w:tblLook w:val="04A0" w:firstRow="1" w:lastRow="0" w:firstColumn="1" w:lastColumn="0" w:noHBand="0" w:noVBand="1"/>
      </w:tblPr>
      <w:tblGrid>
        <w:gridCol w:w="2376"/>
        <w:gridCol w:w="1134"/>
        <w:gridCol w:w="1134"/>
        <w:gridCol w:w="1276"/>
        <w:gridCol w:w="1276"/>
        <w:gridCol w:w="1276"/>
        <w:gridCol w:w="1417"/>
      </w:tblGrid>
      <w:tr w:rsidR="00341E08" w:rsidRPr="00A62E10" w14:paraId="3EE1EB90" w14:textId="77777777" w:rsidTr="00341E08">
        <w:trPr>
          <w:trHeight w:val="567"/>
        </w:trPr>
        <w:tc>
          <w:tcPr>
            <w:tcW w:w="2376" w:type="dxa"/>
            <w:shd w:val="clear" w:color="auto" w:fill="2D4541" w:themeFill="accent2"/>
            <w:vAlign w:val="center"/>
          </w:tcPr>
          <w:p w14:paraId="7D9C51AC" w14:textId="77777777" w:rsidR="00341E08" w:rsidRPr="002F3A2A" w:rsidRDefault="00341E08" w:rsidP="00CA672A">
            <w:pPr>
              <w:pStyle w:val="TableHeading"/>
              <w:spacing w:before="0" w:after="0"/>
              <w:rPr>
                <w:rFonts w:cs="Arial"/>
                <w:sz w:val="24"/>
                <w:szCs w:val="24"/>
              </w:rPr>
            </w:pPr>
            <w:r w:rsidRPr="002F3A2A">
              <w:rPr>
                <w:rFonts w:cs="Arial"/>
                <w:sz w:val="24"/>
                <w:szCs w:val="24"/>
              </w:rPr>
              <w:t>Indicator 1.1</w:t>
            </w:r>
          </w:p>
        </w:tc>
        <w:tc>
          <w:tcPr>
            <w:tcW w:w="1134" w:type="dxa"/>
            <w:shd w:val="clear" w:color="auto" w:fill="2D4541" w:themeFill="accent2"/>
          </w:tcPr>
          <w:p w14:paraId="5159C8B8" w14:textId="77777777" w:rsidR="00341E08" w:rsidRDefault="00341E08" w:rsidP="00CA672A">
            <w:pPr>
              <w:pStyle w:val="TableHeading"/>
              <w:spacing w:before="0" w:after="0"/>
              <w:jc w:val="center"/>
              <w:rPr>
                <w:rFonts w:cs="Arial"/>
                <w:sz w:val="24"/>
                <w:szCs w:val="24"/>
              </w:rPr>
            </w:pPr>
            <w:r>
              <w:rPr>
                <w:rFonts w:cs="Arial"/>
                <w:sz w:val="24"/>
                <w:szCs w:val="24"/>
              </w:rPr>
              <w:t>2010/11</w:t>
            </w:r>
          </w:p>
          <w:p w14:paraId="5AC78ECA" w14:textId="5C79A76A" w:rsidR="00341E08" w:rsidRPr="00005620" w:rsidRDefault="00341E08" w:rsidP="00CA672A">
            <w:pPr>
              <w:pStyle w:val="TableHeading"/>
              <w:spacing w:before="0" w:after="0"/>
              <w:jc w:val="center"/>
              <w:rPr>
                <w:rFonts w:cs="Arial"/>
                <w:sz w:val="24"/>
                <w:szCs w:val="24"/>
              </w:rPr>
            </w:pPr>
            <w:r>
              <w:rPr>
                <w:rFonts w:cs="Arial"/>
                <w:sz w:val="24"/>
                <w:szCs w:val="24"/>
              </w:rPr>
              <w:t>Actual</w:t>
            </w:r>
          </w:p>
        </w:tc>
        <w:tc>
          <w:tcPr>
            <w:tcW w:w="1134" w:type="dxa"/>
            <w:shd w:val="clear" w:color="auto" w:fill="2D4541" w:themeFill="accent2"/>
            <w:vAlign w:val="center"/>
          </w:tcPr>
          <w:p w14:paraId="4792EFAA" w14:textId="74862F0A" w:rsidR="00341E08" w:rsidRDefault="00341E08" w:rsidP="00CA672A">
            <w:pPr>
              <w:pStyle w:val="TableHeading"/>
              <w:spacing w:before="0" w:after="0"/>
              <w:jc w:val="center"/>
              <w:rPr>
                <w:rFonts w:cs="Arial"/>
                <w:sz w:val="24"/>
                <w:szCs w:val="24"/>
              </w:rPr>
            </w:pPr>
            <w:r w:rsidRPr="00005620">
              <w:rPr>
                <w:rFonts w:cs="Arial"/>
                <w:sz w:val="24"/>
                <w:szCs w:val="24"/>
              </w:rPr>
              <w:t>201</w:t>
            </w:r>
            <w:r>
              <w:rPr>
                <w:rFonts w:cs="Arial"/>
                <w:sz w:val="24"/>
                <w:szCs w:val="24"/>
              </w:rPr>
              <w:t>1</w:t>
            </w:r>
            <w:r w:rsidRPr="00005620">
              <w:rPr>
                <w:rFonts w:cs="Arial"/>
                <w:sz w:val="24"/>
                <w:szCs w:val="24"/>
              </w:rPr>
              <w:t>/1</w:t>
            </w:r>
            <w:r>
              <w:rPr>
                <w:rFonts w:cs="Arial"/>
                <w:sz w:val="24"/>
                <w:szCs w:val="24"/>
              </w:rPr>
              <w:t>2</w:t>
            </w:r>
          </w:p>
          <w:p w14:paraId="6B01338F" w14:textId="77777777" w:rsidR="00341E08" w:rsidRPr="00A75FE3" w:rsidRDefault="00341E08" w:rsidP="00CA672A">
            <w:pPr>
              <w:pStyle w:val="TableHeading"/>
              <w:spacing w:before="0" w:after="0"/>
              <w:jc w:val="center"/>
              <w:rPr>
                <w:rFonts w:cs="Arial"/>
                <w:sz w:val="24"/>
                <w:szCs w:val="24"/>
              </w:rPr>
            </w:pPr>
            <w:r>
              <w:rPr>
                <w:rFonts w:cs="Arial"/>
                <w:sz w:val="24"/>
                <w:szCs w:val="24"/>
              </w:rPr>
              <w:t>Actual</w:t>
            </w:r>
          </w:p>
        </w:tc>
        <w:tc>
          <w:tcPr>
            <w:tcW w:w="1276" w:type="dxa"/>
            <w:shd w:val="clear" w:color="auto" w:fill="2D4541" w:themeFill="accent2"/>
            <w:vAlign w:val="center"/>
            <w:hideMark/>
          </w:tcPr>
          <w:p w14:paraId="2823D6E2" w14:textId="77777777" w:rsidR="00341E08" w:rsidRPr="00A75FE3" w:rsidRDefault="00341E08" w:rsidP="00CA672A">
            <w:pPr>
              <w:pStyle w:val="TableHeading"/>
              <w:spacing w:before="0" w:after="0"/>
              <w:jc w:val="center"/>
              <w:rPr>
                <w:rFonts w:cs="Arial"/>
                <w:sz w:val="24"/>
                <w:szCs w:val="24"/>
              </w:rPr>
            </w:pPr>
            <w:r w:rsidRPr="003A3AD7">
              <w:rPr>
                <w:rFonts w:cs="Arial"/>
                <w:sz w:val="24"/>
                <w:szCs w:val="24"/>
              </w:rPr>
              <w:t>2012/13 Actual</w:t>
            </w:r>
          </w:p>
        </w:tc>
        <w:tc>
          <w:tcPr>
            <w:tcW w:w="1276" w:type="dxa"/>
            <w:shd w:val="clear" w:color="auto" w:fill="2D4541" w:themeFill="accent2"/>
            <w:vAlign w:val="center"/>
            <w:hideMark/>
          </w:tcPr>
          <w:p w14:paraId="01F75F2B" w14:textId="77777777" w:rsidR="00341E08" w:rsidRPr="000C5388" w:rsidRDefault="00341E08" w:rsidP="00CA672A">
            <w:pPr>
              <w:pStyle w:val="TableHeading"/>
              <w:spacing w:before="0" w:after="0"/>
              <w:jc w:val="center"/>
              <w:rPr>
                <w:rFonts w:cs="Arial"/>
                <w:sz w:val="24"/>
                <w:szCs w:val="24"/>
              </w:rPr>
            </w:pPr>
            <w:bookmarkStart w:id="597" w:name="OLE_LINK1"/>
            <w:r w:rsidRPr="000C5388">
              <w:rPr>
                <w:rFonts w:cs="Arial"/>
                <w:sz w:val="24"/>
                <w:szCs w:val="24"/>
              </w:rPr>
              <w:t xml:space="preserve">2013/14 Actual </w:t>
            </w:r>
            <w:bookmarkEnd w:id="597"/>
          </w:p>
        </w:tc>
        <w:tc>
          <w:tcPr>
            <w:tcW w:w="1276" w:type="dxa"/>
            <w:shd w:val="clear" w:color="auto" w:fill="2D4541" w:themeFill="accent2"/>
            <w:vAlign w:val="center"/>
            <w:hideMark/>
          </w:tcPr>
          <w:p w14:paraId="0A0A978B" w14:textId="77777777" w:rsidR="00341E08" w:rsidRPr="00F53CA9" w:rsidRDefault="00341E08" w:rsidP="00CA672A">
            <w:pPr>
              <w:pStyle w:val="TableHeading"/>
              <w:spacing w:before="0" w:after="0"/>
              <w:jc w:val="center"/>
              <w:rPr>
                <w:rFonts w:cs="Arial"/>
              </w:rPr>
            </w:pPr>
            <w:r w:rsidRPr="00F53CA9">
              <w:rPr>
                <w:rFonts w:cs="Arial"/>
              </w:rPr>
              <w:t>2014/15</w:t>
            </w:r>
          </w:p>
          <w:p w14:paraId="53645556" w14:textId="61EA784F" w:rsidR="00341E08" w:rsidRPr="00F53CA9" w:rsidRDefault="00341E08" w:rsidP="00CA672A">
            <w:pPr>
              <w:pStyle w:val="TableHeading"/>
              <w:spacing w:before="0" w:after="0"/>
              <w:jc w:val="center"/>
              <w:rPr>
                <w:rFonts w:cs="Arial"/>
              </w:rPr>
            </w:pPr>
            <w:r>
              <w:rPr>
                <w:rFonts w:cs="Arial"/>
              </w:rPr>
              <w:t>Actual</w:t>
            </w:r>
            <w:r w:rsidRPr="00F53CA9">
              <w:rPr>
                <w:rFonts w:cs="Arial"/>
              </w:rPr>
              <w:t xml:space="preserve"> </w:t>
            </w:r>
          </w:p>
        </w:tc>
        <w:tc>
          <w:tcPr>
            <w:tcW w:w="1417" w:type="dxa"/>
            <w:shd w:val="clear" w:color="auto" w:fill="2D4541" w:themeFill="accent2"/>
            <w:vAlign w:val="center"/>
            <w:hideMark/>
          </w:tcPr>
          <w:p w14:paraId="4B2AAAA9" w14:textId="77777777" w:rsidR="00341E08" w:rsidRPr="00A62E10" w:rsidRDefault="00341E08" w:rsidP="00CA672A">
            <w:pPr>
              <w:pStyle w:val="TableHeading"/>
              <w:spacing w:before="0" w:after="0"/>
              <w:jc w:val="center"/>
              <w:rPr>
                <w:rFonts w:cs="Arial"/>
                <w:sz w:val="24"/>
                <w:szCs w:val="24"/>
              </w:rPr>
            </w:pPr>
            <w:r>
              <w:rPr>
                <w:rFonts w:cs="Arial"/>
                <w:sz w:val="24"/>
                <w:szCs w:val="24"/>
              </w:rPr>
              <w:t>2014/15</w:t>
            </w:r>
            <w:r w:rsidRPr="00A62E10">
              <w:rPr>
                <w:rFonts w:cs="Arial"/>
                <w:sz w:val="24"/>
                <w:szCs w:val="24"/>
              </w:rPr>
              <w:t xml:space="preserve"> Target</w:t>
            </w:r>
          </w:p>
        </w:tc>
      </w:tr>
      <w:tr w:rsidR="00341E08" w:rsidRPr="00092288" w14:paraId="68AF3D49" w14:textId="77777777" w:rsidTr="00A07B0E">
        <w:trPr>
          <w:trHeight w:val="567"/>
        </w:trPr>
        <w:tc>
          <w:tcPr>
            <w:tcW w:w="2376" w:type="dxa"/>
            <w:vAlign w:val="center"/>
            <w:hideMark/>
          </w:tcPr>
          <w:p w14:paraId="7C16C8CD" w14:textId="7C762BC2" w:rsidR="00341E08" w:rsidRPr="00F0666F" w:rsidRDefault="00341E08" w:rsidP="00341E08">
            <w:pPr>
              <w:pStyle w:val="TableText"/>
              <w:spacing w:before="60" w:after="60"/>
            </w:pPr>
            <w:r>
              <w:t>T</w:t>
            </w:r>
            <w:r w:rsidRPr="00F0666F">
              <w:t>he number of non-compliance events identified as a result of a claim on the General Account</w:t>
            </w:r>
          </w:p>
        </w:tc>
        <w:tc>
          <w:tcPr>
            <w:tcW w:w="1134" w:type="dxa"/>
          </w:tcPr>
          <w:p w14:paraId="6CC15EAB" w14:textId="4AB3C84E" w:rsidR="00341E08" w:rsidRPr="00092288" w:rsidRDefault="00341E08" w:rsidP="00341E08">
            <w:pPr>
              <w:pStyle w:val="TableText"/>
              <w:jc w:val="center"/>
            </w:pPr>
            <w:r w:rsidRPr="005C52F1">
              <w:t>6</w:t>
            </w:r>
          </w:p>
        </w:tc>
        <w:tc>
          <w:tcPr>
            <w:tcW w:w="1134" w:type="dxa"/>
          </w:tcPr>
          <w:p w14:paraId="70566DD5" w14:textId="34043A98" w:rsidR="00341E08" w:rsidRPr="00092288" w:rsidRDefault="00341E08" w:rsidP="00341E08">
            <w:pPr>
              <w:pStyle w:val="TableText"/>
              <w:jc w:val="center"/>
            </w:pPr>
            <w:r w:rsidRPr="005C52F1">
              <w:t>5</w:t>
            </w:r>
          </w:p>
        </w:tc>
        <w:tc>
          <w:tcPr>
            <w:tcW w:w="1276" w:type="dxa"/>
            <w:hideMark/>
          </w:tcPr>
          <w:p w14:paraId="3EC0899A" w14:textId="7C635F9E" w:rsidR="00341E08" w:rsidRPr="00092288" w:rsidRDefault="00341E08" w:rsidP="00341E08">
            <w:pPr>
              <w:pStyle w:val="TableText"/>
              <w:jc w:val="center"/>
            </w:pPr>
            <w:r w:rsidRPr="005C52F1">
              <w:t>3</w:t>
            </w:r>
          </w:p>
        </w:tc>
        <w:tc>
          <w:tcPr>
            <w:tcW w:w="1276" w:type="dxa"/>
            <w:hideMark/>
          </w:tcPr>
          <w:p w14:paraId="7B6BB148" w14:textId="528F4735" w:rsidR="00341E08" w:rsidRPr="00092288" w:rsidRDefault="00341E08" w:rsidP="00341E08">
            <w:pPr>
              <w:pStyle w:val="TableText"/>
              <w:jc w:val="center"/>
            </w:pPr>
            <w:r w:rsidRPr="005C52F1">
              <w:t>4</w:t>
            </w:r>
          </w:p>
        </w:tc>
        <w:tc>
          <w:tcPr>
            <w:tcW w:w="1276" w:type="dxa"/>
            <w:shd w:val="clear" w:color="auto" w:fill="EAE2B9"/>
            <w:hideMark/>
          </w:tcPr>
          <w:p w14:paraId="6D7D1D47" w14:textId="1B75FF36" w:rsidR="00341E08" w:rsidRPr="00092288" w:rsidRDefault="00341E08" w:rsidP="00341E08">
            <w:pPr>
              <w:pStyle w:val="TableText"/>
              <w:jc w:val="center"/>
            </w:pPr>
            <w:r w:rsidRPr="005C52F1">
              <w:t>3</w:t>
            </w:r>
          </w:p>
        </w:tc>
        <w:tc>
          <w:tcPr>
            <w:tcW w:w="1417" w:type="dxa"/>
            <w:shd w:val="clear" w:color="auto" w:fill="D4E2E0" w:themeFill="accent5"/>
            <w:hideMark/>
          </w:tcPr>
          <w:p w14:paraId="73D90C06" w14:textId="09DA942E" w:rsidR="00C27120" w:rsidRDefault="00341E08" w:rsidP="00341E08">
            <w:pPr>
              <w:pStyle w:val="TableText"/>
              <w:jc w:val="center"/>
            </w:pPr>
            <w:r w:rsidRPr="005C52F1">
              <w:t>8</w:t>
            </w:r>
          </w:p>
          <w:p w14:paraId="21735811" w14:textId="597B6692" w:rsidR="00C27120" w:rsidRDefault="00C27120" w:rsidP="00C27120">
            <w:pPr>
              <w:jc w:val="center"/>
              <w:rPr>
                <w:lang w:val="en-US"/>
              </w:rPr>
            </w:pPr>
          </w:p>
          <w:p w14:paraId="6E1ADFBB" w14:textId="77777777" w:rsidR="00341E08" w:rsidRPr="00C27120" w:rsidRDefault="00341E08" w:rsidP="00C27120">
            <w:pPr>
              <w:jc w:val="center"/>
              <w:rPr>
                <w:lang w:val="en-US"/>
              </w:rPr>
            </w:pPr>
          </w:p>
        </w:tc>
      </w:tr>
    </w:tbl>
    <w:p w14:paraId="7961297B" w14:textId="77777777" w:rsidR="00CA672A" w:rsidRDefault="00CA672A" w:rsidP="00CA672A">
      <w:pPr>
        <w:rPr>
          <w:rStyle w:val="Strong"/>
        </w:rPr>
      </w:pPr>
    </w:p>
    <w:p w14:paraId="6567D286" w14:textId="635534A3" w:rsidR="00CD3AB0" w:rsidRPr="00CA672A" w:rsidRDefault="00A66FC3" w:rsidP="00CA672A">
      <w:pPr>
        <w:rPr>
          <w:rStyle w:val="Strong"/>
        </w:rPr>
      </w:pPr>
      <w:r>
        <w:rPr>
          <w:rStyle w:val="Strong"/>
        </w:rPr>
        <w:br/>
      </w:r>
      <w:r w:rsidR="00CD3AB0" w:rsidRPr="00CA672A">
        <w:rPr>
          <w:rStyle w:val="Strong"/>
        </w:rPr>
        <w:t>Description</w:t>
      </w:r>
    </w:p>
    <w:p w14:paraId="55B0D742" w14:textId="77777777" w:rsidR="00421A61" w:rsidRPr="00421A61" w:rsidRDefault="00421A61" w:rsidP="00421A61">
      <w:pPr>
        <w:rPr>
          <w:b/>
        </w:rPr>
      </w:pPr>
      <w:bookmarkStart w:id="598" w:name="_Analysis"/>
      <w:bookmarkStart w:id="599" w:name="_Toc392690099"/>
      <w:bookmarkStart w:id="600" w:name="_Toc392690162"/>
      <w:bookmarkEnd w:id="598"/>
      <w:r w:rsidRPr="00421A61">
        <w:t>Effectiveness indicator 1.1 was first introduced in 2009/10 and shows the number of non-compliance events identified as a result of a claim on the General Account, measuring the impact of employers who fail to maintain workers’ compensation insurance policies.</w:t>
      </w:r>
      <w:bookmarkEnd w:id="599"/>
      <w:bookmarkEnd w:id="600"/>
    </w:p>
    <w:p w14:paraId="7C3EDF1B" w14:textId="77777777" w:rsidR="00421A61" w:rsidRPr="00421A61" w:rsidRDefault="00421A61" w:rsidP="00421A61">
      <w:r w:rsidRPr="00421A61">
        <w:lastRenderedPageBreak/>
        <w:t>A non-compliance event is defined as “</w:t>
      </w:r>
      <w:r w:rsidRPr="00421A61">
        <w:rPr>
          <w:i/>
        </w:rPr>
        <w:t xml:space="preserve">an occupational safety and health incident to a worker or workers of an uninsured employer, which has a financial impact on WorkCover WA’s General Account by way of an uninsured claim payment”. </w:t>
      </w:r>
      <w:r w:rsidRPr="00421A61">
        <w:t>Given the long tail for claims relating to workplace incidents involving asbestos and industrial disease, these are excluded from the definition of an ‘event’. For example, the four main diseases associated with the inhalation of asbestos fibres (i.e. asbestosis, mesothelioma, asbestos-related lung cancer and diffuse pleural fibrosis) generally take many years, if not decades, to develop after a worker has been exposed to asbestos. The inclusion of uninsured employers for these types of work-related disease as an event would not reflect the current level of uninsured employers.</w:t>
      </w:r>
    </w:p>
    <w:p w14:paraId="130210BD" w14:textId="2195DA98" w:rsidR="00421A61" w:rsidRPr="00421A61" w:rsidRDefault="00421A61" w:rsidP="00421A61">
      <w:r w:rsidRPr="00421A61">
        <w:t xml:space="preserve">To determine the target for this indicator, an adopted figure based upon an analysis of previous years’ figures of two uninsured claims payments per 10,000 insured claims has been set as the standard. The total number of insured claims for 2013/14 </w:t>
      </w:r>
      <w:r w:rsidR="00D9568C">
        <w:t>was</w:t>
      </w:r>
      <w:r w:rsidRPr="00421A61">
        <w:t xml:space="preserve"> estimated to be approximately 40,000; therefore, a performance target of eight events </w:t>
      </w:r>
      <w:r w:rsidR="00A40616">
        <w:t xml:space="preserve">was </w:t>
      </w:r>
      <w:r w:rsidR="00A40616" w:rsidRPr="00421A61">
        <w:t>set</w:t>
      </w:r>
      <w:r w:rsidRPr="00421A61">
        <w:t>.</w:t>
      </w:r>
    </w:p>
    <w:p w14:paraId="5148D4F0" w14:textId="77777777" w:rsidR="00421A61" w:rsidRPr="00421A61" w:rsidRDefault="00421A61" w:rsidP="00421A61">
      <w:r w:rsidRPr="00421A61">
        <w:t>The continued low number of uninsured claims (equal to or less than eight) indicates WorkCover WA is meeting its obligations in ensuring that all employers have adequate workers’ compensation coverage for their employees.</w:t>
      </w:r>
    </w:p>
    <w:p w14:paraId="721DD074" w14:textId="77777777" w:rsidR="00421A61" w:rsidRPr="00421A61" w:rsidRDefault="00421A61" w:rsidP="00421A61">
      <w:r w:rsidRPr="00421A61">
        <w:t>This information is derived from two of the agency information systems. The information in relation to claim numbers is reported from the Q1 database which captures details of all claims as reported by approved insurers and self-insurers.</w:t>
      </w:r>
    </w:p>
    <w:p w14:paraId="7CD2E71A" w14:textId="04380944" w:rsidR="00421A61" w:rsidRPr="00421A61" w:rsidRDefault="00421A61" w:rsidP="00421A61">
      <w:bookmarkStart w:id="601" w:name="_5.2_New_Effectiveness"/>
      <w:bookmarkEnd w:id="601"/>
      <w:r w:rsidRPr="00421A61">
        <w:t xml:space="preserve">The data in relation to uninsured claim payments is derived from the Agency Financial Management Information System (FMIS) which reports the commencement of any payments </w:t>
      </w:r>
      <w:r w:rsidR="00984686">
        <w:t xml:space="preserve">made from the General Account. </w:t>
      </w:r>
      <w:r w:rsidRPr="00421A61">
        <w:t xml:space="preserve">As FMIS reports </w:t>
      </w:r>
      <w:r w:rsidRPr="00421A61">
        <w:rPr>
          <w:b/>
        </w:rPr>
        <w:t>all</w:t>
      </w:r>
      <w:r w:rsidRPr="00421A61">
        <w:t xml:space="preserve"> payments made in respect to claims against the General Account, this information is further analysed to exclude those matters where payments are for administration costs only, for example investigation or legal costs. The reported figure relates to payments made to a worker or service provider only. This reflects those matters where there was a legitimate entitlement to the payment of workers’ compensation benefits.</w:t>
      </w:r>
    </w:p>
    <w:p w14:paraId="7488985C" w14:textId="2AD27BBB" w:rsidR="00CD3AB0" w:rsidRPr="00CA672A" w:rsidRDefault="00CD3AB0" w:rsidP="00421A61">
      <w:pPr>
        <w:rPr>
          <w:rStyle w:val="Strong"/>
        </w:rPr>
      </w:pPr>
      <w:r w:rsidRPr="00CA672A">
        <w:rPr>
          <w:rStyle w:val="Strong"/>
        </w:rPr>
        <w:t xml:space="preserve">Analysis </w:t>
      </w:r>
    </w:p>
    <w:p w14:paraId="1C8EFFC2" w14:textId="06053327" w:rsidR="00421A61" w:rsidRPr="008B7B09" w:rsidRDefault="00421A61" w:rsidP="00421A61">
      <w:r>
        <w:t>In</w:t>
      </w:r>
      <w:r w:rsidRPr="00FC41BA">
        <w:t xml:space="preserve"> </w:t>
      </w:r>
      <w:r>
        <w:t>2014/15</w:t>
      </w:r>
      <w:r w:rsidRPr="008B7B09">
        <w:t xml:space="preserve"> there </w:t>
      </w:r>
      <w:r w:rsidRPr="00C2604C">
        <w:t>were three new claims</w:t>
      </w:r>
      <w:r w:rsidRPr="008B7B09">
        <w:t xml:space="preserve"> against the General Account. This is </w:t>
      </w:r>
      <w:r w:rsidRPr="00C2604C">
        <w:t xml:space="preserve">62.5 </w:t>
      </w:r>
      <w:r w:rsidR="00123F56">
        <w:t>per cent</w:t>
      </w:r>
      <w:r w:rsidRPr="00C2604C">
        <w:t xml:space="preserve"> less than the set target of eight accepted by the WorkCover WA Board and a slight </w:t>
      </w:r>
      <w:r>
        <w:t>reduction</w:t>
      </w:r>
      <w:r w:rsidRPr="00C2604C">
        <w:t xml:space="preserve"> of one (25 </w:t>
      </w:r>
      <w:r w:rsidR="00123F56">
        <w:t>per cent</w:t>
      </w:r>
      <w:r w:rsidRPr="00C2604C">
        <w:t xml:space="preserve">) on the number of claims for </w:t>
      </w:r>
      <w:r>
        <w:t>2013/14</w:t>
      </w:r>
      <w:r w:rsidRPr="00C2604C">
        <w:t>.</w:t>
      </w:r>
      <w:r w:rsidRPr="008B7B09">
        <w:t xml:space="preserve">  </w:t>
      </w:r>
    </w:p>
    <w:p w14:paraId="34F66D39" w14:textId="3B924B98" w:rsidR="00421A61" w:rsidRDefault="00421A61" w:rsidP="00421A61">
      <w:r w:rsidRPr="008B7B09">
        <w:lastRenderedPageBreak/>
        <w:t xml:space="preserve">The target for this KPI </w:t>
      </w:r>
      <w:r>
        <w:t xml:space="preserve">has been historically </w:t>
      </w:r>
      <w:r w:rsidRPr="008B7B09">
        <w:t>based on an approved methodology of two claims per 10,00</w:t>
      </w:r>
      <w:r>
        <w:t>0 insured claims whereby the number of insured claims was relatively steady in the vicinity of 40,000 per annum. In recent years this figure has been trending downwards with c</w:t>
      </w:r>
      <w:r w:rsidR="00984686">
        <w:t xml:space="preserve">laims in 2013/14 being 36,878. </w:t>
      </w:r>
      <w:r>
        <w:t xml:space="preserve">This downward trend will be considered in setting the target for this KPI in future years. </w:t>
      </w:r>
    </w:p>
    <w:p w14:paraId="6CC902F0" w14:textId="453BD819" w:rsidR="00421A61" w:rsidRPr="008B7B09" w:rsidRDefault="00421A61" w:rsidP="00421A61">
      <w:r w:rsidRPr="008B7B09">
        <w:t xml:space="preserve">The continued low number of claims on the General Account can be attributed in part to the focus placed on WorkCover WA’s compliance activities and the consistent application of providing stakeholder information and education to ensure employers have adequate workers’ compensation for their employees. </w:t>
      </w:r>
    </w:p>
    <w:p w14:paraId="511A7EF7" w14:textId="34761906" w:rsidR="00CD3AB0" w:rsidRPr="00CD79A0" w:rsidRDefault="00984686" w:rsidP="00CD79A0">
      <w:pPr>
        <w:pStyle w:val="Normal-Act"/>
      </w:pPr>
      <w:r>
        <w:rPr>
          <w:noProof/>
          <w:lang w:eastAsia="en-AU"/>
        </w:rPr>
        <w:drawing>
          <wp:anchor distT="0" distB="0" distL="114300" distR="114300" simplePos="0" relativeHeight="251654656" behindDoc="1" locked="0" layoutInCell="1" allowOverlap="1" wp14:anchorId="08C6633E" wp14:editId="35709EB0">
            <wp:simplePos x="0" y="0"/>
            <wp:positionH relativeFrom="column">
              <wp:posOffset>-419735</wp:posOffset>
            </wp:positionH>
            <wp:positionV relativeFrom="paragraph">
              <wp:posOffset>572770</wp:posOffset>
            </wp:positionV>
            <wp:extent cx="6067425" cy="3657600"/>
            <wp:effectExtent l="0" t="0" r="0" b="0"/>
            <wp:wrapTight wrapText="bothSides">
              <wp:wrapPolygon edited="0">
                <wp:start x="0" y="0"/>
                <wp:lineTo x="0" y="21488"/>
                <wp:lineTo x="21498" y="21488"/>
                <wp:lineTo x="21498" y="0"/>
                <wp:lineTo x="0" y="0"/>
              </wp:wrapPolygon>
            </wp:wrapTight>
            <wp:docPr id="8" name="Chart 1" title="New claims on the General Accou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CD3AB0" w:rsidRPr="00CD79A0">
        <w:t>Figure 1. The graph below shows the</w:t>
      </w:r>
      <w:r w:rsidR="001A2B42">
        <w:t xml:space="preserve"> trend over the past five years</w:t>
      </w:r>
    </w:p>
    <w:p w14:paraId="38552364" w14:textId="77777777" w:rsidR="00A66FC3" w:rsidRDefault="00A66FC3" w:rsidP="006B568E">
      <w:pPr>
        <w:rPr>
          <w:rStyle w:val="Strong"/>
        </w:rPr>
      </w:pPr>
      <w:bookmarkStart w:id="602" w:name="_Effectiveness_Indicator_1.2"/>
      <w:bookmarkEnd w:id="602"/>
      <w:r>
        <w:rPr>
          <w:rStyle w:val="Strong"/>
          <w:color w:val="897719" w:themeColor="accent3"/>
        </w:rPr>
        <w:lastRenderedPageBreak/>
        <w:br/>
      </w:r>
      <w:r>
        <w:rPr>
          <w:rStyle w:val="Strong"/>
          <w:color w:val="897719" w:themeColor="accent3"/>
        </w:rPr>
        <w:br/>
      </w:r>
    </w:p>
    <w:p w14:paraId="4847806E" w14:textId="42AA4BBB" w:rsidR="00A66FC3" w:rsidRDefault="00A66FC3">
      <w:pPr>
        <w:keepLines w:val="0"/>
        <w:spacing w:after="0" w:line="240" w:lineRule="auto"/>
        <w:rPr>
          <w:rStyle w:val="Strong"/>
        </w:rPr>
      </w:pPr>
    </w:p>
    <w:p w14:paraId="597FBF83" w14:textId="353B8AC5" w:rsidR="006B568E" w:rsidRPr="00CD79A0" w:rsidRDefault="006B568E" w:rsidP="006B568E">
      <w:pPr>
        <w:rPr>
          <w:rStyle w:val="Strong"/>
        </w:rPr>
      </w:pPr>
      <w:r w:rsidRPr="00CD79A0">
        <w:rPr>
          <w:rStyle w:val="Strong"/>
        </w:rPr>
        <w:t xml:space="preserve">Indicator 1.2 </w:t>
      </w:r>
    </w:p>
    <w:p w14:paraId="2404810A" w14:textId="61E80C38" w:rsidR="00CD3AB0" w:rsidRPr="00CD79A0" w:rsidRDefault="00CD3AB0" w:rsidP="00CD79A0">
      <w:pPr>
        <w:rPr>
          <w:rStyle w:val="Strong"/>
          <w:color w:val="897719" w:themeColor="accent3"/>
        </w:rPr>
      </w:pPr>
      <w:r w:rsidRPr="00CD79A0">
        <w:rPr>
          <w:rStyle w:val="Strong"/>
          <w:color w:val="897719" w:themeColor="accent3"/>
        </w:rPr>
        <w:t>The proportion of conciliations completed within 8 weeks</w:t>
      </w:r>
    </w:p>
    <w:tbl>
      <w:tblPr>
        <w:tblpPr w:leftFromText="180" w:rightFromText="180" w:vertAnchor="text" w:horzAnchor="margin" w:tblpY="345"/>
        <w:tblW w:w="9468"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Pr>
      <w:tblGrid>
        <w:gridCol w:w="2988"/>
        <w:gridCol w:w="1260"/>
        <w:gridCol w:w="1260"/>
        <w:gridCol w:w="1260"/>
        <w:gridCol w:w="1440"/>
        <w:gridCol w:w="1260"/>
      </w:tblGrid>
      <w:tr w:rsidR="00CD3AB0" w:rsidRPr="00934975" w14:paraId="4F2B7424" w14:textId="77777777" w:rsidTr="00CD79A0">
        <w:trPr>
          <w:trHeight w:val="515"/>
        </w:trPr>
        <w:tc>
          <w:tcPr>
            <w:tcW w:w="2988" w:type="dxa"/>
            <w:shd w:val="clear" w:color="auto" w:fill="2D4541" w:themeFill="accent2"/>
            <w:vAlign w:val="center"/>
            <w:hideMark/>
          </w:tcPr>
          <w:p w14:paraId="5BD720BE" w14:textId="77777777" w:rsidR="00CD3AB0" w:rsidRPr="00934975" w:rsidRDefault="00CD3AB0" w:rsidP="00CD3AB0">
            <w:pPr>
              <w:pStyle w:val="TableText"/>
              <w:jc w:val="center"/>
            </w:pPr>
            <w:r w:rsidRPr="002A176B">
              <w:rPr>
                <w:b/>
                <w:color w:val="FFFFFF" w:themeColor="background1"/>
              </w:rPr>
              <w:t>Indicator 1.</w:t>
            </w:r>
            <w:r>
              <w:rPr>
                <w:b/>
                <w:color w:val="FFFFFF" w:themeColor="background1"/>
              </w:rPr>
              <w:t>2</w:t>
            </w:r>
            <w:r w:rsidRPr="002A176B">
              <w:rPr>
                <w:b/>
                <w:color w:val="FFFFFF" w:themeColor="background1"/>
              </w:rPr>
              <w:t xml:space="preserve"> </w:t>
            </w:r>
          </w:p>
        </w:tc>
        <w:tc>
          <w:tcPr>
            <w:tcW w:w="1260" w:type="dxa"/>
            <w:shd w:val="clear" w:color="auto" w:fill="2D4541" w:themeFill="accent2"/>
            <w:vAlign w:val="center"/>
          </w:tcPr>
          <w:p w14:paraId="671002A2" w14:textId="77777777" w:rsidR="00CD3AB0" w:rsidRPr="00A80991" w:rsidRDefault="00CD3AB0" w:rsidP="00CD3AB0">
            <w:pPr>
              <w:pStyle w:val="TableHeading"/>
              <w:spacing w:before="0" w:after="0"/>
              <w:jc w:val="center"/>
              <w:rPr>
                <w:rFonts w:cs="Arial"/>
                <w:sz w:val="24"/>
                <w:szCs w:val="24"/>
              </w:rPr>
            </w:pPr>
            <w:r w:rsidRPr="00A80991">
              <w:rPr>
                <w:rFonts w:cs="Arial"/>
                <w:sz w:val="24"/>
                <w:szCs w:val="24"/>
              </w:rPr>
              <w:t>2011/12</w:t>
            </w:r>
          </w:p>
          <w:p w14:paraId="6C41EEB2" w14:textId="77777777" w:rsidR="00CD3AB0" w:rsidRPr="00A80991" w:rsidRDefault="00CD3AB0" w:rsidP="00CD3AB0">
            <w:pPr>
              <w:pStyle w:val="TableText"/>
              <w:spacing w:before="0" w:after="0"/>
              <w:jc w:val="center"/>
              <w:rPr>
                <w:b/>
                <w:color w:val="FFFFFF" w:themeColor="background1"/>
                <w:sz w:val="20"/>
                <w:szCs w:val="20"/>
              </w:rPr>
            </w:pPr>
            <w:r w:rsidRPr="00A80991">
              <w:rPr>
                <w:b/>
                <w:color w:val="FFFFFF" w:themeColor="background1"/>
              </w:rPr>
              <w:t>Actual</w:t>
            </w:r>
          </w:p>
        </w:tc>
        <w:tc>
          <w:tcPr>
            <w:tcW w:w="1260" w:type="dxa"/>
            <w:shd w:val="clear" w:color="auto" w:fill="2D4541" w:themeFill="accent2"/>
            <w:vAlign w:val="center"/>
          </w:tcPr>
          <w:p w14:paraId="386F0772" w14:textId="77777777" w:rsidR="00CD3AB0" w:rsidRPr="004A2022" w:rsidRDefault="00CD3AB0" w:rsidP="00CD3AB0">
            <w:pPr>
              <w:pStyle w:val="TableText"/>
              <w:spacing w:before="0" w:after="0"/>
              <w:jc w:val="center"/>
              <w:rPr>
                <w:b/>
                <w:color w:val="FFFFFF" w:themeColor="background1"/>
              </w:rPr>
            </w:pPr>
            <w:r w:rsidRPr="004A2022">
              <w:rPr>
                <w:b/>
                <w:color w:val="FFFFFF" w:themeColor="background1"/>
              </w:rPr>
              <w:t>2012/13 Actual</w:t>
            </w:r>
          </w:p>
        </w:tc>
        <w:tc>
          <w:tcPr>
            <w:tcW w:w="1260" w:type="dxa"/>
            <w:shd w:val="clear" w:color="auto" w:fill="2D4541" w:themeFill="accent2"/>
            <w:vAlign w:val="center"/>
          </w:tcPr>
          <w:p w14:paraId="167D5FBB" w14:textId="77777777" w:rsidR="00CD3AB0" w:rsidRPr="00917D7E" w:rsidRDefault="00CD3AB0" w:rsidP="00CD3AB0">
            <w:pPr>
              <w:pStyle w:val="TableText"/>
              <w:spacing w:before="0" w:after="0"/>
              <w:jc w:val="center"/>
              <w:rPr>
                <w:b/>
                <w:color w:val="FFFFFF" w:themeColor="background1"/>
              </w:rPr>
            </w:pPr>
            <w:r w:rsidRPr="00917D7E">
              <w:rPr>
                <w:b/>
                <w:color w:val="FFFFFF" w:themeColor="background1"/>
              </w:rPr>
              <w:t xml:space="preserve">2013/14 Actual </w:t>
            </w:r>
          </w:p>
        </w:tc>
        <w:tc>
          <w:tcPr>
            <w:tcW w:w="1440" w:type="dxa"/>
            <w:shd w:val="clear" w:color="auto" w:fill="2D4541" w:themeFill="accent2"/>
            <w:vAlign w:val="center"/>
          </w:tcPr>
          <w:p w14:paraId="1FBC199E" w14:textId="3184BBB4" w:rsidR="00CD3AB0" w:rsidRPr="008E0F7E" w:rsidRDefault="00FC1914" w:rsidP="00FC1914">
            <w:pPr>
              <w:pStyle w:val="TableText"/>
              <w:spacing w:before="0" w:after="0"/>
              <w:jc w:val="center"/>
              <w:rPr>
                <w:b/>
                <w:color w:val="FFFFFF" w:themeColor="background1"/>
              </w:rPr>
            </w:pPr>
            <w:r w:rsidRPr="00FC1914">
              <w:rPr>
                <w:b/>
                <w:color w:val="FFFFFF" w:themeColor="background1"/>
              </w:rPr>
              <w:t xml:space="preserve">2014/15 </w:t>
            </w:r>
            <w:r>
              <w:rPr>
                <w:b/>
                <w:color w:val="FFFFFF" w:themeColor="background1"/>
              </w:rPr>
              <w:t>Actual</w:t>
            </w:r>
          </w:p>
        </w:tc>
        <w:tc>
          <w:tcPr>
            <w:tcW w:w="1260" w:type="dxa"/>
            <w:shd w:val="clear" w:color="auto" w:fill="2D4541" w:themeFill="accent2"/>
            <w:vAlign w:val="center"/>
          </w:tcPr>
          <w:p w14:paraId="0E2F7F18" w14:textId="77777777" w:rsidR="00CD3AB0" w:rsidRPr="006A758C" w:rsidRDefault="00CD3AB0" w:rsidP="00CD3AB0">
            <w:pPr>
              <w:pStyle w:val="TableText"/>
              <w:spacing w:before="0" w:after="0"/>
              <w:jc w:val="center"/>
              <w:rPr>
                <w:b/>
                <w:color w:val="FFFFFF" w:themeColor="background1"/>
              </w:rPr>
            </w:pPr>
            <w:r>
              <w:rPr>
                <w:b/>
                <w:color w:val="FFFFFF" w:themeColor="background1"/>
              </w:rPr>
              <w:t>2014/15</w:t>
            </w:r>
            <w:r w:rsidRPr="00035D74">
              <w:rPr>
                <w:b/>
                <w:color w:val="FFFFFF" w:themeColor="background1"/>
              </w:rPr>
              <w:t xml:space="preserve"> Target</w:t>
            </w:r>
          </w:p>
        </w:tc>
      </w:tr>
      <w:tr w:rsidR="00421A61" w:rsidRPr="00934975" w14:paraId="3B73EFEA" w14:textId="77777777" w:rsidTr="00B87C51">
        <w:trPr>
          <w:trHeight w:val="291"/>
        </w:trPr>
        <w:tc>
          <w:tcPr>
            <w:tcW w:w="2988" w:type="dxa"/>
            <w:vAlign w:val="center"/>
            <w:hideMark/>
          </w:tcPr>
          <w:p w14:paraId="51135A4D" w14:textId="77777777" w:rsidR="00421A61" w:rsidRDefault="00421A61" w:rsidP="00421A61">
            <w:pPr>
              <w:pStyle w:val="TableText"/>
            </w:pPr>
            <w:r w:rsidRPr="00F0666F">
              <w:t xml:space="preserve">The proportion of </w:t>
            </w:r>
            <w:r>
              <w:t>conciliations completed within 8</w:t>
            </w:r>
            <w:r w:rsidRPr="00F0666F">
              <w:t xml:space="preserve"> weeks </w:t>
            </w:r>
          </w:p>
        </w:tc>
        <w:tc>
          <w:tcPr>
            <w:tcW w:w="1260" w:type="dxa"/>
          </w:tcPr>
          <w:p w14:paraId="6E7C11EA" w14:textId="6DD9C222" w:rsidR="00421A61" w:rsidRPr="001D35D5" w:rsidRDefault="00421A61" w:rsidP="00421A61">
            <w:pPr>
              <w:pStyle w:val="TableText"/>
              <w:jc w:val="center"/>
            </w:pPr>
            <w:r w:rsidRPr="00D0540B">
              <w:t>96.7%</w:t>
            </w:r>
          </w:p>
        </w:tc>
        <w:tc>
          <w:tcPr>
            <w:tcW w:w="1260" w:type="dxa"/>
            <w:shd w:val="clear" w:color="auto" w:fill="FFFFFF" w:themeFill="background1"/>
          </w:tcPr>
          <w:p w14:paraId="28C824F6" w14:textId="60223E3B" w:rsidR="00421A61" w:rsidRPr="001D35D5" w:rsidRDefault="00421A61" w:rsidP="00421A61">
            <w:pPr>
              <w:pStyle w:val="TableText"/>
              <w:jc w:val="center"/>
            </w:pPr>
            <w:r w:rsidRPr="00D0540B">
              <w:t>97.8%</w:t>
            </w:r>
          </w:p>
        </w:tc>
        <w:tc>
          <w:tcPr>
            <w:tcW w:w="1260" w:type="dxa"/>
            <w:shd w:val="clear" w:color="auto" w:fill="FFFFFF" w:themeFill="background1"/>
          </w:tcPr>
          <w:p w14:paraId="213EBB06" w14:textId="31DB4817" w:rsidR="00421A61" w:rsidRPr="001D35D5" w:rsidRDefault="00421A61" w:rsidP="00421A61">
            <w:pPr>
              <w:pStyle w:val="TableText"/>
              <w:jc w:val="center"/>
            </w:pPr>
            <w:r w:rsidRPr="00D0540B">
              <w:t>96.8%</w:t>
            </w:r>
          </w:p>
        </w:tc>
        <w:tc>
          <w:tcPr>
            <w:tcW w:w="1440" w:type="dxa"/>
            <w:shd w:val="clear" w:color="auto" w:fill="EAE2B9"/>
            <w:hideMark/>
          </w:tcPr>
          <w:p w14:paraId="7E999DDB" w14:textId="1B17654C" w:rsidR="00421A61" w:rsidRPr="001D35D5" w:rsidRDefault="00421A61" w:rsidP="00421A61">
            <w:pPr>
              <w:pStyle w:val="TableText"/>
              <w:jc w:val="center"/>
            </w:pPr>
            <w:r w:rsidRPr="00D0540B">
              <w:t>96.3%</w:t>
            </w:r>
          </w:p>
        </w:tc>
        <w:tc>
          <w:tcPr>
            <w:tcW w:w="1260" w:type="dxa"/>
            <w:shd w:val="clear" w:color="auto" w:fill="D4E2E0" w:themeFill="accent5"/>
            <w:hideMark/>
          </w:tcPr>
          <w:p w14:paraId="6649E21A" w14:textId="6EFB4533" w:rsidR="00421A61" w:rsidRPr="00505141" w:rsidRDefault="00421A61" w:rsidP="00421A61">
            <w:pPr>
              <w:pStyle w:val="TableText"/>
              <w:jc w:val="center"/>
              <w:rPr>
                <w:highlight w:val="yellow"/>
              </w:rPr>
            </w:pPr>
            <w:r w:rsidRPr="00D0540B">
              <w:t>97.0%</w:t>
            </w:r>
          </w:p>
        </w:tc>
      </w:tr>
    </w:tbl>
    <w:p w14:paraId="0292F4B6" w14:textId="77777777" w:rsidR="00CD79A0" w:rsidRDefault="00CD79A0" w:rsidP="00CD3AB0"/>
    <w:p w14:paraId="5467304C" w14:textId="77777777" w:rsidR="006B568E" w:rsidRDefault="006B568E" w:rsidP="00421A61"/>
    <w:p w14:paraId="0D791423" w14:textId="77777777" w:rsidR="00421A61" w:rsidRDefault="00421A61" w:rsidP="00421A61">
      <w:r>
        <w:t>Effectiveness indicator 1.2 measures the time taken to complete a conciliation matter.</w:t>
      </w:r>
    </w:p>
    <w:p w14:paraId="01538535" w14:textId="77777777" w:rsidR="00421A61" w:rsidRDefault="00421A61" w:rsidP="00421A61">
      <w:r>
        <w:t xml:space="preserve">Measurements for this indicator are produced directly from data extracted from the Dispute Case Management System (DCMS) which supports the business needs of the Conciliation and Arbitration Services (CAS). </w:t>
      </w:r>
    </w:p>
    <w:p w14:paraId="68631F42" w14:textId="7C29E372" w:rsidR="00CD3AB0" w:rsidRPr="00CD79A0" w:rsidRDefault="00CD3AB0" w:rsidP="00421A61">
      <w:pPr>
        <w:rPr>
          <w:rStyle w:val="Strong"/>
        </w:rPr>
      </w:pPr>
      <w:r w:rsidRPr="00CD79A0">
        <w:rPr>
          <w:rStyle w:val="Strong"/>
        </w:rPr>
        <w:t>Description</w:t>
      </w:r>
    </w:p>
    <w:p w14:paraId="477F001B" w14:textId="77777777" w:rsidR="00421A61" w:rsidRPr="00421A61" w:rsidRDefault="00421A61" w:rsidP="00421A61">
      <w:pPr>
        <w:rPr>
          <w:rFonts w:cs="Arial"/>
        </w:rPr>
      </w:pPr>
      <w:r w:rsidRPr="00421A61">
        <w:rPr>
          <w:rFonts w:cs="Arial"/>
        </w:rPr>
        <w:t xml:space="preserve">Pursuant to Rule 13(1) of the </w:t>
      </w:r>
      <w:r w:rsidRPr="00421A61">
        <w:rPr>
          <w:rStyle w:val="Emphasis"/>
        </w:rPr>
        <w:t>Workers’ Compensation and Injury Management Conciliation Rules 2011</w:t>
      </w:r>
      <w:r w:rsidRPr="00421A61">
        <w:rPr>
          <w:rFonts w:cs="Arial"/>
        </w:rPr>
        <w:t xml:space="preserve"> the time limit for conciliation is 56 days (eight weeks) from the day on which the Director accepts an application, unless an extension is granted by the Director for a period not exceeding a further eight weeks. This timeframe is reflected in the KPI which reports the number of conciliation applications completed within the initial eight weeks. </w:t>
      </w:r>
    </w:p>
    <w:p w14:paraId="6E33F049" w14:textId="77777777" w:rsidR="00421A61" w:rsidRPr="00421A61" w:rsidRDefault="00421A61" w:rsidP="00421A61">
      <w:pPr>
        <w:rPr>
          <w:rFonts w:cs="Arial"/>
        </w:rPr>
      </w:pPr>
      <w:r w:rsidRPr="00421A61">
        <w:rPr>
          <w:rFonts w:cs="Arial"/>
        </w:rPr>
        <w:t>Time taken to complete an application for conciliation is measured from the date an application for conciliation is accepted to the date a certificate of outcome is issued by the Conciliation Officer, at the end of the conciliation process.</w:t>
      </w:r>
    </w:p>
    <w:p w14:paraId="6D0826AE" w14:textId="5656B0F5" w:rsidR="00421A61" w:rsidRDefault="00421A61" w:rsidP="00421A61">
      <w:pPr>
        <w:rPr>
          <w:rFonts w:cs="Arial"/>
        </w:rPr>
      </w:pPr>
      <w:r w:rsidRPr="00421A61">
        <w:rPr>
          <w:rFonts w:cs="Arial"/>
        </w:rPr>
        <w:t>The target for this KPI of 97.0 per cent has been set based on the previou</w:t>
      </w:r>
      <w:r>
        <w:rPr>
          <w:rFonts w:cs="Arial"/>
        </w:rPr>
        <w:t xml:space="preserve">s year target and performance. </w:t>
      </w:r>
      <w:r w:rsidRPr="00421A61">
        <w:rPr>
          <w:rFonts w:cs="Arial"/>
        </w:rPr>
        <w:t>The portion of conciliations completed within the eight week statutory timeframe is expected to remain relatively consistent</w:t>
      </w:r>
      <w:r w:rsidR="00984686">
        <w:rPr>
          <w:rFonts w:cs="Arial"/>
        </w:rPr>
        <w:t>.</w:t>
      </w:r>
    </w:p>
    <w:p w14:paraId="472B98F7" w14:textId="6CC0E4A2" w:rsidR="00CD79A0" w:rsidRPr="00CD79A0" w:rsidRDefault="00CD3AB0" w:rsidP="00421A61">
      <w:pPr>
        <w:rPr>
          <w:rStyle w:val="Strong"/>
        </w:rPr>
      </w:pPr>
      <w:r w:rsidRPr="00CD79A0">
        <w:rPr>
          <w:rStyle w:val="Strong"/>
        </w:rPr>
        <w:t>Analysis</w:t>
      </w:r>
      <w:r w:rsidR="00CD79A0" w:rsidRPr="00CD79A0">
        <w:rPr>
          <w:rStyle w:val="Strong"/>
        </w:rPr>
        <w:t xml:space="preserve"> </w:t>
      </w:r>
    </w:p>
    <w:p w14:paraId="459D19F9" w14:textId="4F9091FE" w:rsidR="00421A61" w:rsidRPr="00421A61" w:rsidRDefault="00421A61" w:rsidP="00421A61">
      <w:pPr>
        <w:keepLines w:val="0"/>
        <w:spacing w:before="120"/>
        <w:rPr>
          <w:rFonts w:eastAsia="Calibri"/>
        </w:rPr>
      </w:pPr>
      <w:bookmarkStart w:id="603" w:name="OLE_LINK6"/>
      <w:bookmarkStart w:id="604" w:name="OLE_LINK7"/>
      <w:r w:rsidRPr="00421A61">
        <w:rPr>
          <w:rFonts w:eastAsia="Calibri"/>
        </w:rPr>
        <w:lastRenderedPageBreak/>
        <w:t xml:space="preserve">The outcome for this KPI of 96.3 </w:t>
      </w:r>
      <w:r w:rsidR="00123F56">
        <w:rPr>
          <w:rFonts w:eastAsia="Calibri"/>
        </w:rPr>
        <w:t>per cent</w:t>
      </w:r>
      <w:r w:rsidRPr="00421A61">
        <w:rPr>
          <w:rFonts w:eastAsia="Calibri"/>
        </w:rPr>
        <w:t xml:space="preserve"> represents 2,158 out of 2,242 conciliations closed within the eight week statutory timefram</w:t>
      </w:r>
      <w:r w:rsidR="00984686">
        <w:rPr>
          <w:rFonts w:eastAsia="Calibri"/>
        </w:rPr>
        <w:t xml:space="preserve">e. </w:t>
      </w:r>
      <w:r w:rsidRPr="00421A61">
        <w:rPr>
          <w:rFonts w:eastAsia="Calibri"/>
        </w:rPr>
        <w:t xml:space="preserve">This is a marginal decrease of 0.5 of a percentage point on the 2013/14 outcome and 0.7 of a percentage point lower than the predicted 2014/15 target. </w:t>
      </w:r>
    </w:p>
    <w:p w14:paraId="36FA36FB" w14:textId="393A9D70" w:rsidR="00421A61" w:rsidRPr="00421A61" w:rsidRDefault="00421A61" w:rsidP="00421A61">
      <w:pPr>
        <w:keepLines w:val="0"/>
        <w:spacing w:before="120"/>
        <w:rPr>
          <w:rFonts w:eastAsia="Calibri"/>
        </w:rPr>
      </w:pPr>
      <w:r w:rsidRPr="00421A61">
        <w:rPr>
          <w:rFonts w:eastAsia="Calibri" w:cs="Arial"/>
        </w:rPr>
        <w:t>The eight week timeframe for resolving a dispute through conciliation is a statutory requirement in the</w:t>
      </w:r>
      <w:r w:rsidRPr="00421A61">
        <w:rPr>
          <w:rFonts w:eastAsia="Calibri"/>
          <w:i/>
        </w:rPr>
        <w:t xml:space="preserve"> Workers’ Compensation and Injury Manag</w:t>
      </w:r>
      <w:r w:rsidR="00984686">
        <w:rPr>
          <w:rFonts w:eastAsia="Calibri"/>
          <w:i/>
        </w:rPr>
        <w:t xml:space="preserve">ement Conciliation Rules 2011. </w:t>
      </w:r>
      <w:r w:rsidRPr="00421A61">
        <w:rPr>
          <w:rFonts w:eastAsia="Calibri"/>
        </w:rPr>
        <w:t>This is a well established process</w:t>
      </w:r>
      <w:r w:rsidRPr="00421A61">
        <w:rPr>
          <w:rFonts w:eastAsia="Calibri" w:cs="Arial"/>
        </w:rPr>
        <w:t xml:space="preserve"> and most cases are expected to</w:t>
      </w:r>
      <w:r w:rsidRPr="00421A61">
        <w:rPr>
          <w:rFonts w:eastAsia="Calibri"/>
        </w:rPr>
        <w:t xml:space="preserve"> be </w:t>
      </w:r>
      <w:r w:rsidRPr="00421A61">
        <w:rPr>
          <w:rFonts w:eastAsia="Calibri" w:cs="Arial"/>
        </w:rPr>
        <w:t xml:space="preserve">completed within the eight week timeframe.  </w:t>
      </w:r>
    </w:p>
    <w:p w14:paraId="381C06A3" w14:textId="4BF29292" w:rsidR="00421A61" w:rsidRPr="00421A61" w:rsidRDefault="00421A61" w:rsidP="00421A61">
      <w:pPr>
        <w:keepLines w:val="0"/>
        <w:spacing w:before="120"/>
        <w:rPr>
          <w:rFonts w:eastAsia="Calibri" w:cs="Arial"/>
        </w:rPr>
      </w:pPr>
      <w:r w:rsidRPr="00421A61">
        <w:rPr>
          <w:rFonts w:eastAsia="Calibri" w:cs="Arial"/>
        </w:rPr>
        <w:t xml:space="preserve">It is acknowledged there will always be some cases that cannot reasonably be dealt with within </w:t>
      </w:r>
      <w:r w:rsidR="00133F2E">
        <w:rPr>
          <w:rFonts w:eastAsia="Calibri" w:cs="Arial"/>
        </w:rPr>
        <w:t xml:space="preserve">the initial eight week period. </w:t>
      </w:r>
      <w:r w:rsidRPr="00421A61">
        <w:rPr>
          <w:rFonts w:eastAsia="Calibri" w:cs="Arial"/>
        </w:rPr>
        <w:t xml:space="preserve">Allowances have been made within the Rules to permit for the Director in these circumstances to grant an additional eight week extension. Of the 84 matters not completed within the initial eight weeks all were completed within the extended timeframe.  </w:t>
      </w:r>
    </w:p>
    <w:bookmarkEnd w:id="603"/>
    <w:bookmarkEnd w:id="604"/>
    <w:p w14:paraId="58B8266D" w14:textId="63F645DD" w:rsidR="00341E08" w:rsidRDefault="00341E08" w:rsidP="00341E08">
      <w:pPr>
        <w:pStyle w:val="Normal-Act"/>
      </w:pPr>
      <w:r>
        <w:rPr>
          <w:i w:val="0"/>
          <w:noProof/>
          <w:lang w:eastAsia="en-AU"/>
        </w:rPr>
        <w:drawing>
          <wp:anchor distT="0" distB="0" distL="114300" distR="114300" simplePos="0" relativeHeight="251658752" behindDoc="1" locked="0" layoutInCell="1" allowOverlap="1" wp14:anchorId="39FC87FC" wp14:editId="13EF38FB">
            <wp:simplePos x="0" y="0"/>
            <wp:positionH relativeFrom="column">
              <wp:posOffset>0</wp:posOffset>
            </wp:positionH>
            <wp:positionV relativeFrom="paragraph">
              <wp:posOffset>419735</wp:posOffset>
            </wp:positionV>
            <wp:extent cx="5757545" cy="3216275"/>
            <wp:effectExtent l="0" t="0" r="0" b="3175"/>
            <wp:wrapTight wrapText="bothSides">
              <wp:wrapPolygon edited="0">
                <wp:start x="0" y="0"/>
                <wp:lineTo x="0" y="21493"/>
                <wp:lineTo x="21512" y="21493"/>
                <wp:lineTo x="21512" y="0"/>
                <wp:lineTo x="0" y="0"/>
              </wp:wrapPolygon>
            </wp:wrapTight>
            <wp:docPr id="13" name="Chart 1" title="Figure 2 portion of conciliations comple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CD3AB0" w:rsidRPr="00EA7ACE">
        <w:t>Figure 2. The graph belo</w:t>
      </w:r>
      <w:r w:rsidR="00CD3AB0">
        <w:t>w shows the trend over the past four</w:t>
      </w:r>
      <w:bookmarkStart w:id="605" w:name="_Toc392690100"/>
      <w:bookmarkStart w:id="606" w:name="_Toc392690163"/>
      <w:bookmarkStart w:id="607" w:name="_Toc268874470"/>
      <w:r w:rsidR="00133F2E">
        <w:t xml:space="preserve"> years</w:t>
      </w:r>
    </w:p>
    <w:p w14:paraId="419774E0" w14:textId="77777777" w:rsidR="00341E08" w:rsidRDefault="00341E08" w:rsidP="00341E08">
      <w:pPr>
        <w:pStyle w:val="Normal-Act"/>
      </w:pPr>
    </w:p>
    <w:p w14:paraId="2F80C2F4" w14:textId="59A5458D" w:rsidR="006B568E" w:rsidRDefault="00664937">
      <w:pPr>
        <w:keepLines w:val="0"/>
        <w:spacing w:after="0" w:line="240" w:lineRule="auto"/>
        <w:rPr>
          <w:rStyle w:val="Strong"/>
          <w:rFonts w:eastAsiaTheme="minorHAnsi" w:cstheme="minorBidi"/>
          <w:i/>
        </w:rPr>
      </w:pPr>
      <w:r>
        <w:rPr>
          <w:noProof/>
          <w:lang w:eastAsia="en-AU"/>
        </w:rPr>
        <w:drawing>
          <wp:anchor distT="0" distB="0" distL="114300" distR="114300" simplePos="0" relativeHeight="251731968" behindDoc="0" locked="0" layoutInCell="1" allowOverlap="1" wp14:anchorId="571CF137" wp14:editId="17CBD896">
            <wp:simplePos x="0" y="0"/>
            <wp:positionH relativeFrom="column">
              <wp:posOffset>-2232363</wp:posOffset>
            </wp:positionH>
            <wp:positionV relativeFrom="page">
              <wp:posOffset>7383161</wp:posOffset>
            </wp:positionV>
            <wp:extent cx="5296395" cy="2346265"/>
            <wp:effectExtent l="0" t="0" r="0" b="0"/>
            <wp:wrapSquare wrapText="bothSides"/>
            <wp:docPr id="32" name="Picture 32"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36" cstate="print">
                      <a:extLst>
                        <a:ext uri="{28A0092B-C50C-407E-A947-70E740481C1C}">
                          <a14:useLocalDpi xmlns:a14="http://schemas.microsoft.com/office/drawing/2010/main" val="0"/>
                        </a:ext>
                      </a:extLst>
                    </a:blip>
                    <a:srcRect t="39269" b="29401"/>
                    <a:stretch/>
                  </pic:blipFill>
                  <pic:spPr bwMode="auto">
                    <a:xfrm>
                      <a:off x="0" y="0"/>
                      <a:ext cx="5296395" cy="234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68E">
        <w:rPr>
          <w:rStyle w:val="Strong"/>
        </w:rPr>
        <w:br w:type="page"/>
      </w:r>
    </w:p>
    <w:p w14:paraId="453072D9" w14:textId="5E8F035C" w:rsidR="00716C40" w:rsidRPr="00341E08" w:rsidRDefault="00CD3AB0" w:rsidP="00341E08">
      <w:pPr>
        <w:pStyle w:val="Normal-Act"/>
        <w:rPr>
          <w:rStyle w:val="Strong"/>
          <w:b w:val="0"/>
          <w:bCs w:val="0"/>
          <w:lang w:val="en-US"/>
        </w:rPr>
      </w:pPr>
      <w:r w:rsidRPr="00716C40">
        <w:rPr>
          <w:rStyle w:val="Strong"/>
        </w:rPr>
        <w:lastRenderedPageBreak/>
        <w:t xml:space="preserve">Indicator 1.3 </w:t>
      </w:r>
    </w:p>
    <w:p w14:paraId="02C271FD" w14:textId="6529E073" w:rsidR="00CD3AB0" w:rsidRPr="00716C40" w:rsidRDefault="00CD3AB0" w:rsidP="00716C40">
      <w:pPr>
        <w:rPr>
          <w:rStyle w:val="Strong"/>
          <w:color w:val="897719" w:themeColor="accent3"/>
        </w:rPr>
      </w:pPr>
      <w:r w:rsidRPr="00716C40">
        <w:rPr>
          <w:rStyle w:val="Strong"/>
          <w:color w:val="897719" w:themeColor="accent3"/>
        </w:rPr>
        <w:t xml:space="preserve">The </w:t>
      </w:r>
      <w:bookmarkEnd w:id="605"/>
      <w:bookmarkEnd w:id="606"/>
      <w:r w:rsidRPr="00716C40">
        <w:rPr>
          <w:rStyle w:val="Strong"/>
          <w:color w:val="897719" w:themeColor="accent3"/>
        </w:rPr>
        <w:t>proportion of disputes resolved within six months</w:t>
      </w:r>
    </w:p>
    <w:tbl>
      <w:tblPr>
        <w:tblW w:w="9553" w:type="dxa"/>
        <w:jc w:val="center"/>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Pr>
      <w:tblGrid>
        <w:gridCol w:w="2040"/>
        <w:gridCol w:w="1134"/>
        <w:gridCol w:w="1084"/>
        <w:gridCol w:w="1184"/>
        <w:gridCol w:w="1134"/>
        <w:gridCol w:w="1642"/>
        <w:gridCol w:w="1335"/>
      </w:tblGrid>
      <w:tr w:rsidR="00CD3AB0" w:rsidRPr="00014FD7" w14:paraId="5F222825" w14:textId="77777777" w:rsidTr="00B96A80">
        <w:trPr>
          <w:trHeight w:val="291"/>
          <w:jc w:val="center"/>
        </w:trPr>
        <w:tc>
          <w:tcPr>
            <w:tcW w:w="2040" w:type="dxa"/>
            <w:shd w:val="clear" w:color="auto" w:fill="2D4541" w:themeFill="accent2"/>
            <w:vAlign w:val="center"/>
            <w:hideMark/>
          </w:tcPr>
          <w:p w14:paraId="789BA570" w14:textId="77777777" w:rsidR="00CD3AB0" w:rsidRPr="00014FD7" w:rsidRDefault="00CD3AB0" w:rsidP="00CD3AB0">
            <w:pPr>
              <w:pStyle w:val="TableText"/>
              <w:rPr>
                <w:b/>
                <w:color w:val="FFFFFF" w:themeColor="background1"/>
              </w:rPr>
            </w:pPr>
            <w:r>
              <w:rPr>
                <w:b/>
                <w:color w:val="FFFFFF" w:themeColor="background1"/>
              </w:rPr>
              <w:t xml:space="preserve">Indicator 1.3 </w:t>
            </w:r>
          </w:p>
        </w:tc>
        <w:tc>
          <w:tcPr>
            <w:tcW w:w="1134" w:type="dxa"/>
            <w:shd w:val="clear" w:color="auto" w:fill="2D4541" w:themeFill="accent2"/>
            <w:vAlign w:val="center"/>
          </w:tcPr>
          <w:p w14:paraId="0626B22E" w14:textId="3BD0D032" w:rsidR="00CD3AB0" w:rsidRPr="00014FD7" w:rsidRDefault="00CD3AB0" w:rsidP="00CD3AB0">
            <w:pPr>
              <w:pStyle w:val="TableText"/>
              <w:spacing w:before="0" w:after="0"/>
              <w:jc w:val="center"/>
              <w:rPr>
                <w:b/>
                <w:color w:val="FFFFFF" w:themeColor="background1"/>
              </w:rPr>
            </w:pPr>
            <w:r>
              <w:rPr>
                <w:b/>
                <w:color w:val="FFFFFF" w:themeColor="background1"/>
              </w:rPr>
              <w:t>2010/11</w:t>
            </w:r>
          </w:p>
          <w:p w14:paraId="158E35E7" w14:textId="3591C32C" w:rsidR="00CD3AB0" w:rsidRDefault="00CD3AB0" w:rsidP="00CD3AB0">
            <w:pPr>
              <w:pStyle w:val="TableText"/>
              <w:spacing w:before="0" w:after="0"/>
              <w:jc w:val="center"/>
              <w:rPr>
                <w:b/>
                <w:color w:val="FFFFFF" w:themeColor="background1"/>
              </w:rPr>
            </w:pPr>
            <w:r>
              <w:rPr>
                <w:b/>
                <w:color w:val="FFFFFF" w:themeColor="background1"/>
              </w:rPr>
              <w:t>Actual</w:t>
            </w:r>
          </w:p>
        </w:tc>
        <w:tc>
          <w:tcPr>
            <w:tcW w:w="1084" w:type="dxa"/>
            <w:shd w:val="clear" w:color="auto" w:fill="2D4541" w:themeFill="accent2"/>
            <w:vAlign w:val="center"/>
          </w:tcPr>
          <w:p w14:paraId="0BB69253" w14:textId="77777777" w:rsidR="00CD3AB0" w:rsidRPr="00014FD7" w:rsidRDefault="00CD3AB0" w:rsidP="00CD3AB0">
            <w:pPr>
              <w:pStyle w:val="TableText"/>
              <w:spacing w:before="0" w:after="0"/>
              <w:jc w:val="center"/>
              <w:rPr>
                <w:b/>
                <w:color w:val="FFFFFF" w:themeColor="background1"/>
              </w:rPr>
            </w:pPr>
            <w:r>
              <w:rPr>
                <w:b/>
                <w:color w:val="FFFFFF" w:themeColor="background1"/>
              </w:rPr>
              <w:t>2011/12</w:t>
            </w:r>
          </w:p>
          <w:p w14:paraId="76181E7D" w14:textId="77777777" w:rsidR="00CD3AB0" w:rsidRPr="00014FD7" w:rsidRDefault="00CD3AB0" w:rsidP="00CD3AB0">
            <w:pPr>
              <w:pStyle w:val="TableText"/>
              <w:spacing w:before="0" w:after="0"/>
              <w:jc w:val="center"/>
              <w:rPr>
                <w:b/>
                <w:color w:val="FFFFFF" w:themeColor="background1"/>
                <w:highlight w:val="yellow"/>
              </w:rPr>
            </w:pPr>
            <w:r>
              <w:rPr>
                <w:b/>
                <w:color w:val="FFFFFF" w:themeColor="background1"/>
              </w:rPr>
              <w:t>Actual</w:t>
            </w:r>
          </w:p>
        </w:tc>
        <w:tc>
          <w:tcPr>
            <w:tcW w:w="1184" w:type="dxa"/>
            <w:shd w:val="clear" w:color="auto" w:fill="2D4541" w:themeFill="accent2"/>
            <w:vAlign w:val="center"/>
          </w:tcPr>
          <w:p w14:paraId="1656A549" w14:textId="77777777" w:rsidR="00CD3AB0" w:rsidRPr="004A2022" w:rsidRDefault="00CD3AB0" w:rsidP="00CD3AB0">
            <w:pPr>
              <w:pStyle w:val="TableText"/>
              <w:spacing w:before="0" w:after="0"/>
              <w:jc w:val="center"/>
              <w:rPr>
                <w:b/>
                <w:color w:val="FFFFFF" w:themeColor="background1"/>
                <w:highlight w:val="yellow"/>
              </w:rPr>
            </w:pPr>
            <w:r w:rsidRPr="004A2022">
              <w:rPr>
                <w:b/>
                <w:color w:val="FFFFFF" w:themeColor="background1"/>
              </w:rPr>
              <w:t>2012/13 Actual</w:t>
            </w:r>
          </w:p>
        </w:tc>
        <w:tc>
          <w:tcPr>
            <w:tcW w:w="1134" w:type="dxa"/>
            <w:shd w:val="clear" w:color="auto" w:fill="2D4541" w:themeFill="accent2"/>
            <w:vAlign w:val="center"/>
          </w:tcPr>
          <w:p w14:paraId="150FAF5F" w14:textId="77777777" w:rsidR="00CD3AB0" w:rsidRPr="004A2022" w:rsidRDefault="00CD3AB0" w:rsidP="00CD3AB0">
            <w:pPr>
              <w:pStyle w:val="TableText"/>
              <w:spacing w:before="0" w:after="0"/>
              <w:jc w:val="center"/>
              <w:rPr>
                <w:b/>
                <w:color w:val="FFFFFF" w:themeColor="background1"/>
                <w:highlight w:val="yellow"/>
              </w:rPr>
            </w:pPr>
            <w:r w:rsidRPr="00917D7E">
              <w:rPr>
                <w:b/>
                <w:color w:val="FFFFFF" w:themeColor="background1"/>
              </w:rPr>
              <w:t xml:space="preserve">2013/14 Actual </w:t>
            </w:r>
          </w:p>
        </w:tc>
        <w:tc>
          <w:tcPr>
            <w:tcW w:w="1642" w:type="dxa"/>
            <w:shd w:val="clear" w:color="auto" w:fill="2D4541" w:themeFill="accent2"/>
            <w:vAlign w:val="center"/>
          </w:tcPr>
          <w:p w14:paraId="3D063C7A" w14:textId="77777777" w:rsidR="00FC1914" w:rsidRPr="00FC1914" w:rsidRDefault="00FC1914" w:rsidP="00FC1914">
            <w:pPr>
              <w:spacing w:after="0"/>
              <w:contextualSpacing/>
              <w:jc w:val="center"/>
              <w:rPr>
                <w:rFonts w:cs="Arial"/>
                <w:b/>
                <w:color w:val="FFFFFF" w:themeColor="background1"/>
                <w:lang w:val="en-US"/>
              </w:rPr>
            </w:pPr>
            <w:r w:rsidRPr="00FC1914">
              <w:rPr>
                <w:rFonts w:cs="Arial"/>
                <w:b/>
                <w:color w:val="FFFFFF" w:themeColor="background1"/>
                <w:lang w:val="en-US"/>
              </w:rPr>
              <w:t>2014/15</w:t>
            </w:r>
          </w:p>
          <w:p w14:paraId="2623659B" w14:textId="59D4F68C" w:rsidR="00CD3AB0" w:rsidRPr="004A2022" w:rsidRDefault="00FC1914" w:rsidP="00FC1914">
            <w:pPr>
              <w:pStyle w:val="TableText"/>
              <w:spacing w:before="0" w:after="0"/>
              <w:jc w:val="center"/>
              <w:rPr>
                <w:b/>
                <w:color w:val="FFFFFF" w:themeColor="background1"/>
                <w:highlight w:val="yellow"/>
              </w:rPr>
            </w:pPr>
            <w:r>
              <w:rPr>
                <w:rFonts w:cs="Times New Roman"/>
                <w:b/>
                <w:color w:val="FFFFFF" w:themeColor="background1"/>
                <w:lang w:val="en-AU"/>
              </w:rPr>
              <w:t>Actual</w:t>
            </w:r>
          </w:p>
        </w:tc>
        <w:tc>
          <w:tcPr>
            <w:tcW w:w="1335" w:type="dxa"/>
            <w:shd w:val="clear" w:color="auto" w:fill="2D4541" w:themeFill="accent2"/>
            <w:vAlign w:val="center"/>
          </w:tcPr>
          <w:p w14:paraId="36FDA3F5" w14:textId="77777777" w:rsidR="00CD3AB0" w:rsidRPr="00014FD7" w:rsidRDefault="00CD3AB0" w:rsidP="00CD3AB0">
            <w:pPr>
              <w:pStyle w:val="TableText"/>
              <w:spacing w:before="0" w:after="0"/>
              <w:jc w:val="center"/>
              <w:rPr>
                <w:b/>
                <w:color w:val="FFFFFF" w:themeColor="background1"/>
              </w:rPr>
            </w:pPr>
            <w:r>
              <w:rPr>
                <w:b/>
                <w:color w:val="FFFFFF" w:themeColor="background1"/>
              </w:rPr>
              <w:t>2014/15</w:t>
            </w:r>
          </w:p>
          <w:p w14:paraId="3B87ADC5" w14:textId="77777777" w:rsidR="00CD3AB0" w:rsidRPr="00014FD7" w:rsidRDefault="00CD3AB0" w:rsidP="00CD3AB0">
            <w:pPr>
              <w:pStyle w:val="TableText"/>
              <w:spacing w:before="0" w:after="0"/>
              <w:jc w:val="center"/>
              <w:rPr>
                <w:b/>
                <w:color w:val="FFFFFF" w:themeColor="background1"/>
                <w:highlight w:val="yellow"/>
              </w:rPr>
            </w:pPr>
            <w:r>
              <w:rPr>
                <w:b/>
                <w:color w:val="FFFFFF" w:themeColor="background1"/>
              </w:rPr>
              <w:t>Target</w:t>
            </w:r>
          </w:p>
        </w:tc>
      </w:tr>
      <w:tr w:rsidR="0084154A" w:rsidRPr="00934975" w14:paraId="27C7A509" w14:textId="77777777" w:rsidTr="00B87C51">
        <w:trPr>
          <w:trHeight w:val="291"/>
          <w:jc w:val="center"/>
        </w:trPr>
        <w:tc>
          <w:tcPr>
            <w:tcW w:w="2040" w:type="dxa"/>
            <w:vAlign w:val="center"/>
            <w:hideMark/>
          </w:tcPr>
          <w:p w14:paraId="3C6AFB84" w14:textId="2AEE7286" w:rsidR="0084154A" w:rsidRPr="00934975" w:rsidRDefault="0084154A" w:rsidP="0084154A">
            <w:bookmarkStart w:id="608" w:name="_Toc392690101"/>
            <w:bookmarkStart w:id="609" w:name="_Toc392690164"/>
            <w:r w:rsidRPr="002F3A2A">
              <w:t xml:space="preserve">The </w:t>
            </w:r>
            <w:r>
              <w:t>portion of disputes resolved within 6 months</w:t>
            </w:r>
            <w:bookmarkEnd w:id="608"/>
            <w:bookmarkEnd w:id="609"/>
          </w:p>
        </w:tc>
        <w:tc>
          <w:tcPr>
            <w:tcW w:w="1134" w:type="dxa"/>
            <w:shd w:val="clear" w:color="auto" w:fill="FFFFFF" w:themeFill="background1"/>
          </w:tcPr>
          <w:p w14:paraId="6F3FDC41" w14:textId="26A4F739" w:rsidR="0084154A" w:rsidRPr="00645082" w:rsidRDefault="0084154A" w:rsidP="0084154A">
            <w:pPr>
              <w:jc w:val="center"/>
              <w:rPr>
                <w:rFonts w:cs="Arial"/>
              </w:rPr>
            </w:pPr>
            <w:r w:rsidRPr="00A27EAF">
              <w:t>84.9%</w:t>
            </w:r>
          </w:p>
        </w:tc>
        <w:tc>
          <w:tcPr>
            <w:tcW w:w="1084" w:type="dxa"/>
            <w:shd w:val="clear" w:color="auto" w:fill="FFFFFF" w:themeFill="background1"/>
          </w:tcPr>
          <w:p w14:paraId="7FF199A1" w14:textId="057B5F42" w:rsidR="0084154A" w:rsidRPr="00645082" w:rsidRDefault="0084154A" w:rsidP="0084154A">
            <w:pPr>
              <w:jc w:val="center"/>
              <w:rPr>
                <w:rFonts w:cs="Arial"/>
              </w:rPr>
            </w:pPr>
            <w:r w:rsidRPr="00A27EAF">
              <w:t>86.8%</w:t>
            </w:r>
          </w:p>
        </w:tc>
        <w:tc>
          <w:tcPr>
            <w:tcW w:w="1184" w:type="dxa"/>
            <w:shd w:val="clear" w:color="auto" w:fill="FFFFFF" w:themeFill="background1"/>
          </w:tcPr>
          <w:p w14:paraId="729FA49B" w14:textId="0E989E84" w:rsidR="0084154A" w:rsidRPr="00645082" w:rsidRDefault="0084154A" w:rsidP="0084154A">
            <w:pPr>
              <w:jc w:val="center"/>
              <w:rPr>
                <w:rFonts w:cs="Arial"/>
                <w:highlight w:val="yellow"/>
              </w:rPr>
            </w:pPr>
            <w:r w:rsidRPr="00A27EAF">
              <w:t>92.3%</w:t>
            </w:r>
          </w:p>
        </w:tc>
        <w:tc>
          <w:tcPr>
            <w:tcW w:w="1134" w:type="dxa"/>
            <w:shd w:val="clear" w:color="auto" w:fill="FFFFFF" w:themeFill="background1"/>
          </w:tcPr>
          <w:p w14:paraId="717AB688" w14:textId="4F8E8923" w:rsidR="0084154A" w:rsidRPr="00645082" w:rsidRDefault="0084154A" w:rsidP="0084154A">
            <w:pPr>
              <w:jc w:val="center"/>
              <w:rPr>
                <w:rFonts w:cs="Arial"/>
                <w:highlight w:val="yellow"/>
              </w:rPr>
            </w:pPr>
            <w:r w:rsidRPr="00A27EAF">
              <w:t>89.5%</w:t>
            </w:r>
          </w:p>
        </w:tc>
        <w:tc>
          <w:tcPr>
            <w:tcW w:w="1642" w:type="dxa"/>
            <w:shd w:val="clear" w:color="auto" w:fill="F5EDC1" w:themeFill="accent4"/>
            <w:hideMark/>
          </w:tcPr>
          <w:p w14:paraId="0BB972B9" w14:textId="0A47B745" w:rsidR="0084154A" w:rsidRPr="00645082" w:rsidRDefault="0084154A" w:rsidP="0084154A">
            <w:pPr>
              <w:jc w:val="center"/>
              <w:rPr>
                <w:rFonts w:cs="Arial"/>
                <w:highlight w:val="yellow"/>
              </w:rPr>
            </w:pPr>
            <w:r w:rsidRPr="00A27EAF">
              <w:t>88.8%</w:t>
            </w:r>
          </w:p>
        </w:tc>
        <w:tc>
          <w:tcPr>
            <w:tcW w:w="1335" w:type="dxa"/>
            <w:shd w:val="clear" w:color="auto" w:fill="D4E2E0" w:themeFill="accent5"/>
            <w:hideMark/>
          </w:tcPr>
          <w:p w14:paraId="6472EBA9" w14:textId="6A94209B" w:rsidR="0084154A" w:rsidRPr="00645082" w:rsidRDefault="0084154A" w:rsidP="0084154A">
            <w:pPr>
              <w:jc w:val="center"/>
              <w:rPr>
                <w:rFonts w:cs="Arial"/>
                <w:highlight w:val="yellow"/>
              </w:rPr>
            </w:pPr>
            <w:r w:rsidRPr="00A27EAF">
              <w:t>90.0%</w:t>
            </w:r>
          </w:p>
        </w:tc>
      </w:tr>
    </w:tbl>
    <w:p w14:paraId="45D8DDCB" w14:textId="6A4F3DCB" w:rsidR="00CD3AB0" w:rsidRPr="00B96A80" w:rsidRDefault="006B568E" w:rsidP="00B96A80">
      <w:pPr>
        <w:rPr>
          <w:rStyle w:val="Strong"/>
        </w:rPr>
      </w:pPr>
      <w:r>
        <w:br/>
      </w:r>
      <w:r w:rsidR="00CD3AB0" w:rsidRPr="00B96A80">
        <w:rPr>
          <w:rStyle w:val="Strong"/>
        </w:rPr>
        <w:t>Description</w:t>
      </w:r>
    </w:p>
    <w:p w14:paraId="2B188EF4" w14:textId="77777777" w:rsidR="0084154A" w:rsidRPr="00623E73" w:rsidRDefault="0084154A" w:rsidP="0084154A">
      <w:r w:rsidRPr="00623E73">
        <w:t>This KPI reports the time taken to resolve a dispute and is consistent with Part XI, Section 177 of the Act, which states:</w:t>
      </w:r>
    </w:p>
    <w:p w14:paraId="6830E521" w14:textId="77777777" w:rsidR="0084154A" w:rsidRPr="00623E73" w:rsidRDefault="0084154A" w:rsidP="0084154A">
      <w:pPr>
        <w:rPr>
          <w:rFonts w:cs="Arial"/>
        </w:rPr>
      </w:pPr>
      <w:r w:rsidRPr="00623E73">
        <w:rPr>
          <w:rFonts w:cs="Arial"/>
          <w:bCs/>
        </w:rPr>
        <w:t xml:space="preserve">The main objectives of the </w:t>
      </w:r>
      <w:r>
        <w:rPr>
          <w:rFonts w:cs="Arial"/>
          <w:bCs/>
        </w:rPr>
        <w:t>c</w:t>
      </w:r>
      <w:r w:rsidRPr="00623E73">
        <w:rPr>
          <w:rFonts w:cs="Arial"/>
        </w:rPr>
        <w:t xml:space="preserve">onciliation and </w:t>
      </w:r>
      <w:r>
        <w:rPr>
          <w:rFonts w:cs="Arial"/>
        </w:rPr>
        <w:t>a</w:t>
      </w:r>
      <w:r w:rsidRPr="00623E73">
        <w:rPr>
          <w:rFonts w:cs="Arial"/>
        </w:rPr>
        <w:t>rbitration functions are to:</w:t>
      </w:r>
    </w:p>
    <w:p w14:paraId="36D30F8F" w14:textId="0DE9357A" w:rsidR="0084154A" w:rsidRPr="00623E73" w:rsidRDefault="0084154A" w:rsidP="0084154A">
      <w:pPr>
        <w:pStyle w:val="ListParagraph"/>
        <w:ind w:left="0"/>
      </w:pPr>
      <w:r w:rsidRPr="00623E73">
        <w:t>Provide a fair and cost effective system for the resol</w:t>
      </w:r>
      <w:r>
        <w:t xml:space="preserve">ution of disputes under the Act </w:t>
      </w:r>
      <w:r w:rsidR="00133F2E">
        <w:t>that</w:t>
      </w:r>
      <w:r w:rsidRPr="00623E73">
        <w:t xml:space="preserve"> </w:t>
      </w:r>
      <w:r w:rsidR="00133F2E">
        <w:t>–</w:t>
      </w:r>
    </w:p>
    <w:p w14:paraId="7F40ED3A" w14:textId="77777777" w:rsidR="00CD3AB0" w:rsidRPr="00623E73" w:rsidRDefault="00CD3AB0" w:rsidP="00A16123">
      <w:pPr>
        <w:pStyle w:val="ListParagraph"/>
        <w:keepLines w:val="0"/>
        <w:numPr>
          <w:ilvl w:val="0"/>
          <w:numId w:val="13"/>
        </w:numPr>
        <w:spacing w:before="120" w:after="240" w:line="360" w:lineRule="auto"/>
      </w:pPr>
      <w:r>
        <w:t>i</w:t>
      </w:r>
      <w:r w:rsidRPr="00623E73">
        <w:t xml:space="preserve">s timely; </w:t>
      </w:r>
    </w:p>
    <w:p w14:paraId="78D9C7DF" w14:textId="77777777" w:rsidR="00CD3AB0" w:rsidRPr="00623E73" w:rsidRDefault="00CD3AB0" w:rsidP="00A16123">
      <w:pPr>
        <w:pStyle w:val="ListParagraph"/>
        <w:keepLines w:val="0"/>
        <w:numPr>
          <w:ilvl w:val="0"/>
          <w:numId w:val="13"/>
        </w:numPr>
        <w:spacing w:before="120" w:after="240" w:line="360" w:lineRule="auto"/>
      </w:pPr>
      <w:r>
        <w:t>i</w:t>
      </w:r>
      <w:r w:rsidRPr="00623E73">
        <w:t xml:space="preserve">s accessible, approachable and professional; </w:t>
      </w:r>
    </w:p>
    <w:p w14:paraId="55D5B550" w14:textId="77777777" w:rsidR="00CD3AB0" w:rsidRPr="00623E73" w:rsidRDefault="00CD3AB0" w:rsidP="00A16123">
      <w:pPr>
        <w:pStyle w:val="ListParagraph"/>
        <w:keepLines w:val="0"/>
        <w:numPr>
          <w:ilvl w:val="0"/>
          <w:numId w:val="13"/>
        </w:numPr>
        <w:spacing w:before="120" w:after="240" w:line="360" w:lineRule="auto"/>
      </w:pPr>
      <w:r>
        <w:t>m</w:t>
      </w:r>
      <w:r w:rsidRPr="00623E73">
        <w:t xml:space="preserve">inimises costs to parties to disputes; </w:t>
      </w:r>
    </w:p>
    <w:p w14:paraId="0299AF49" w14:textId="77777777" w:rsidR="00CD3AB0" w:rsidRDefault="00CD3AB0" w:rsidP="00A16123">
      <w:pPr>
        <w:pStyle w:val="ListParagraph"/>
        <w:keepLines w:val="0"/>
        <w:numPr>
          <w:ilvl w:val="0"/>
          <w:numId w:val="13"/>
        </w:numPr>
        <w:spacing w:before="120" w:after="240"/>
      </w:pPr>
      <w:r>
        <w:t>i</w:t>
      </w:r>
      <w:r w:rsidRPr="00623E73">
        <w:t xml:space="preserve">n the case of conciliation, leads to final and appropriate agreements between parties in relation to disputes; and </w:t>
      </w:r>
    </w:p>
    <w:p w14:paraId="5CE6223D" w14:textId="77777777" w:rsidR="00CD3AB0" w:rsidRPr="00235497" w:rsidRDefault="00CD3AB0" w:rsidP="00CD3AB0">
      <w:pPr>
        <w:pStyle w:val="ListParagraph"/>
        <w:ind w:left="1494"/>
        <w:rPr>
          <w:sz w:val="12"/>
          <w:szCs w:val="12"/>
        </w:rPr>
      </w:pPr>
    </w:p>
    <w:p w14:paraId="03BC6A23" w14:textId="77777777" w:rsidR="00CD3AB0" w:rsidRPr="00623E73" w:rsidRDefault="00CD3AB0" w:rsidP="00A16123">
      <w:pPr>
        <w:pStyle w:val="ListParagraph"/>
        <w:keepLines w:val="0"/>
        <w:numPr>
          <w:ilvl w:val="0"/>
          <w:numId w:val="13"/>
        </w:numPr>
        <w:spacing w:before="120" w:after="240"/>
      </w:pPr>
      <w:r>
        <w:t>i</w:t>
      </w:r>
      <w:r w:rsidRPr="00623E73">
        <w:t>n the case of arbitration, enables disputes not resolved by conciliation to be determined according to their substantial merits with as little formality and technicality as practicable</w:t>
      </w:r>
      <w:r>
        <w:t>.</w:t>
      </w:r>
    </w:p>
    <w:p w14:paraId="6E408160" w14:textId="0A20FB11" w:rsidR="00CD3AB0" w:rsidRPr="001E3E8E" w:rsidRDefault="00CD3AB0" w:rsidP="00252B09">
      <w:pPr>
        <w:rPr>
          <w:rFonts w:cs="Arial"/>
        </w:rPr>
      </w:pPr>
      <w:r>
        <w:t>This KPI measures the proportion of disputes resolved within a six month timeframe from the day they are registered for conciliation through to the day they are resolved either vi</w:t>
      </w:r>
      <w:r w:rsidR="00133F2E">
        <w:t xml:space="preserve">a conciliation or arbitration. </w:t>
      </w:r>
      <w:r>
        <w:t>For those disputes progressing to arbitration the 28 day statutory gap (or portion of) allowed to register for arbitration will not be included in the timeframe.</w:t>
      </w:r>
      <w:r w:rsidRPr="001E3E8E">
        <w:rPr>
          <w:rFonts w:cs="Arial"/>
        </w:rPr>
        <w:t xml:space="preserve"> </w:t>
      </w:r>
    </w:p>
    <w:p w14:paraId="3BB036B6" w14:textId="77777777" w:rsidR="00CD3AB0" w:rsidRPr="00623E73" w:rsidRDefault="00CD3AB0" w:rsidP="00252B09">
      <w:pPr>
        <w:rPr>
          <w:rFonts w:cs="Arial"/>
        </w:rPr>
      </w:pPr>
      <w:r w:rsidRPr="006F1780">
        <w:t xml:space="preserve">The timeframe will count from the day </w:t>
      </w:r>
      <w:r>
        <w:t>a</w:t>
      </w:r>
      <w:r w:rsidRPr="006F1780">
        <w:t xml:space="preserve"> dispute is registered </w:t>
      </w:r>
      <w:r>
        <w:t xml:space="preserve">as accepted </w:t>
      </w:r>
      <w:r w:rsidRPr="006F1780">
        <w:t xml:space="preserve">for conciliation </w:t>
      </w:r>
      <w:r>
        <w:t xml:space="preserve">in the Dispute Case Management System (DCMS) through </w:t>
      </w:r>
      <w:r w:rsidRPr="006F1780">
        <w:t xml:space="preserve">to the day </w:t>
      </w:r>
      <w:r>
        <w:t>the dispute is either recorded as completed for conciliation or the case closed and final orders issued where the matter has proceeded to arbitration</w:t>
      </w:r>
      <w:r w:rsidRPr="00623E73">
        <w:rPr>
          <w:rFonts w:cs="Arial"/>
        </w:rPr>
        <w:t>.</w:t>
      </w:r>
    </w:p>
    <w:p w14:paraId="722FC140" w14:textId="777A139D" w:rsidR="00CD3AB0" w:rsidRDefault="00CD3AB0" w:rsidP="00252B09">
      <w:r>
        <w:lastRenderedPageBreak/>
        <w:t xml:space="preserve">Historical data for </w:t>
      </w:r>
      <w:r w:rsidR="00133F2E">
        <w:t xml:space="preserve">this KPI is readily available. </w:t>
      </w:r>
      <w:r>
        <w:t xml:space="preserve">Due to the process being measured from end to end the delineation between conciliation and arbitration is not important for this measure and therefore comparisons with the previous dispute resolution process </w:t>
      </w:r>
      <w:r w:rsidRPr="006301B9">
        <w:t xml:space="preserve">and other jurisdictions are </w:t>
      </w:r>
      <w:r>
        <w:t>appropriate.</w:t>
      </w:r>
    </w:p>
    <w:p w14:paraId="2D15ABFD" w14:textId="77777777" w:rsidR="00CD3AB0" w:rsidRDefault="00CD3AB0" w:rsidP="00252B09">
      <w:pPr>
        <w:rPr>
          <w:b/>
        </w:rPr>
      </w:pPr>
      <w:bookmarkStart w:id="610" w:name="_Analysis_1"/>
      <w:bookmarkEnd w:id="610"/>
      <w:r w:rsidRPr="0020608C">
        <w:t xml:space="preserve">The target for this KPI has been set based on </w:t>
      </w:r>
      <w:r>
        <w:t xml:space="preserve">Agency trends and the national average for a six month period over </w:t>
      </w:r>
      <w:r w:rsidRPr="0020608C">
        <w:t>the previous two years</w:t>
      </w:r>
      <w:r>
        <w:t>.</w:t>
      </w:r>
    </w:p>
    <w:p w14:paraId="3373C694" w14:textId="77777777" w:rsidR="00CD3AB0" w:rsidRPr="00252B09" w:rsidRDefault="00CD3AB0" w:rsidP="00252B09">
      <w:pPr>
        <w:rPr>
          <w:rStyle w:val="Strong"/>
        </w:rPr>
      </w:pPr>
      <w:r w:rsidRPr="00252B09">
        <w:rPr>
          <w:rStyle w:val="Strong"/>
        </w:rPr>
        <w:t xml:space="preserve">Analysis </w:t>
      </w:r>
    </w:p>
    <w:bookmarkEnd w:id="607"/>
    <w:p w14:paraId="1777CAE5" w14:textId="6FBA6F3A" w:rsidR="0084154A" w:rsidRPr="00AB147F" w:rsidRDefault="0084154A" w:rsidP="0084154A">
      <w:pPr>
        <w:spacing w:before="240"/>
      </w:pPr>
      <w:r w:rsidRPr="00B021DE">
        <w:t xml:space="preserve">The proportion of all disputes resolved within 6 months </w:t>
      </w:r>
      <w:r>
        <w:t>for 2014/15 is 88.8 per</w:t>
      </w:r>
      <w:r w:rsidR="00133F2E">
        <w:t xml:space="preserve"> </w:t>
      </w:r>
      <w:r>
        <w:t xml:space="preserve">cent. This is 0.7 of a percentage point less than the 2013/14 result and </w:t>
      </w:r>
      <w:r w:rsidR="006936C5">
        <w:t>1.2</w:t>
      </w:r>
      <w:r>
        <w:t xml:space="preserve"> </w:t>
      </w:r>
      <w:r w:rsidR="00123F56">
        <w:t>per cent</w:t>
      </w:r>
      <w:r w:rsidRPr="00AB147F">
        <w:t xml:space="preserve"> less than the predicted target.  </w:t>
      </w:r>
    </w:p>
    <w:p w14:paraId="69AF82D7" w14:textId="7D558DA5" w:rsidR="0084154A" w:rsidRPr="00B021DE" w:rsidRDefault="0084154A" w:rsidP="0084154A">
      <w:pPr>
        <w:spacing w:before="240"/>
      </w:pPr>
      <w:r w:rsidRPr="00AB147F">
        <w:t>These results are published in a long standing comparative performance monitoring report produced by Safe Work Australia and shows dispute resolution within the Western Australian workers’ compensation scheme performs well compared the National average and New Zealand.</w:t>
      </w:r>
      <w:r w:rsidR="00251337" w:rsidRPr="00251337">
        <w:t xml:space="preserve"> The latest available data to soon be published in the Comparative Performance Monitoring Report (Edition 17) by Safe Work Australia shows the 2013/14 National and New Zealand averages of 63.9 percent and 77.7 percent respectively.</w:t>
      </w:r>
    </w:p>
    <w:p w14:paraId="6725E539" w14:textId="151E0DC8" w:rsidR="00685BA8" w:rsidRPr="00C404F1" w:rsidRDefault="006A080B" w:rsidP="00C404F1">
      <w:pPr>
        <w:spacing w:before="240"/>
        <w:jc w:val="both"/>
        <w:rPr>
          <w:rFonts w:eastAsiaTheme="minorHAnsi" w:cstheme="minorBidi"/>
          <w:i/>
        </w:rPr>
      </w:pPr>
      <w:r>
        <w:rPr>
          <w:i/>
          <w:noProof/>
          <w:lang w:eastAsia="en-AU"/>
        </w:rPr>
        <w:drawing>
          <wp:anchor distT="0" distB="0" distL="114300" distR="114300" simplePos="0" relativeHeight="251674112" behindDoc="1" locked="0" layoutInCell="1" allowOverlap="1" wp14:anchorId="49E6C31E" wp14:editId="610DFD4E">
            <wp:simplePos x="0" y="0"/>
            <wp:positionH relativeFrom="column">
              <wp:posOffset>-914400</wp:posOffset>
            </wp:positionH>
            <wp:positionV relativeFrom="paragraph">
              <wp:posOffset>379730</wp:posOffset>
            </wp:positionV>
            <wp:extent cx="6524625" cy="3529965"/>
            <wp:effectExtent l="0" t="0" r="0" b="0"/>
            <wp:wrapTight wrapText="bothSides">
              <wp:wrapPolygon edited="0">
                <wp:start x="6748" y="816"/>
                <wp:lineTo x="5865" y="2914"/>
                <wp:lineTo x="6054" y="6178"/>
                <wp:lineTo x="6433" y="6644"/>
                <wp:lineTo x="6117" y="6994"/>
                <wp:lineTo x="6117" y="7577"/>
                <wp:lineTo x="7568" y="8509"/>
                <wp:lineTo x="6117" y="8509"/>
                <wp:lineTo x="5991" y="9675"/>
                <wp:lineTo x="6117" y="12006"/>
                <wp:lineTo x="7568" y="12240"/>
                <wp:lineTo x="6117" y="12939"/>
                <wp:lineTo x="6117" y="13522"/>
                <wp:lineTo x="7568" y="14105"/>
                <wp:lineTo x="6180" y="14221"/>
                <wp:lineTo x="6054" y="14338"/>
                <wp:lineTo x="6117" y="17718"/>
                <wp:lineTo x="6559" y="17835"/>
                <wp:lineTo x="8072" y="18068"/>
                <wp:lineTo x="8009" y="18767"/>
                <wp:lineTo x="10784" y="19700"/>
                <wp:lineTo x="820" y="19700"/>
                <wp:lineTo x="757" y="20399"/>
                <wp:lineTo x="3406" y="21332"/>
                <wp:lineTo x="5045" y="21332"/>
                <wp:lineTo x="21064" y="20866"/>
                <wp:lineTo x="21127" y="20166"/>
                <wp:lineTo x="10784" y="19700"/>
                <wp:lineTo x="18415" y="19700"/>
                <wp:lineTo x="21316" y="19234"/>
                <wp:lineTo x="21253" y="17835"/>
                <wp:lineTo x="21505" y="17602"/>
                <wp:lineTo x="21505" y="17485"/>
                <wp:lineTo x="20938" y="15970"/>
                <wp:lineTo x="21064" y="4546"/>
                <wp:lineTo x="7379" y="2914"/>
                <wp:lineTo x="19424" y="1865"/>
                <wp:lineTo x="19676" y="1282"/>
                <wp:lineTo x="19046" y="816"/>
                <wp:lineTo x="6748" y="816"/>
              </wp:wrapPolygon>
            </wp:wrapTight>
            <wp:docPr id="3" name="Chart 1" title="Figure 3 Portion of disputes resolved within 6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r w:rsidR="00CD3AB0" w:rsidRPr="00252B09">
        <w:rPr>
          <w:rStyle w:val="Normal-ActChar"/>
        </w:rPr>
        <w:t xml:space="preserve">Figure 3. </w:t>
      </w:r>
      <w:r w:rsidR="00685BA8" w:rsidRPr="00685BA8">
        <w:rPr>
          <w:rStyle w:val="Normal-ActChar"/>
        </w:rPr>
        <w:t>The graph below shows the performance over the past five years.</w:t>
      </w:r>
    </w:p>
    <w:p w14:paraId="4286F64B" w14:textId="6EDA3E73" w:rsidR="006B568E" w:rsidRDefault="006B568E">
      <w:pPr>
        <w:keepLines w:val="0"/>
        <w:spacing w:after="0" w:line="240" w:lineRule="auto"/>
        <w:rPr>
          <w:rFonts w:eastAsiaTheme="majorEastAsia" w:cs="Arial"/>
          <w:b/>
          <w:bCs/>
          <w:iCs/>
          <w:color w:val="205352"/>
          <w:sz w:val="30"/>
          <w:szCs w:val="30"/>
        </w:rPr>
      </w:pPr>
      <w:bookmarkStart w:id="611" w:name="_Toc426617612"/>
      <w:r>
        <w:br w:type="page"/>
      </w:r>
    </w:p>
    <w:p w14:paraId="522756E8" w14:textId="130A9A2D" w:rsidR="00CD3AB0" w:rsidRDefault="00CD3AB0" w:rsidP="00252B09">
      <w:pPr>
        <w:pStyle w:val="Heading2nonumber"/>
      </w:pPr>
      <w:bookmarkStart w:id="612" w:name="_Toc430091343"/>
      <w:r w:rsidRPr="0029198C">
        <w:lastRenderedPageBreak/>
        <w:t>Key Indicators of Efficiency</w:t>
      </w:r>
      <w:bookmarkEnd w:id="611"/>
      <w:bookmarkEnd w:id="612"/>
    </w:p>
    <w:p w14:paraId="12FD2446" w14:textId="77777777" w:rsidR="00685BA8" w:rsidRPr="00685BA8" w:rsidRDefault="00685BA8" w:rsidP="007D395C">
      <w:bookmarkStart w:id="613" w:name="_Toc392690103"/>
      <w:bookmarkStart w:id="614" w:name="_Toc392690166"/>
      <w:r w:rsidRPr="00685BA8">
        <w:t>Efficiency indicators relate services to the level of resource inputs required to deliver them. The efficiency indicators for WorkCover WA are focused on financial resources and provide a per unit cost.</w:t>
      </w:r>
    </w:p>
    <w:p w14:paraId="3499E882" w14:textId="77777777" w:rsidR="00685BA8" w:rsidRDefault="00685BA8" w:rsidP="007D395C">
      <w:r w:rsidRPr="00685BA8">
        <w:t xml:space="preserve">There are three efficiency indicators chosen for each of the two services, Scheme Regulation and Scheme Services. These indicators measure the overall costs of delivering the core services for regulation of scheme participants and conciliation and arbitration services.  </w:t>
      </w:r>
    </w:p>
    <w:p w14:paraId="5F2FEE1E" w14:textId="0F79835E" w:rsidR="00CD3AB0" w:rsidRPr="00BB659A" w:rsidRDefault="00CD3AB0" w:rsidP="00685BA8">
      <w:pPr>
        <w:pStyle w:val="Heading2nonumber"/>
      </w:pPr>
      <w:bookmarkStart w:id="615" w:name="_Toc426617613"/>
      <w:bookmarkStart w:id="616" w:name="_Toc430091344"/>
      <w:r w:rsidRPr="0029198C">
        <w:t>Allocation of agency costs</w:t>
      </w:r>
      <w:bookmarkEnd w:id="613"/>
      <w:bookmarkEnd w:id="614"/>
      <w:bookmarkEnd w:id="615"/>
      <w:bookmarkEnd w:id="616"/>
    </w:p>
    <w:p w14:paraId="64F89D8F" w14:textId="77777777" w:rsidR="00685BA8" w:rsidRPr="00685BA8" w:rsidRDefault="00685BA8" w:rsidP="007D395C">
      <w:pPr>
        <w:rPr>
          <w:lang w:val="en-GB"/>
        </w:rPr>
      </w:pPr>
      <w:r w:rsidRPr="00685BA8">
        <w:rPr>
          <w:lang w:val="en-GB"/>
        </w:rPr>
        <w:t xml:space="preserve">The present KPI costing model was first introduced for the 2011-12 reporting year. To ensure accurate allocations of costs to the KPIs across the Agency, a review of Agency cost mapping and associated activities is undertaken every two years. </w:t>
      </w:r>
    </w:p>
    <w:p w14:paraId="30C1530A" w14:textId="77777777" w:rsidR="00685BA8" w:rsidRPr="00685BA8" w:rsidRDefault="00685BA8" w:rsidP="007D395C">
      <w:pPr>
        <w:rPr>
          <w:lang w:val="en-GB"/>
        </w:rPr>
      </w:pPr>
      <w:r w:rsidRPr="00685BA8">
        <w:rPr>
          <w:lang w:val="en-GB"/>
        </w:rPr>
        <w:t xml:space="preserve">The review conducted in April 2013 identified changes to the mapping of activities within the Conciliation and Arbitration Services Division which took effect from 1 July 2013.  </w:t>
      </w:r>
    </w:p>
    <w:p w14:paraId="7B388631" w14:textId="77777777" w:rsidR="00685BA8" w:rsidRDefault="00685BA8" w:rsidP="007D395C">
      <w:pPr>
        <w:rPr>
          <w:lang w:val="en-GB"/>
        </w:rPr>
      </w:pPr>
      <w:r w:rsidRPr="00685BA8">
        <w:rPr>
          <w:lang w:val="en-GB"/>
        </w:rPr>
        <w:t>Budget figures used in the costing model for 2014/15 are consistent with the approved budget.</w:t>
      </w:r>
    </w:p>
    <w:p w14:paraId="48712EEF" w14:textId="428105A1" w:rsidR="00CD3AB0" w:rsidRPr="00252B09" w:rsidRDefault="00CD3AB0" w:rsidP="00685BA8">
      <w:pPr>
        <w:pStyle w:val="Normal-Act"/>
        <w:rPr>
          <w:rStyle w:val="Strong"/>
        </w:rPr>
      </w:pPr>
      <w:r w:rsidRPr="00252B09">
        <w:rPr>
          <w:rStyle w:val="Strong"/>
        </w:rPr>
        <w:t>Overheads</w:t>
      </w:r>
    </w:p>
    <w:p w14:paraId="298609F6" w14:textId="77777777" w:rsidR="00685BA8" w:rsidRPr="00685BA8" w:rsidRDefault="00685BA8" w:rsidP="007D395C">
      <w:r w:rsidRPr="00685BA8">
        <w:t>WorkCover WA uses a cost allocation model to determine overheads and to allocate costs across the Agency’s four divisions and six efficiency KPIs.</w:t>
      </w:r>
    </w:p>
    <w:p w14:paraId="1638EBBA" w14:textId="77777777" w:rsidR="00685BA8" w:rsidRPr="00685BA8" w:rsidRDefault="00685BA8" w:rsidP="007D395C">
      <w:r w:rsidRPr="00685BA8">
        <w:t>Direct costs for each activity are allocated to individual cost centres within the relevant business units in the first instance.  Indirect costs (overheads) that can easily be attributed to Full Time Equivalent (FTE) positions, such as payroll tax, superannuation, workers compensation and employee entitlements are allocated across all Agency cost centres on an FTE basis. Other overheads, such as rates, water, electricity and depreciation of buildings have been allocated according to the floor space specifically allocated to an area.</w:t>
      </w:r>
    </w:p>
    <w:p w14:paraId="4ACDB38A" w14:textId="719275AC" w:rsidR="006B568E" w:rsidRDefault="00685BA8" w:rsidP="007D395C">
      <w:r w:rsidRPr="00685BA8">
        <w:t xml:space="preserve">In order to account for all Agency costs, expenditure from cost centres that are not attributed directly to a KPI is allocated across all KPIs on an FTE basis. </w:t>
      </w:r>
    </w:p>
    <w:p w14:paraId="1AB9454B" w14:textId="77777777" w:rsidR="006B568E" w:rsidRDefault="006B568E">
      <w:pPr>
        <w:keepLines w:val="0"/>
        <w:spacing w:after="0" w:line="240" w:lineRule="auto"/>
      </w:pPr>
      <w:r>
        <w:br w:type="page"/>
      </w:r>
    </w:p>
    <w:p w14:paraId="1E873A39" w14:textId="506DA407" w:rsidR="00CD3AB0" w:rsidRPr="0000055D" w:rsidRDefault="00CD3AB0" w:rsidP="00685BA8">
      <w:pPr>
        <w:pStyle w:val="Normal-Act"/>
        <w:rPr>
          <w:rStyle w:val="Strong"/>
        </w:rPr>
      </w:pPr>
      <w:r w:rsidRPr="0000055D">
        <w:rPr>
          <w:rStyle w:val="Strong"/>
        </w:rPr>
        <w:lastRenderedPageBreak/>
        <w:t>Exempted expenditure</w:t>
      </w:r>
    </w:p>
    <w:p w14:paraId="69E9BD0D" w14:textId="155BB537" w:rsidR="00685BA8" w:rsidRDefault="00685BA8" w:rsidP="007D395C">
      <w:r>
        <w:t>Certain expenditure and revenue in relation to the payment and subsequent recovery of workers compensation claims are not incorporated into the KPI calculation data.  This is due to the nature of these transactions and the fact that WorkCover WA has no control over the number or amount of claims lodged in accordance with the Act, which if included, would unduly skew key KPI data (</w:t>
      </w:r>
      <w:r w:rsidR="001A2B42">
        <w:t xml:space="preserve">for 2014/15 this represents </w:t>
      </w:r>
      <w:r w:rsidR="002B5E74">
        <w:t>seven</w:t>
      </w:r>
      <w:r w:rsidR="001A2B42">
        <w:t> </w:t>
      </w:r>
      <w:r w:rsidR="00123F56">
        <w:t>per cent</w:t>
      </w:r>
      <w:r>
        <w:t xml:space="preserve"> of the total expenditure). </w:t>
      </w:r>
    </w:p>
    <w:p w14:paraId="5CA63BD2" w14:textId="77777777" w:rsidR="00251337" w:rsidRDefault="00251337" w:rsidP="00251337">
      <w:r>
        <w:t>E</w:t>
      </w:r>
      <w:r w:rsidRPr="008E33BF">
        <w:t xml:space="preserve">xempted expenditure </w:t>
      </w:r>
      <w:r>
        <w:t xml:space="preserve">has decreased from the prior year due to a decrease in the valuation of future workers compensation </w:t>
      </w:r>
      <w:r w:rsidRPr="008E33BF">
        <w:t>claims liabilities</w:t>
      </w:r>
      <w:r>
        <w:t>.</w:t>
      </w:r>
    </w:p>
    <w:p w14:paraId="595EBCE4" w14:textId="77777777" w:rsidR="00CD3AB0" w:rsidRPr="0000055D" w:rsidRDefault="00CD3AB0" w:rsidP="0000055D">
      <w:pPr>
        <w:rPr>
          <w:rStyle w:val="Strong"/>
          <w:color w:val="2D4541" w:themeColor="accent2"/>
        </w:rPr>
      </w:pPr>
      <w:r w:rsidRPr="0000055D">
        <w:rPr>
          <w:rStyle w:val="Strong"/>
          <w:color w:val="2D4541" w:themeColor="accent2"/>
        </w:rPr>
        <w:t>Service 1: Scheme Regulation (regulation of Workers' Compensation Scheme participants for compliance with legislative requirements)</w:t>
      </w:r>
    </w:p>
    <w:p w14:paraId="05089680" w14:textId="77777777" w:rsidR="00685BA8" w:rsidRPr="00685BA8" w:rsidRDefault="00685BA8" w:rsidP="00685BA8">
      <w:pPr>
        <w:rPr>
          <w:rFonts w:cs="Arial"/>
          <w:lang w:val="en-GB"/>
        </w:rPr>
      </w:pPr>
      <w:bookmarkStart w:id="617" w:name="_Indicator_1.1_Average"/>
      <w:bookmarkEnd w:id="617"/>
      <w:r w:rsidRPr="00685BA8">
        <w:rPr>
          <w:rFonts w:cs="Arial"/>
          <w:lang w:val="en-GB"/>
        </w:rPr>
        <w:t>As part of its responsibilities in administering the Act, WorkCover WA has responsibility to ensure the efficient and effective operation of the workers’ compensation scheme by monitoring compliance of employers, insurers and others participating in or affected by the scheme.</w:t>
      </w:r>
    </w:p>
    <w:p w14:paraId="64E2746A" w14:textId="77777777" w:rsidR="00685BA8" w:rsidRDefault="00685BA8" w:rsidP="00685BA8">
      <w:pPr>
        <w:rPr>
          <w:rFonts w:cs="Arial"/>
          <w:lang w:val="en-GB"/>
        </w:rPr>
      </w:pPr>
      <w:r w:rsidRPr="00685BA8">
        <w:rPr>
          <w:rFonts w:cs="Arial"/>
          <w:lang w:val="en-GB"/>
        </w:rPr>
        <w:t xml:space="preserve">The KPIs listed below measure the costs of providing these activities. </w:t>
      </w:r>
    </w:p>
    <w:p w14:paraId="6B13025B" w14:textId="5E98EFB5" w:rsidR="0000055D" w:rsidRPr="0000055D" w:rsidRDefault="00CD3AB0" w:rsidP="002C6BAB">
      <w:pPr>
        <w:rPr>
          <w:rStyle w:val="Strong"/>
        </w:rPr>
      </w:pPr>
      <w:r w:rsidRPr="0000055D">
        <w:rPr>
          <w:rStyle w:val="Strong"/>
        </w:rPr>
        <w:t>Indicator 1.1</w:t>
      </w:r>
    </w:p>
    <w:p w14:paraId="71B1CB3F" w14:textId="5A034129" w:rsidR="00CD3AB0" w:rsidRPr="00664937" w:rsidRDefault="00CD3AB0" w:rsidP="00664937">
      <w:pPr>
        <w:pStyle w:val="Heading4"/>
      </w:pPr>
      <w:r w:rsidRPr="00664937">
        <w:t xml:space="preserve">Average </w:t>
      </w:r>
      <w:bookmarkStart w:id="618" w:name="OLE_LINK2"/>
      <w:bookmarkStart w:id="619" w:name="OLE_LINK3"/>
      <w:r w:rsidRPr="00664937">
        <w:t>cost per employer compliance activity</w:t>
      </w:r>
      <w:bookmarkEnd w:id="618"/>
      <w:bookmarkEnd w:id="619"/>
    </w:p>
    <w:tbl>
      <w:tblPr>
        <w:tblW w:w="9298" w:type="dxa"/>
        <w:jc w:val="center"/>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Pr>
      <w:tblGrid>
        <w:gridCol w:w="1785"/>
        <w:gridCol w:w="1276"/>
        <w:gridCol w:w="1276"/>
        <w:gridCol w:w="1086"/>
        <w:gridCol w:w="1260"/>
        <w:gridCol w:w="1391"/>
        <w:gridCol w:w="1224"/>
      </w:tblGrid>
      <w:tr w:rsidR="00CD3AB0" w:rsidRPr="00005620" w14:paraId="0E212A10" w14:textId="77777777" w:rsidTr="0031156D">
        <w:trPr>
          <w:trHeight w:val="638"/>
          <w:jc w:val="center"/>
        </w:trPr>
        <w:tc>
          <w:tcPr>
            <w:tcW w:w="1785" w:type="dxa"/>
            <w:shd w:val="clear" w:color="auto" w:fill="2D4541" w:themeFill="accent2"/>
            <w:vAlign w:val="center"/>
          </w:tcPr>
          <w:p w14:paraId="4CCF27B2" w14:textId="77777777" w:rsidR="00CD3AB0" w:rsidRPr="00F666DB" w:rsidRDefault="00CD3AB0" w:rsidP="00CD3AB0">
            <w:pPr>
              <w:pStyle w:val="TableHeading"/>
              <w:rPr>
                <w:rFonts w:cs="Arial"/>
                <w:sz w:val="24"/>
                <w:szCs w:val="24"/>
              </w:rPr>
            </w:pPr>
            <w:r w:rsidRPr="00F666DB">
              <w:rPr>
                <w:rFonts w:cs="Arial"/>
                <w:sz w:val="24"/>
                <w:szCs w:val="24"/>
              </w:rPr>
              <w:t xml:space="preserve">Indicator 1.1 </w:t>
            </w:r>
          </w:p>
        </w:tc>
        <w:tc>
          <w:tcPr>
            <w:tcW w:w="1276" w:type="dxa"/>
            <w:shd w:val="clear" w:color="auto" w:fill="2D4541" w:themeFill="accent2"/>
            <w:vAlign w:val="center"/>
          </w:tcPr>
          <w:p w14:paraId="4232C296" w14:textId="77777777" w:rsidR="00CD3AB0" w:rsidRDefault="00CD3AB0" w:rsidP="00CD3AB0">
            <w:pPr>
              <w:pStyle w:val="TableHeading"/>
              <w:spacing w:before="0" w:after="0"/>
              <w:jc w:val="center"/>
              <w:rPr>
                <w:rFonts w:cs="Arial"/>
                <w:sz w:val="24"/>
                <w:szCs w:val="24"/>
              </w:rPr>
            </w:pPr>
            <w:r w:rsidRPr="00005620">
              <w:rPr>
                <w:rFonts w:cs="Arial"/>
                <w:sz w:val="24"/>
                <w:szCs w:val="24"/>
              </w:rPr>
              <w:t>20</w:t>
            </w:r>
            <w:r>
              <w:rPr>
                <w:rFonts w:cs="Arial"/>
                <w:sz w:val="24"/>
                <w:szCs w:val="24"/>
              </w:rPr>
              <w:t>10</w:t>
            </w:r>
            <w:r w:rsidRPr="00005620">
              <w:rPr>
                <w:rFonts w:cs="Arial"/>
                <w:sz w:val="24"/>
                <w:szCs w:val="24"/>
              </w:rPr>
              <w:t>/1</w:t>
            </w:r>
            <w:r>
              <w:rPr>
                <w:rFonts w:cs="Arial"/>
                <w:sz w:val="24"/>
                <w:szCs w:val="24"/>
              </w:rPr>
              <w:t>1</w:t>
            </w:r>
          </w:p>
          <w:p w14:paraId="305FD60D" w14:textId="77777777" w:rsidR="00CD3AB0" w:rsidRPr="00005620" w:rsidRDefault="00CD3AB0" w:rsidP="00CD3AB0">
            <w:pPr>
              <w:pStyle w:val="TableHeading"/>
              <w:spacing w:before="0" w:after="0"/>
              <w:jc w:val="center"/>
              <w:rPr>
                <w:rFonts w:cs="Arial"/>
                <w:sz w:val="24"/>
                <w:szCs w:val="24"/>
              </w:rPr>
            </w:pPr>
            <w:r>
              <w:rPr>
                <w:rFonts w:cs="Arial"/>
                <w:sz w:val="24"/>
                <w:szCs w:val="24"/>
              </w:rPr>
              <w:t>Actual</w:t>
            </w:r>
          </w:p>
        </w:tc>
        <w:tc>
          <w:tcPr>
            <w:tcW w:w="1276" w:type="dxa"/>
            <w:shd w:val="clear" w:color="auto" w:fill="2D4541" w:themeFill="accent2"/>
            <w:vAlign w:val="center"/>
          </w:tcPr>
          <w:p w14:paraId="67A3773A" w14:textId="77777777" w:rsidR="00CD3AB0" w:rsidRDefault="00CD3AB0" w:rsidP="00CD3AB0">
            <w:pPr>
              <w:pStyle w:val="TableHeading"/>
              <w:spacing w:before="0" w:after="0"/>
              <w:jc w:val="center"/>
              <w:rPr>
                <w:rFonts w:cs="Arial"/>
                <w:sz w:val="24"/>
                <w:szCs w:val="24"/>
              </w:rPr>
            </w:pPr>
            <w:r w:rsidRPr="00005620">
              <w:rPr>
                <w:rFonts w:cs="Arial"/>
                <w:sz w:val="24"/>
                <w:szCs w:val="24"/>
              </w:rPr>
              <w:t>201</w:t>
            </w:r>
            <w:r>
              <w:rPr>
                <w:rFonts w:cs="Arial"/>
                <w:sz w:val="24"/>
                <w:szCs w:val="24"/>
              </w:rPr>
              <w:t>1</w:t>
            </w:r>
            <w:r w:rsidRPr="00005620">
              <w:rPr>
                <w:rFonts w:cs="Arial"/>
                <w:sz w:val="24"/>
                <w:szCs w:val="24"/>
              </w:rPr>
              <w:t>/1</w:t>
            </w:r>
            <w:r>
              <w:rPr>
                <w:rFonts w:cs="Arial"/>
                <w:sz w:val="24"/>
                <w:szCs w:val="24"/>
              </w:rPr>
              <w:t>2</w:t>
            </w:r>
          </w:p>
          <w:p w14:paraId="0521E95B" w14:textId="77777777" w:rsidR="00CD3AB0" w:rsidRPr="00005620" w:rsidRDefault="00CD3AB0" w:rsidP="00CD3AB0">
            <w:pPr>
              <w:pStyle w:val="TableHeading"/>
              <w:spacing w:before="0" w:after="0"/>
              <w:jc w:val="center"/>
              <w:rPr>
                <w:rFonts w:cs="Arial"/>
                <w:sz w:val="24"/>
                <w:szCs w:val="24"/>
              </w:rPr>
            </w:pPr>
            <w:r>
              <w:rPr>
                <w:rFonts w:cs="Arial"/>
                <w:sz w:val="24"/>
                <w:szCs w:val="24"/>
              </w:rPr>
              <w:t>Actual</w:t>
            </w:r>
          </w:p>
        </w:tc>
        <w:tc>
          <w:tcPr>
            <w:tcW w:w="1086" w:type="dxa"/>
            <w:shd w:val="clear" w:color="auto" w:fill="2D4541" w:themeFill="accent2"/>
            <w:vAlign w:val="center"/>
            <w:hideMark/>
          </w:tcPr>
          <w:p w14:paraId="0101F026" w14:textId="77777777" w:rsidR="00CD3AB0" w:rsidRPr="004A2022" w:rsidRDefault="00CD3AB0" w:rsidP="00CD3AB0">
            <w:pPr>
              <w:pStyle w:val="TableHeading"/>
              <w:spacing w:before="0" w:after="0"/>
              <w:jc w:val="center"/>
              <w:rPr>
                <w:rFonts w:cs="Arial"/>
                <w:sz w:val="24"/>
                <w:szCs w:val="24"/>
              </w:rPr>
            </w:pPr>
            <w:r w:rsidRPr="004A2022">
              <w:rPr>
                <w:rFonts w:cs="Arial"/>
                <w:sz w:val="24"/>
                <w:szCs w:val="24"/>
              </w:rPr>
              <w:t>2012/13 Actual</w:t>
            </w:r>
          </w:p>
        </w:tc>
        <w:tc>
          <w:tcPr>
            <w:tcW w:w="1260" w:type="dxa"/>
            <w:shd w:val="clear" w:color="auto" w:fill="2D4541" w:themeFill="accent2"/>
            <w:vAlign w:val="center"/>
            <w:hideMark/>
          </w:tcPr>
          <w:p w14:paraId="42669C19" w14:textId="77777777" w:rsidR="00CD3AB0" w:rsidRPr="00405AA5" w:rsidRDefault="00CD3AB0" w:rsidP="00CD3AB0">
            <w:pPr>
              <w:pStyle w:val="TableHeading"/>
              <w:spacing w:before="0" w:after="0"/>
              <w:jc w:val="center"/>
              <w:rPr>
                <w:rFonts w:cs="Arial"/>
                <w:sz w:val="24"/>
                <w:szCs w:val="24"/>
              </w:rPr>
            </w:pPr>
            <w:r w:rsidRPr="00405AA5">
              <w:rPr>
                <w:rFonts w:cs="Arial"/>
                <w:sz w:val="24"/>
                <w:szCs w:val="24"/>
              </w:rPr>
              <w:t xml:space="preserve">2013/14 Actual </w:t>
            </w:r>
          </w:p>
        </w:tc>
        <w:tc>
          <w:tcPr>
            <w:tcW w:w="1391" w:type="dxa"/>
            <w:shd w:val="clear" w:color="auto" w:fill="2D4541" w:themeFill="accent2"/>
            <w:vAlign w:val="center"/>
            <w:hideMark/>
          </w:tcPr>
          <w:p w14:paraId="28568ED6" w14:textId="77777777" w:rsidR="0031156D" w:rsidRPr="0031156D" w:rsidRDefault="0031156D" w:rsidP="0031156D">
            <w:pPr>
              <w:keepLines w:val="0"/>
              <w:spacing w:after="0" w:line="240" w:lineRule="auto"/>
              <w:jc w:val="center"/>
              <w:rPr>
                <w:rStyle w:val="Strong"/>
                <w:color w:val="FFFFFF" w:themeColor="background1"/>
                <w:lang w:val="en-US"/>
              </w:rPr>
            </w:pPr>
            <w:r w:rsidRPr="0031156D">
              <w:rPr>
                <w:rStyle w:val="Strong"/>
                <w:color w:val="FFFFFF" w:themeColor="background1"/>
                <w:lang w:val="en-US"/>
              </w:rPr>
              <w:t>2014/15</w:t>
            </w:r>
          </w:p>
          <w:p w14:paraId="305599EC" w14:textId="5E1558C8" w:rsidR="00CD3AB0" w:rsidRPr="00405AA5" w:rsidRDefault="0031156D" w:rsidP="0031156D">
            <w:pPr>
              <w:pStyle w:val="TableHeading"/>
              <w:spacing w:before="0" w:after="0"/>
              <w:jc w:val="center"/>
              <w:rPr>
                <w:rFonts w:cs="Arial"/>
                <w:sz w:val="24"/>
                <w:szCs w:val="24"/>
              </w:rPr>
            </w:pPr>
            <w:r w:rsidRPr="0031156D">
              <w:rPr>
                <w:rStyle w:val="Strong"/>
                <w:b/>
              </w:rPr>
              <w:t>Actual</w:t>
            </w:r>
          </w:p>
        </w:tc>
        <w:tc>
          <w:tcPr>
            <w:tcW w:w="1224" w:type="dxa"/>
            <w:shd w:val="clear" w:color="auto" w:fill="2D4541" w:themeFill="accent2"/>
            <w:vAlign w:val="center"/>
            <w:hideMark/>
          </w:tcPr>
          <w:p w14:paraId="5EFEB4BF" w14:textId="77777777" w:rsidR="00CD3AB0" w:rsidRDefault="00CD3AB0" w:rsidP="00CD3AB0">
            <w:pPr>
              <w:pStyle w:val="TableHeading"/>
              <w:spacing w:before="0" w:after="0"/>
              <w:jc w:val="center"/>
              <w:rPr>
                <w:rFonts w:cs="Arial"/>
                <w:sz w:val="24"/>
                <w:szCs w:val="24"/>
              </w:rPr>
            </w:pPr>
            <w:r>
              <w:rPr>
                <w:rFonts w:cs="Arial"/>
                <w:sz w:val="24"/>
                <w:szCs w:val="24"/>
              </w:rPr>
              <w:t>2014/15</w:t>
            </w:r>
          </w:p>
          <w:p w14:paraId="6C68DE33" w14:textId="77777777" w:rsidR="00CD3AB0" w:rsidRPr="00005620" w:rsidRDefault="00CD3AB0" w:rsidP="00CD3AB0">
            <w:pPr>
              <w:pStyle w:val="TableHeading"/>
              <w:spacing w:before="0" w:after="0"/>
              <w:jc w:val="center"/>
              <w:rPr>
                <w:rFonts w:cs="Arial"/>
                <w:sz w:val="24"/>
                <w:szCs w:val="24"/>
              </w:rPr>
            </w:pPr>
            <w:r w:rsidRPr="00005620">
              <w:rPr>
                <w:rFonts w:cs="Arial"/>
                <w:sz w:val="24"/>
                <w:szCs w:val="24"/>
              </w:rPr>
              <w:t>Target</w:t>
            </w:r>
          </w:p>
        </w:tc>
      </w:tr>
      <w:tr w:rsidR="00685BA8" w:rsidRPr="00005620" w14:paraId="54E3D919" w14:textId="77777777" w:rsidTr="00FC1914">
        <w:trPr>
          <w:trHeight w:val="291"/>
          <w:jc w:val="center"/>
        </w:trPr>
        <w:tc>
          <w:tcPr>
            <w:tcW w:w="1785" w:type="dxa"/>
            <w:vAlign w:val="center"/>
            <w:hideMark/>
          </w:tcPr>
          <w:p w14:paraId="29577211" w14:textId="77777777" w:rsidR="00685BA8" w:rsidRPr="00934975" w:rsidRDefault="00685BA8" w:rsidP="00685BA8">
            <w:pPr>
              <w:pStyle w:val="TableText"/>
            </w:pPr>
            <w:r w:rsidRPr="00005620">
              <w:t xml:space="preserve">Average cost per </w:t>
            </w:r>
            <w:r>
              <w:t>employer compliance activity</w:t>
            </w:r>
          </w:p>
        </w:tc>
        <w:tc>
          <w:tcPr>
            <w:tcW w:w="1276" w:type="dxa"/>
          </w:tcPr>
          <w:p w14:paraId="1ABFD03E" w14:textId="1BE50E8C" w:rsidR="00685BA8" w:rsidRPr="00934975" w:rsidRDefault="00685BA8" w:rsidP="00685BA8">
            <w:pPr>
              <w:pStyle w:val="TableText"/>
              <w:jc w:val="center"/>
            </w:pPr>
            <w:r w:rsidRPr="001D1989">
              <w:t>$281</w:t>
            </w:r>
          </w:p>
        </w:tc>
        <w:tc>
          <w:tcPr>
            <w:tcW w:w="1276" w:type="dxa"/>
          </w:tcPr>
          <w:p w14:paraId="4BA49ABD" w14:textId="6D62E5DD" w:rsidR="00685BA8" w:rsidRPr="00934975" w:rsidRDefault="00685BA8" w:rsidP="00685BA8">
            <w:pPr>
              <w:pStyle w:val="TableText"/>
              <w:jc w:val="center"/>
            </w:pPr>
            <w:r w:rsidRPr="001D1989">
              <w:t>$235</w:t>
            </w:r>
          </w:p>
        </w:tc>
        <w:tc>
          <w:tcPr>
            <w:tcW w:w="1086" w:type="dxa"/>
            <w:hideMark/>
          </w:tcPr>
          <w:p w14:paraId="04D111B1" w14:textId="1356283C" w:rsidR="00685BA8" w:rsidRPr="00505141" w:rsidRDefault="00685BA8" w:rsidP="00685BA8">
            <w:pPr>
              <w:pStyle w:val="TableText"/>
              <w:jc w:val="center"/>
              <w:rPr>
                <w:highlight w:val="yellow"/>
              </w:rPr>
            </w:pPr>
            <w:r w:rsidRPr="001D1989">
              <w:t>$265</w:t>
            </w:r>
          </w:p>
        </w:tc>
        <w:tc>
          <w:tcPr>
            <w:tcW w:w="1260" w:type="dxa"/>
            <w:hideMark/>
          </w:tcPr>
          <w:p w14:paraId="63A05C49" w14:textId="4B04B444" w:rsidR="00685BA8" w:rsidRPr="00505141" w:rsidRDefault="00685BA8" w:rsidP="00685BA8">
            <w:pPr>
              <w:pStyle w:val="TableText"/>
              <w:jc w:val="center"/>
              <w:rPr>
                <w:highlight w:val="yellow"/>
              </w:rPr>
            </w:pPr>
            <w:r w:rsidRPr="001D1989">
              <w:t>$198</w:t>
            </w:r>
          </w:p>
        </w:tc>
        <w:tc>
          <w:tcPr>
            <w:tcW w:w="1391" w:type="dxa"/>
            <w:shd w:val="clear" w:color="auto" w:fill="F5EDC1" w:themeFill="accent4"/>
            <w:hideMark/>
          </w:tcPr>
          <w:p w14:paraId="1A014413" w14:textId="0BF8C07F" w:rsidR="00685BA8" w:rsidRPr="00505141" w:rsidRDefault="00685BA8" w:rsidP="00685BA8">
            <w:pPr>
              <w:pStyle w:val="TableText"/>
              <w:jc w:val="center"/>
              <w:rPr>
                <w:highlight w:val="yellow"/>
              </w:rPr>
            </w:pPr>
            <w:r w:rsidRPr="001D1989">
              <w:t>$255</w:t>
            </w:r>
          </w:p>
        </w:tc>
        <w:tc>
          <w:tcPr>
            <w:tcW w:w="1224" w:type="dxa"/>
            <w:shd w:val="clear" w:color="auto" w:fill="D4E2E0" w:themeFill="accent5"/>
            <w:hideMark/>
          </w:tcPr>
          <w:p w14:paraId="3D9D416D" w14:textId="777C07B4" w:rsidR="00685BA8" w:rsidRPr="00505141" w:rsidRDefault="00685BA8" w:rsidP="00685BA8">
            <w:pPr>
              <w:pStyle w:val="TableText"/>
              <w:jc w:val="center"/>
              <w:rPr>
                <w:highlight w:val="yellow"/>
              </w:rPr>
            </w:pPr>
            <w:r w:rsidRPr="001D1989">
              <w:t>$257</w:t>
            </w:r>
          </w:p>
        </w:tc>
      </w:tr>
    </w:tbl>
    <w:p w14:paraId="294D939D" w14:textId="77777777" w:rsidR="0000055D" w:rsidRDefault="0000055D" w:rsidP="0000055D">
      <w:pPr>
        <w:rPr>
          <w:rStyle w:val="Strong"/>
        </w:rPr>
      </w:pPr>
    </w:p>
    <w:p w14:paraId="440C8081" w14:textId="77777777" w:rsidR="00CD3AB0" w:rsidRPr="0000055D" w:rsidRDefault="00CD3AB0" w:rsidP="002C6BAB">
      <w:pPr>
        <w:rPr>
          <w:rStyle w:val="Strong"/>
        </w:rPr>
      </w:pPr>
      <w:r w:rsidRPr="0000055D">
        <w:rPr>
          <w:rStyle w:val="Strong"/>
        </w:rPr>
        <w:t>Description</w:t>
      </w:r>
    </w:p>
    <w:p w14:paraId="68B339E4" w14:textId="20471AD0" w:rsidR="00A66207" w:rsidRPr="00685BA8" w:rsidRDefault="00685BA8" w:rsidP="00685BA8">
      <w:pPr>
        <w:rPr>
          <w:lang w:val="en-GB"/>
        </w:rPr>
      </w:pPr>
      <w:bookmarkStart w:id="620" w:name="_Analysis_2"/>
      <w:bookmarkEnd w:id="620"/>
      <w:r w:rsidRPr="00685BA8">
        <w:rPr>
          <w:lang w:val="en-GB"/>
        </w:rPr>
        <w:t>Under the Act, WorkCover WA has responsibility for ensuring that every employer obtains from an approved insurance office, and keeps current, a policy of insurance for the full amount of any liability to pay compensation under the Act to any worker employed (section 160(1)).  Employers have other obligations relating to insurer notifications (section 57A (2)) and regular paymen</w:t>
      </w:r>
      <w:r w:rsidR="00A66207">
        <w:rPr>
          <w:lang w:val="en-GB"/>
        </w:rPr>
        <w:t>ts to injured workers (section </w:t>
      </w:r>
      <w:r w:rsidRPr="00685BA8">
        <w:rPr>
          <w:lang w:val="en-GB"/>
        </w:rPr>
        <w:t xml:space="preserve">57A (7)). </w:t>
      </w:r>
    </w:p>
    <w:p w14:paraId="2DAD9A26" w14:textId="77777777" w:rsidR="00685BA8" w:rsidRPr="00685BA8" w:rsidRDefault="00685BA8" w:rsidP="00685BA8">
      <w:pPr>
        <w:rPr>
          <w:lang w:val="en-GB"/>
        </w:rPr>
      </w:pPr>
      <w:r w:rsidRPr="00685BA8">
        <w:rPr>
          <w:lang w:val="en-GB"/>
        </w:rPr>
        <w:t>The Act has 34 penalty provisions relating to employers’ obligations. Following notification of a possible breach, an investigation/prosecution may result.</w:t>
      </w:r>
    </w:p>
    <w:p w14:paraId="77FF7579" w14:textId="77777777" w:rsidR="00685BA8" w:rsidRPr="00685BA8" w:rsidRDefault="00685BA8" w:rsidP="00685BA8">
      <w:pPr>
        <w:rPr>
          <w:lang w:val="en-GB"/>
        </w:rPr>
      </w:pPr>
      <w:r w:rsidRPr="00685BA8">
        <w:rPr>
          <w:lang w:val="en-GB"/>
        </w:rPr>
        <w:lastRenderedPageBreak/>
        <w:t xml:space="preserve">Each employer compliance activity is recorded by team members directly into the purpose built Regulatory Services Management System (RSMS) which was commissioned on 1 December 2012. The total number of employer compliance activities for 2014/15 has been extracted directly from this system. </w:t>
      </w:r>
    </w:p>
    <w:p w14:paraId="1E4AA2B6" w14:textId="77777777" w:rsidR="00685BA8" w:rsidRPr="00685BA8" w:rsidRDefault="00685BA8" w:rsidP="00685BA8">
      <w:pPr>
        <w:rPr>
          <w:lang w:val="en-GB"/>
        </w:rPr>
      </w:pPr>
      <w:r w:rsidRPr="00685BA8">
        <w:rPr>
          <w:lang w:val="en-GB"/>
        </w:rPr>
        <w:t>This indicator demonstrates the average cost per employer compliance activity and is measured by dividing the full costs of the Compliance Section plus one third of the Regulatory Services Executive and the determined WorkCover WA overhead allocation by the total number of employer compliance activities.</w:t>
      </w:r>
    </w:p>
    <w:p w14:paraId="2BD75198" w14:textId="77777777" w:rsidR="00685BA8" w:rsidRDefault="00685BA8" w:rsidP="00685BA8">
      <w:pPr>
        <w:rPr>
          <w:lang w:val="en-GB"/>
        </w:rPr>
      </w:pPr>
      <w:r w:rsidRPr="00685BA8">
        <w:rPr>
          <w:lang w:val="en-GB"/>
        </w:rPr>
        <w:t xml:space="preserve">The target for this indicator was determined using the full year approved budget figures for the compliance activity (including allocated overheads) divided by the estimated full year total number of compliance activity units. </w:t>
      </w:r>
    </w:p>
    <w:p w14:paraId="520FAABF" w14:textId="7E61FC12" w:rsidR="00CD3AB0" w:rsidRPr="00321A6F" w:rsidRDefault="00CD3AB0" w:rsidP="002C6BAB">
      <w:pPr>
        <w:rPr>
          <w:rStyle w:val="Strong"/>
        </w:rPr>
      </w:pPr>
      <w:r w:rsidRPr="00321A6F">
        <w:rPr>
          <w:rStyle w:val="Strong"/>
        </w:rPr>
        <w:t xml:space="preserve">Analysis </w:t>
      </w:r>
    </w:p>
    <w:p w14:paraId="5E3208DD" w14:textId="1657F3AE" w:rsidR="00685BA8" w:rsidRPr="00B87C51" w:rsidRDefault="00685BA8" w:rsidP="007D395C">
      <w:pPr>
        <w:rPr>
          <w:rStyle w:val="Strong"/>
          <w:b w:val="0"/>
        </w:rPr>
      </w:pPr>
      <w:r w:rsidRPr="00B87C51">
        <w:rPr>
          <w:rStyle w:val="Strong"/>
          <w:b w:val="0"/>
        </w:rPr>
        <w:t xml:space="preserve">The average cost per employer compliance activity for 2014/15 is $255. This is a very minor variation of 0.8 of a percentage point reduction on the predicted target of $257 and a similar outcome for years prior to 2013/14 (all within 10 </w:t>
      </w:r>
      <w:r w:rsidR="00123F56">
        <w:rPr>
          <w:rStyle w:val="Strong"/>
          <w:b w:val="0"/>
        </w:rPr>
        <w:t>per cent</w:t>
      </w:r>
      <w:r w:rsidRPr="00B87C51">
        <w:rPr>
          <w:rStyle w:val="Strong"/>
          <w:b w:val="0"/>
        </w:rPr>
        <w:t xml:space="preserve"> variance). </w:t>
      </w:r>
    </w:p>
    <w:p w14:paraId="2DD899DD" w14:textId="7A83EFFE" w:rsidR="00A66FC3" w:rsidRDefault="00685BA8" w:rsidP="007D395C">
      <w:pPr>
        <w:rPr>
          <w:rStyle w:val="Strong"/>
          <w:b w:val="0"/>
        </w:rPr>
      </w:pPr>
      <w:r w:rsidRPr="00B87C51">
        <w:rPr>
          <w:rStyle w:val="Strong"/>
          <w:b w:val="0"/>
        </w:rPr>
        <w:t xml:space="preserve">The variance in performance from 2013/14 (28.8 </w:t>
      </w:r>
      <w:r w:rsidR="00123F56">
        <w:rPr>
          <w:rStyle w:val="Strong"/>
          <w:b w:val="0"/>
        </w:rPr>
        <w:t>per cent</w:t>
      </w:r>
      <w:r w:rsidRPr="00B87C51">
        <w:rPr>
          <w:rStyle w:val="Strong"/>
          <w:b w:val="0"/>
        </w:rPr>
        <w:t>) is primarily due to significant compliance activity in 2013/14 targeted at reducing a large number of outstanding expired policy cases. This significantly increased the number of compliance activities recorded for 2013/14 and in turn contributed to the reduced average c</w:t>
      </w:r>
      <w:r w:rsidR="00133F2E">
        <w:rPr>
          <w:rStyle w:val="Strong"/>
          <w:b w:val="0"/>
        </w:rPr>
        <w:t>ost per activity for that year.</w:t>
      </w:r>
      <w:r w:rsidRPr="00B87C51">
        <w:rPr>
          <w:rStyle w:val="Strong"/>
          <w:b w:val="0"/>
        </w:rPr>
        <w:t xml:space="preserve"> Reduced costs for this KPI in 2013/14 due to vacancies within the compliance business unit also contributed to the unusually low cost outcome in 2013/14.</w:t>
      </w:r>
    </w:p>
    <w:p w14:paraId="329ADCCF" w14:textId="77777777" w:rsidR="00A66FC3" w:rsidRDefault="00A66FC3">
      <w:pPr>
        <w:keepLines w:val="0"/>
        <w:spacing w:after="0" w:line="240" w:lineRule="auto"/>
        <w:rPr>
          <w:rStyle w:val="Strong"/>
          <w:b w:val="0"/>
        </w:rPr>
      </w:pPr>
      <w:r>
        <w:rPr>
          <w:rStyle w:val="Strong"/>
          <w:b w:val="0"/>
        </w:rPr>
        <w:br w:type="page"/>
      </w:r>
    </w:p>
    <w:p w14:paraId="5B878EF3" w14:textId="77777777" w:rsidR="00685BA8" w:rsidRPr="00B87C51" w:rsidRDefault="00685BA8" w:rsidP="007D395C">
      <w:pPr>
        <w:rPr>
          <w:rStyle w:val="Strong"/>
          <w:b w:val="0"/>
        </w:rPr>
      </w:pPr>
    </w:p>
    <w:p w14:paraId="65A84EEB" w14:textId="69937C0A" w:rsidR="00CD3AB0" w:rsidRPr="00115724" w:rsidRDefault="00CD3AB0" w:rsidP="00685BA8">
      <w:pPr>
        <w:rPr>
          <w:rStyle w:val="Emphasis"/>
        </w:rPr>
      </w:pPr>
      <w:r w:rsidRPr="00115724">
        <w:rPr>
          <w:rStyle w:val="Emphasis"/>
        </w:rPr>
        <w:t>Figure 4. The graph below shows the cost trend over the past five years.</w:t>
      </w:r>
    </w:p>
    <w:p w14:paraId="04E87E38" w14:textId="7E905293" w:rsidR="00CD3AB0" w:rsidRDefault="00B87C51" w:rsidP="00CD3AB0">
      <w:pPr>
        <w:jc w:val="both"/>
        <w:rPr>
          <w:rFonts w:cs="Arial"/>
          <w:bCs/>
          <w:noProof/>
          <w:lang w:eastAsia="en-AU"/>
        </w:rPr>
      </w:pPr>
      <w:r>
        <w:rPr>
          <w:rFonts w:cs="Arial"/>
          <w:bCs/>
          <w:noProof/>
          <w:lang w:eastAsia="en-AU"/>
        </w:rPr>
        <w:drawing>
          <wp:inline distT="0" distB="0" distL="0" distR="0" wp14:anchorId="01BCD415" wp14:editId="103AC046">
            <wp:extent cx="5731510" cy="3482460"/>
            <wp:effectExtent l="0" t="0" r="2540" b="3810"/>
            <wp:docPr id="9" name="Chart 7" title="Figure 4 cost per employer compliance activ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C0FC94" w14:textId="77777777" w:rsidR="00115724" w:rsidRPr="00115724" w:rsidRDefault="00CD3AB0" w:rsidP="002C6BAB">
      <w:pPr>
        <w:rPr>
          <w:rStyle w:val="Strong"/>
        </w:rPr>
      </w:pPr>
      <w:bookmarkStart w:id="621" w:name="_Indicator_1.2_Average"/>
      <w:bookmarkEnd w:id="621"/>
      <w:r w:rsidRPr="00115724">
        <w:rPr>
          <w:rStyle w:val="Strong"/>
        </w:rPr>
        <w:t xml:space="preserve">Indicator 1.2 </w:t>
      </w:r>
    </w:p>
    <w:p w14:paraId="663ECC95" w14:textId="18A67A5B" w:rsidR="00CD3AB0" w:rsidRPr="002C6BAB" w:rsidRDefault="00CD3AB0" w:rsidP="00664937">
      <w:pPr>
        <w:pStyle w:val="Heading4"/>
      </w:pPr>
      <w:r w:rsidRPr="002C6BAB">
        <w:t>Average cost per approved and monitored service provider</w:t>
      </w:r>
    </w:p>
    <w:tbl>
      <w:tblPr>
        <w:tblW w:w="9109" w:type="dxa"/>
        <w:jc w:val="center"/>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Pr>
      <w:tblGrid>
        <w:gridCol w:w="2127"/>
        <w:gridCol w:w="1134"/>
        <w:gridCol w:w="1134"/>
        <w:gridCol w:w="1134"/>
        <w:gridCol w:w="1134"/>
        <w:gridCol w:w="1170"/>
        <w:gridCol w:w="1276"/>
      </w:tblGrid>
      <w:tr w:rsidR="00CD3AB0" w:rsidRPr="00341261" w14:paraId="7C1DC9BA" w14:textId="77777777" w:rsidTr="0031156D">
        <w:trPr>
          <w:trHeight w:val="515"/>
          <w:jc w:val="center"/>
        </w:trPr>
        <w:tc>
          <w:tcPr>
            <w:tcW w:w="2127" w:type="dxa"/>
            <w:shd w:val="clear" w:color="auto" w:fill="2D4541" w:themeFill="accent2"/>
            <w:vAlign w:val="center"/>
            <w:hideMark/>
          </w:tcPr>
          <w:p w14:paraId="123B70B5" w14:textId="77777777" w:rsidR="00CD3AB0" w:rsidRPr="00005620" w:rsidRDefault="00CD3AB0" w:rsidP="00CD3AB0">
            <w:pPr>
              <w:pStyle w:val="TableHeading"/>
              <w:rPr>
                <w:rFonts w:cs="Arial"/>
                <w:sz w:val="24"/>
                <w:szCs w:val="24"/>
              </w:rPr>
            </w:pPr>
            <w:r w:rsidRPr="00005620">
              <w:rPr>
                <w:rFonts w:cs="Arial"/>
                <w:sz w:val="24"/>
                <w:szCs w:val="24"/>
              </w:rPr>
              <w:t xml:space="preserve">Indicator </w:t>
            </w:r>
            <w:r>
              <w:rPr>
                <w:rFonts w:cs="Arial"/>
                <w:sz w:val="24"/>
                <w:szCs w:val="24"/>
              </w:rPr>
              <w:t>1</w:t>
            </w:r>
            <w:r w:rsidRPr="00005620">
              <w:rPr>
                <w:rFonts w:cs="Arial"/>
                <w:sz w:val="24"/>
                <w:szCs w:val="24"/>
              </w:rPr>
              <w:t xml:space="preserve">.2 </w:t>
            </w:r>
          </w:p>
        </w:tc>
        <w:tc>
          <w:tcPr>
            <w:tcW w:w="1134" w:type="dxa"/>
            <w:shd w:val="clear" w:color="auto" w:fill="2D4541" w:themeFill="accent2"/>
            <w:vAlign w:val="center"/>
          </w:tcPr>
          <w:p w14:paraId="0D5F9DE8" w14:textId="77777777" w:rsidR="00CD3AB0" w:rsidRDefault="00CD3AB0" w:rsidP="00CD3AB0">
            <w:pPr>
              <w:pStyle w:val="TableText"/>
              <w:spacing w:before="0" w:after="0"/>
              <w:jc w:val="center"/>
              <w:rPr>
                <w:b/>
                <w:color w:val="FFFFFF" w:themeColor="background1"/>
              </w:rPr>
            </w:pPr>
            <w:r w:rsidRPr="0077482A">
              <w:rPr>
                <w:b/>
                <w:color w:val="FFFFFF" w:themeColor="background1"/>
              </w:rPr>
              <w:t>2010/11</w:t>
            </w:r>
            <w:r w:rsidRPr="00123DB3">
              <w:t xml:space="preserve"> </w:t>
            </w:r>
            <w:r w:rsidRPr="00AF0E3D">
              <w:rPr>
                <w:b/>
                <w:color w:val="FFFFFF" w:themeColor="background1"/>
              </w:rPr>
              <w:t>Actual</w:t>
            </w:r>
          </w:p>
        </w:tc>
        <w:tc>
          <w:tcPr>
            <w:tcW w:w="1134" w:type="dxa"/>
            <w:shd w:val="clear" w:color="auto" w:fill="2D4541" w:themeFill="accent2"/>
            <w:vAlign w:val="center"/>
          </w:tcPr>
          <w:p w14:paraId="28399211" w14:textId="77777777" w:rsidR="00CD3AB0" w:rsidRPr="009E243C" w:rsidRDefault="00CD3AB0" w:rsidP="00CD3AB0">
            <w:pPr>
              <w:pStyle w:val="TableHeading"/>
              <w:spacing w:before="0" w:after="0"/>
              <w:jc w:val="center"/>
              <w:rPr>
                <w:rFonts w:cs="Arial"/>
                <w:sz w:val="24"/>
                <w:szCs w:val="24"/>
              </w:rPr>
            </w:pPr>
            <w:r w:rsidRPr="009E243C">
              <w:rPr>
                <w:rFonts w:cs="Arial"/>
                <w:sz w:val="24"/>
                <w:szCs w:val="24"/>
              </w:rPr>
              <w:t>2011/12</w:t>
            </w:r>
          </w:p>
          <w:p w14:paraId="43A56646" w14:textId="77777777" w:rsidR="00CD3AB0" w:rsidRPr="0077482A" w:rsidRDefault="00CD3AB0" w:rsidP="00CD3AB0">
            <w:pPr>
              <w:pStyle w:val="TableText"/>
              <w:spacing w:before="0" w:after="0"/>
              <w:jc w:val="center"/>
              <w:rPr>
                <w:b/>
                <w:color w:val="FFFFFF" w:themeColor="background1"/>
              </w:rPr>
            </w:pPr>
            <w:r>
              <w:rPr>
                <w:b/>
                <w:color w:val="FFFFFF" w:themeColor="background1"/>
              </w:rPr>
              <w:t>Actual</w:t>
            </w:r>
          </w:p>
        </w:tc>
        <w:tc>
          <w:tcPr>
            <w:tcW w:w="1134" w:type="dxa"/>
            <w:shd w:val="clear" w:color="auto" w:fill="2D4541" w:themeFill="accent2"/>
            <w:vAlign w:val="center"/>
          </w:tcPr>
          <w:p w14:paraId="3B516BF0" w14:textId="77777777" w:rsidR="00CD3AB0" w:rsidRPr="00014FD7" w:rsidRDefault="00CD3AB0" w:rsidP="00CD3AB0">
            <w:pPr>
              <w:pStyle w:val="TableText"/>
              <w:spacing w:before="0" w:after="0"/>
              <w:jc w:val="center"/>
              <w:rPr>
                <w:b/>
                <w:color w:val="FFFFFF" w:themeColor="background1"/>
                <w:highlight w:val="yellow"/>
              </w:rPr>
            </w:pPr>
            <w:r w:rsidRPr="004A2022">
              <w:rPr>
                <w:b/>
                <w:color w:val="FFFFFF" w:themeColor="background1"/>
              </w:rPr>
              <w:t>2012/13 Actual</w:t>
            </w:r>
          </w:p>
        </w:tc>
        <w:tc>
          <w:tcPr>
            <w:tcW w:w="1134" w:type="dxa"/>
            <w:shd w:val="clear" w:color="auto" w:fill="2D4541" w:themeFill="accent2"/>
            <w:vAlign w:val="center"/>
          </w:tcPr>
          <w:p w14:paraId="3DA6AE3B" w14:textId="77777777" w:rsidR="00CD3AB0" w:rsidRPr="00405AA5" w:rsidRDefault="00CD3AB0" w:rsidP="00CD3AB0">
            <w:pPr>
              <w:pStyle w:val="TableHeading"/>
              <w:spacing w:before="0" w:after="0"/>
              <w:jc w:val="center"/>
              <w:rPr>
                <w:rFonts w:cs="Arial"/>
                <w:sz w:val="24"/>
                <w:szCs w:val="24"/>
              </w:rPr>
            </w:pPr>
            <w:r w:rsidRPr="00405AA5">
              <w:rPr>
                <w:rFonts w:cs="Arial"/>
                <w:sz w:val="24"/>
                <w:szCs w:val="24"/>
              </w:rPr>
              <w:t xml:space="preserve">2013/14 Actual </w:t>
            </w:r>
          </w:p>
        </w:tc>
        <w:tc>
          <w:tcPr>
            <w:tcW w:w="1170" w:type="dxa"/>
            <w:shd w:val="clear" w:color="auto" w:fill="2D4541" w:themeFill="accent2"/>
            <w:vAlign w:val="center"/>
          </w:tcPr>
          <w:p w14:paraId="6F48FFFE" w14:textId="64F04D67" w:rsidR="00CD3AB0" w:rsidRPr="00405AA5" w:rsidRDefault="0031156D" w:rsidP="0031156D">
            <w:pPr>
              <w:pStyle w:val="TableHeading"/>
              <w:spacing w:before="0" w:after="0"/>
              <w:rPr>
                <w:rFonts w:cs="Arial"/>
                <w:sz w:val="24"/>
                <w:szCs w:val="24"/>
              </w:rPr>
            </w:pPr>
            <w:r w:rsidRPr="0031156D">
              <w:rPr>
                <w:rFonts w:cs="Arial"/>
                <w:sz w:val="24"/>
              </w:rPr>
              <w:t>2014/15 Actual</w:t>
            </w:r>
          </w:p>
        </w:tc>
        <w:tc>
          <w:tcPr>
            <w:tcW w:w="1276" w:type="dxa"/>
            <w:shd w:val="clear" w:color="auto" w:fill="2D4541" w:themeFill="accent2"/>
            <w:vAlign w:val="center"/>
          </w:tcPr>
          <w:p w14:paraId="5E919EDE" w14:textId="77777777" w:rsidR="00CD3AB0" w:rsidRDefault="00CD3AB0" w:rsidP="00CD3AB0">
            <w:pPr>
              <w:pStyle w:val="TableHeading"/>
              <w:spacing w:before="0" w:after="0"/>
              <w:jc w:val="center"/>
              <w:rPr>
                <w:rFonts w:cs="Arial"/>
                <w:sz w:val="24"/>
                <w:szCs w:val="24"/>
              </w:rPr>
            </w:pPr>
            <w:r>
              <w:rPr>
                <w:rFonts w:cs="Arial"/>
                <w:sz w:val="24"/>
                <w:szCs w:val="24"/>
              </w:rPr>
              <w:t>2014/15</w:t>
            </w:r>
          </w:p>
          <w:p w14:paraId="1388A48F" w14:textId="77777777" w:rsidR="00CD3AB0" w:rsidRPr="00005620" w:rsidRDefault="00CD3AB0" w:rsidP="00CD3AB0">
            <w:pPr>
              <w:pStyle w:val="TableHeading"/>
              <w:spacing w:before="0" w:after="0"/>
              <w:jc w:val="center"/>
              <w:rPr>
                <w:rFonts w:cs="Arial"/>
                <w:sz w:val="24"/>
                <w:szCs w:val="24"/>
              </w:rPr>
            </w:pPr>
            <w:r w:rsidRPr="00005620">
              <w:rPr>
                <w:rFonts w:cs="Arial"/>
                <w:sz w:val="24"/>
                <w:szCs w:val="24"/>
              </w:rPr>
              <w:t>Target</w:t>
            </w:r>
          </w:p>
        </w:tc>
      </w:tr>
      <w:tr w:rsidR="00B87C51" w:rsidRPr="00005620" w14:paraId="75ABAD1F" w14:textId="77777777" w:rsidTr="0031156D">
        <w:trPr>
          <w:trHeight w:val="291"/>
          <w:jc w:val="center"/>
        </w:trPr>
        <w:tc>
          <w:tcPr>
            <w:tcW w:w="2127" w:type="dxa"/>
            <w:vAlign w:val="center"/>
            <w:hideMark/>
          </w:tcPr>
          <w:p w14:paraId="1DD0E539" w14:textId="77777777" w:rsidR="00B87C51" w:rsidRPr="0077482A" w:rsidRDefault="00B87C51" w:rsidP="00B87C51">
            <w:pPr>
              <w:pStyle w:val="TableText"/>
            </w:pPr>
            <w:r w:rsidRPr="00D34503">
              <w:t>Average cost  per approved and monitored service provider</w:t>
            </w:r>
          </w:p>
        </w:tc>
        <w:tc>
          <w:tcPr>
            <w:tcW w:w="1134" w:type="dxa"/>
          </w:tcPr>
          <w:p w14:paraId="71F690E6" w14:textId="446F5143" w:rsidR="00B87C51" w:rsidRPr="00F70441" w:rsidRDefault="00B87C51" w:rsidP="00B87C51">
            <w:r w:rsidRPr="00132A91">
              <w:t>$2,942</w:t>
            </w:r>
          </w:p>
        </w:tc>
        <w:tc>
          <w:tcPr>
            <w:tcW w:w="1134" w:type="dxa"/>
          </w:tcPr>
          <w:p w14:paraId="1B21B58D" w14:textId="3005F3AE" w:rsidR="00B87C51" w:rsidRPr="00F70441" w:rsidRDefault="00B87C51" w:rsidP="00B87C51">
            <w:r w:rsidRPr="00132A91">
              <w:t>$3,087</w:t>
            </w:r>
          </w:p>
        </w:tc>
        <w:tc>
          <w:tcPr>
            <w:tcW w:w="1134" w:type="dxa"/>
          </w:tcPr>
          <w:p w14:paraId="773EAE92" w14:textId="22B647F4" w:rsidR="00B87C51" w:rsidRPr="00F70441" w:rsidRDefault="00B87C51" w:rsidP="00B87C51">
            <w:r w:rsidRPr="00132A91">
              <w:t>$2,871</w:t>
            </w:r>
          </w:p>
        </w:tc>
        <w:tc>
          <w:tcPr>
            <w:tcW w:w="1134" w:type="dxa"/>
          </w:tcPr>
          <w:p w14:paraId="3ABC1AC3" w14:textId="19C2B61F" w:rsidR="00B87C51" w:rsidRPr="00F70441" w:rsidRDefault="00B87C51" w:rsidP="00B87C51">
            <w:r w:rsidRPr="00132A91">
              <w:t>$3,047</w:t>
            </w:r>
          </w:p>
        </w:tc>
        <w:tc>
          <w:tcPr>
            <w:tcW w:w="1170" w:type="dxa"/>
            <w:shd w:val="clear" w:color="auto" w:fill="F5EDC1" w:themeFill="accent4"/>
          </w:tcPr>
          <w:p w14:paraId="5D5B9144" w14:textId="4C768C46" w:rsidR="00B87C51" w:rsidRPr="009A3B30" w:rsidRDefault="00B87C51" w:rsidP="00B87C51">
            <w:pPr>
              <w:rPr>
                <w:highlight w:val="yellow"/>
              </w:rPr>
            </w:pPr>
            <w:r w:rsidRPr="00132A91">
              <w:t>$3,250</w:t>
            </w:r>
          </w:p>
        </w:tc>
        <w:tc>
          <w:tcPr>
            <w:tcW w:w="1276" w:type="dxa"/>
            <w:shd w:val="clear" w:color="auto" w:fill="D4E2E0" w:themeFill="accent5"/>
          </w:tcPr>
          <w:p w14:paraId="1CE0C329" w14:textId="6C6A2A0C" w:rsidR="00B87C51" w:rsidRPr="009A3B30" w:rsidRDefault="00B87C51" w:rsidP="00B87C51">
            <w:pPr>
              <w:rPr>
                <w:highlight w:val="yellow"/>
              </w:rPr>
            </w:pPr>
            <w:r w:rsidRPr="00132A91">
              <w:t>$3,309</w:t>
            </w:r>
          </w:p>
        </w:tc>
      </w:tr>
    </w:tbl>
    <w:p w14:paraId="2E724F3F" w14:textId="015F8C13" w:rsidR="007E09FA" w:rsidRDefault="007E09FA" w:rsidP="006B568E">
      <w:pPr>
        <w:rPr>
          <w:b/>
        </w:rPr>
      </w:pPr>
    </w:p>
    <w:p w14:paraId="561D6510" w14:textId="77777777" w:rsidR="00CD3AB0" w:rsidRPr="002C6BAB" w:rsidRDefault="00CD3AB0" w:rsidP="002C6BAB">
      <w:pPr>
        <w:rPr>
          <w:rStyle w:val="Strong"/>
        </w:rPr>
      </w:pPr>
      <w:r w:rsidRPr="002C6BAB">
        <w:rPr>
          <w:rStyle w:val="Strong"/>
        </w:rPr>
        <w:t>Description</w:t>
      </w:r>
    </w:p>
    <w:p w14:paraId="548EFAF4" w14:textId="77777777" w:rsidR="00B87C51" w:rsidRPr="00B87C51" w:rsidRDefault="00B87C51" w:rsidP="00B87C51">
      <w:pPr>
        <w:rPr>
          <w:lang w:val="en-GB"/>
        </w:rPr>
      </w:pPr>
      <w:bookmarkStart w:id="622" w:name="_Analysis_3"/>
      <w:bookmarkEnd w:id="622"/>
      <w:r w:rsidRPr="00B87C51">
        <w:rPr>
          <w:lang w:val="en-GB"/>
        </w:rPr>
        <w:t>WorkCover WA is responsible for reviewing the performance of approved participants in the workers’ compensation scheme, and whether performance standards prescribed by legislation or developed by WorkCover WA are being met.</w:t>
      </w:r>
    </w:p>
    <w:p w14:paraId="0C3E433A" w14:textId="77777777" w:rsidR="00B87C51" w:rsidRPr="00B87C51" w:rsidRDefault="00B87C51" w:rsidP="00B87C51">
      <w:pPr>
        <w:rPr>
          <w:lang w:val="en-GB"/>
        </w:rPr>
      </w:pPr>
      <w:r w:rsidRPr="00B87C51">
        <w:rPr>
          <w:lang w:val="en-GB"/>
        </w:rPr>
        <w:t>Service providers’ performance is monitored against established standards which can include performance criteria relating to legislative compliance, codes of conduct, codes of practice and guidelines.</w:t>
      </w:r>
    </w:p>
    <w:p w14:paraId="4BA5C0B7" w14:textId="2AFB0F39" w:rsidR="00B87C51" w:rsidRPr="00B87C51" w:rsidRDefault="00B87C51" w:rsidP="00B87C51">
      <w:pPr>
        <w:rPr>
          <w:lang w:val="en-GB"/>
        </w:rPr>
      </w:pPr>
      <w:r w:rsidRPr="00B87C51">
        <w:rPr>
          <w:lang w:val="en-GB"/>
        </w:rPr>
        <w:lastRenderedPageBreak/>
        <w:t xml:space="preserve">Through its standards and monitoring activities, WorkCover WA approves and/or monitors the performance of the following service providers: insurers, self-insurers, workplace rehabilitation providers, </w:t>
      </w:r>
      <w:r w:rsidR="00B87212">
        <w:rPr>
          <w:lang w:val="en-GB"/>
        </w:rPr>
        <w:t>Approved Medical Specialist</w:t>
      </w:r>
      <w:r w:rsidRPr="00B87C51">
        <w:rPr>
          <w:lang w:val="en-GB"/>
        </w:rPr>
        <w:t>s</w:t>
      </w:r>
      <w:r w:rsidR="00B26741">
        <w:rPr>
          <w:lang w:val="en-GB"/>
        </w:rPr>
        <w:t xml:space="preserve"> (AMS)</w:t>
      </w:r>
      <w:r w:rsidRPr="00B87C51">
        <w:rPr>
          <w:lang w:val="en-GB"/>
        </w:rPr>
        <w:t>, audiologists/ audiometric officers and registered agents.</w:t>
      </w:r>
    </w:p>
    <w:p w14:paraId="30DF129C" w14:textId="77777777" w:rsidR="00B87C51" w:rsidRPr="00B87C51" w:rsidRDefault="00B87C51" w:rsidP="00B87C51">
      <w:pPr>
        <w:rPr>
          <w:lang w:val="en-GB"/>
        </w:rPr>
      </w:pPr>
      <w:r w:rsidRPr="00B87C51">
        <w:rPr>
          <w:lang w:val="en-GB"/>
        </w:rPr>
        <w:t>This indicator demonstrates the average cost per approved and monitored service provider and is measured by dividing the full costs of the Standards and Monitoring Section, plus one third of the Regulatory Services Executive and the determined WorkCover WA overhead allocation, by the total number of approved and monitored service providers.</w:t>
      </w:r>
    </w:p>
    <w:p w14:paraId="78D9B440" w14:textId="77777777" w:rsidR="00B87C51" w:rsidRPr="00B87C51" w:rsidRDefault="00B87C51" w:rsidP="00B87C51">
      <w:pPr>
        <w:rPr>
          <w:lang w:val="en-GB"/>
        </w:rPr>
      </w:pPr>
      <w:r w:rsidRPr="00B87C51">
        <w:rPr>
          <w:lang w:val="en-GB"/>
        </w:rPr>
        <w:t>All information relevant to the approved and monitored service providers is captured in RSMS as the single data source. Reports to provide the data for this indicator are produced directly from RSMS which has been built to support business needs in the Regulatory Services Division (RS).</w:t>
      </w:r>
    </w:p>
    <w:p w14:paraId="52E4E353" w14:textId="77777777" w:rsidR="00B87C51" w:rsidRPr="00B87C51" w:rsidRDefault="00B87C51" w:rsidP="00B87C51">
      <w:pPr>
        <w:rPr>
          <w:lang w:val="en-GB"/>
        </w:rPr>
      </w:pPr>
      <w:r w:rsidRPr="00B87C51">
        <w:rPr>
          <w:lang w:val="en-GB"/>
        </w:rPr>
        <w:t>The total cost of monitoring services operational activity for the reference period is provided by the Cost Allocation Model.</w:t>
      </w:r>
    </w:p>
    <w:p w14:paraId="31F1CC88" w14:textId="77777777" w:rsidR="00B87C51" w:rsidRPr="00B87C51" w:rsidRDefault="00B87C51" w:rsidP="00B87C51">
      <w:pPr>
        <w:rPr>
          <w:lang w:val="en-GB"/>
        </w:rPr>
      </w:pPr>
      <w:r w:rsidRPr="00B87C51">
        <w:rPr>
          <w:lang w:val="en-GB"/>
        </w:rPr>
        <w:t xml:space="preserve">The target for this indicator was determined by dividing the approved budget for these activities (including allocated overheads) by the estimated total number of approved and monitored service providers. </w:t>
      </w:r>
    </w:p>
    <w:p w14:paraId="7EBBB111" w14:textId="77777777" w:rsidR="00CD3AB0" w:rsidRPr="00967DB2" w:rsidRDefault="00CD3AB0" w:rsidP="002C6BAB">
      <w:pPr>
        <w:rPr>
          <w:rStyle w:val="Strong"/>
        </w:rPr>
      </w:pPr>
      <w:r w:rsidRPr="00967DB2">
        <w:rPr>
          <w:rStyle w:val="Strong"/>
        </w:rPr>
        <w:t xml:space="preserve">Analysis </w:t>
      </w:r>
    </w:p>
    <w:p w14:paraId="23265A6F" w14:textId="796C7D12" w:rsidR="00B87C51" w:rsidRPr="00B87C51" w:rsidRDefault="00B87C51" w:rsidP="007D395C">
      <w:r w:rsidRPr="00B87C51">
        <w:t>The average cost per approved and monitored service provider for 2014/15 is $3,250</w:t>
      </w:r>
      <w:r w:rsidR="00133F2E">
        <w:t xml:space="preserve">. </w:t>
      </w:r>
      <w:r w:rsidRPr="00B87C51">
        <w:t xml:space="preserve">This is a minor reduction (1.8 </w:t>
      </w:r>
      <w:r w:rsidR="00123F56">
        <w:t>per cent</w:t>
      </w:r>
      <w:r w:rsidRPr="00B87C51">
        <w:t xml:space="preserve">) on the target of $3,309 and a 6.7 </w:t>
      </w:r>
      <w:r w:rsidR="00123F56">
        <w:t>per cent</w:t>
      </w:r>
      <w:r w:rsidRPr="00B87C51">
        <w:t xml:space="preserve"> increase on the 2013/14 result of $3,047. </w:t>
      </w:r>
    </w:p>
    <w:p w14:paraId="2B4656D6" w14:textId="563F45AC" w:rsidR="00B87C51" w:rsidRPr="00B87C51" w:rsidRDefault="00B87C51" w:rsidP="007D395C">
      <w:r w:rsidRPr="00B87C51">
        <w:t>Whilst the number of service providers has remained relatively constant over time, the result of this KPI in 2013/14 was affected by a long term vacancy that contributed towards the red</w:t>
      </w:r>
      <w:r w:rsidR="006B568E">
        <w:t>uced cost outcome for that year.</w:t>
      </w:r>
    </w:p>
    <w:p w14:paraId="02F59EC3" w14:textId="41244887" w:rsidR="00B87C51" w:rsidRDefault="006B568E" w:rsidP="00B87C51">
      <w:pPr>
        <w:pStyle w:val="Normal-Act"/>
      </w:pPr>
      <w:r>
        <w:rPr>
          <w:i w:val="0"/>
          <w:noProof/>
          <w:lang w:eastAsia="en-AU"/>
        </w:rPr>
        <w:lastRenderedPageBreak/>
        <w:drawing>
          <wp:anchor distT="0" distB="0" distL="114300" distR="114300" simplePos="0" relativeHeight="251646464" behindDoc="1" locked="0" layoutInCell="1" allowOverlap="1" wp14:anchorId="4F191D7E" wp14:editId="76DAC0D3">
            <wp:simplePos x="0" y="0"/>
            <wp:positionH relativeFrom="column">
              <wp:posOffset>0</wp:posOffset>
            </wp:positionH>
            <wp:positionV relativeFrom="page">
              <wp:posOffset>1514475</wp:posOffset>
            </wp:positionV>
            <wp:extent cx="5912485" cy="3540125"/>
            <wp:effectExtent l="0" t="0" r="0" b="3175"/>
            <wp:wrapThrough wrapText="bothSides">
              <wp:wrapPolygon edited="0">
                <wp:start x="0" y="0"/>
                <wp:lineTo x="0" y="21503"/>
                <wp:lineTo x="21505" y="21503"/>
                <wp:lineTo x="21505" y="0"/>
                <wp:lineTo x="0" y="0"/>
              </wp:wrapPolygon>
            </wp:wrapThrough>
            <wp:docPr id="22" name="Chart 6" title="average cost per approved and monitored service provi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CD3AB0" w:rsidRPr="00EA7ACE">
        <w:t xml:space="preserve"> Figure 5. The graph below shows the cost trend over the past f</w:t>
      </w:r>
      <w:r w:rsidR="00CD3AB0">
        <w:t>ive</w:t>
      </w:r>
      <w:r w:rsidR="00133F2E">
        <w:t xml:space="preserve"> years</w:t>
      </w:r>
    </w:p>
    <w:p w14:paraId="35218F00" w14:textId="77777777" w:rsidR="006B568E" w:rsidRDefault="006B568E" w:rsidP="006B568E">
      <w:pPr>
        <w:tabs>
          <w:tab w:val="left" w:pos="5157"/>
        </w:tabs>
        <w:rPr>
          <w:rStyle w:val="Strong"/>
          <w:rFonts w:eastAsia="Calibri"/>
        </w:rPr>
      </w:pPr>
      <w:r>
        <w:rPr>
          <w:rStyle w:val="Strong"/>
          <w:rFonts w:eastAsia="Calibri"/>
        </w:rPr>
        <w:br/>
      </w:r>
      <w:r w:rsidR="000D288E" w:rsidRPr="007764AD">
        <w:rPr>
          <w:rStyle w:val="Strong"/>
          <w:rFonts w:eastAsia="Calibri"/>
        </w:rPr>
        <w:t xml:space="preserve">Indicator 1.3 </w:t>
      </w:r>
    </w:p>
    <w:p w14:paraId="0EADFA48" w14:textId="6377D082" w:rsidR="000D288E" w:rsidRPr="002C6BAB" w:rsidRDefault="000D288E" w:rsidP="006B568E">
      <w:pPr>
        <w:tabs>
          <w:tab w:val="left" w:pos="5157"/>
        </w:tabs>
        <w:rPr>
          <w:rStyle w:val="Strong"/>
          <w:color w:val="86731E" w:themeColor="text1"/>
        </w:rPr>
      </w:pPr>
      <w:r w:rsidRPr="002C6BAB">
        <w:rPr>
          <w:rStyle w:val="Strong"/>
          <w:color w:val="86731E" w:themeColor="text1"/>
        </w:rPr>
        <w:t>Average cost per client contact to provide information and advice</w:t>
      </w:r>
    </w:p>
    <w:tbl>
      <w:tblPr>
        <w:tblW w:w="9326" w:type="dxa"/>
        <w:jc w:val="center"/>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Pr>
      <w:tblGrid>
        <w:gridCol w:w="2039"/>
        <w:gridCol w:w="1260"/>
        <w:gridCol w:w="1167"/>
        <w:gridCol w:w="1089"/>
        <w:gridCol w:w="1164"/>
        <w:gridCol w:w="1485"/>
        <w:gridCol w:w="1122"/>
      </w:tblGrid>
      <w:tr w:rsidR="000D288E" w:rsidRPr="000D288E" w14:paraId="612D44ED" w14:textId="77777777" w:rsidTr="0031156D">
        <w:trPr>
          <w:trHeight w:val="291"/>
          <w:jc w:val="center"/>
        </w:trPr>
        <w:tc>
          <w:tcPr>
            <w:tcW w:w="2039" w:type="dxa"/>
            <w:shd w:val="clear" w:color="auto" w:fill="2D4541" w:themeFill="accent2"/>
            <w:vAlign w:val="center"/>
            <w:hideMark/>
          </w:tcPr>
          <w:p w14:paraId="436759F9" w14:textId="77777777" w:rsidR="000D288E" w:rsidRPr="001F115D" w:rsidRDefault="000D288E" w:rsidP="001F115D">
            <w:pPr>
              <w:rPr>
                <w:rFonts w:eastAsia="Calibri"/>
                <w:b/>
                <w:color w:val="FFFFFF" w:themeColor="background1"/>
              </w:rPr>
            </w:pPr>
            <w:bookmarkStart w:id="623" w:name="_Toc392690104"/>
            <w:bookmarkStart w:id="624" w:name="_Toc392690167"/>
            <w:bookmarkStart w:id="625" w:name="_Toc426617614"/>
            <w:r w:rsidRPr="001F115D">
              <w:rPr>
                <w:rFonts w:eastAsia="Calibri"/>
                <w:b/>
                <w:color w:val="FFFFFF" w:themeColor="background1"/>
              </w:rPr>
              <w:t>Indicator 1.3</w:t>
            </w:r>
            <w:bookmarkEnd w:id="623"/>
            <w:bookmarkEnd w:id="624"/>
            <w:bookmarkEnd w:id="625"/>
          </w:p>
        </w:tc>
        <w:tc>
          <w:tcPr>
            <w:tcW w:w="1260" w:type="dxa"/>
            <w:shd w:val="clear" w:color="auto" w:fill="2D4541" w:themeFill="accent2"/>
            <w:vAlign w:val="center"/>
          </w:tcPr>
          <w:p w14:paraId="6EF390AD" w14:textId="77777777" w:rsidR="000D288E" w:rsidRPr="001F115D" w:rsidRDefault="000D288E" w:rsidP="001F115D">
            <w:pPr>
              <w:rPr>
                <w:rFonts w:eastAsia="Calibri"/>
                <w:b/>
                <w:color w:val="FFFFFF" w:themeColor="background1"/>
              </w:rPr>
            </w:pPr>
            <w:bookmarkStart w:id="626" w:name="_Toc392690105"/>
            <w:bookmarkStart w:id="627" w:name="_Toc392690168"/>
            <w:bookmarkStart w:id="628" w:name="_Toc426617615"/>
            <w:r w:rsidRPr="001F115D">
              <w:rPr>
                <w:rFonts w:eastAsia="Calibri"/>
                <w:b/>
                <w:color w:val="FFFFFF" w:themeColor="background1"/>
              </w:rPr>
              <w:t>2010/11 Actual</w:t>
            </w:r>
            <w:bookmarkEnd w:id="626"/>
            <w:bookmarkEnd w:id="627"/>
            <w:bookmarkEnd w:id="628"/>
          </w:p>
        </w:tc>
        <w:tc>
          <w:tcPr>
            <w:tcW w:w="1167" w:type="dxa"/>
            <w:shd w:val="clear" w:color="auto" w:fill="2D4541" w:themeFill="accent2"/>
            <w:vAlign w:val="center"/>
          </w:tcPr>
          <w:p w14:paraId="1D829255" w14:textId="10185C3F" w:rsidR="000D288E" w:rsidRPr="001F115D" w:rsidRDefault="000D288E" w:rsidP="001F115D">
            <w:pPr>
              <w:rPr>
                <w:rFonts w:eastAsia="Calibri"/>
                <w:b/>
                <w:color w:val="FFFFFF" w:themeColor="background1"/>
              </w:rPr>
            </w:pPr>
            <w:bookmarkStart w:id="629" w:name="_Toc392690106"/>
            <w:bookmarkStart w:id="630" w:name="_Toc392690169"/>
            <w:bookmarkStart w:id="631" w:name="_Toc426617616"/>
            <w:r w:rsidRPr="001F115D">
              <w:rPr>
                <w:rFonts w:eastAsia="Calibri"/>
                <w:b/>
                <w:color w:val="FFFFFF" w:themeColor="background1"/>
              </w:rPr>
              <w:t>2011/12</w:t>
            </w:r>
            <w:bookmarkStart w:id="632" w:name="_Toc392690107"/>
            <w:bookmarkStart w:id="633" w:name="_Toc392690170"/>
            <w:bookmarkStart w:id="634" w:name="_Toc426617617"/>
            <w:bookmarkEnd w:id="629"/>
            <w:bookmarkEnd w:id="630"/>
            <w:bookmarkEnd w:id="631"/>
            <w:r w:rsidRPr="001F115D">
              <w:rPr>
                <w:rFonts w:eastAsia="Calibri"/>
                <w:b/>
                <w:color w:val="FFFFFF" w:themeColor="background1"/>
              </w:rPr>
              <w:t>Actual</w:t>
            </w:r>
            <w:bookmarkEnd w:id="632"/>
            <w:bookmarkEnd w:id="633"/>
            <w:bookmarkEnd w:id="634"/>
          </w:p>
        </w:tc>
        <w:tc>
          <w:tcPr>
            <w:tcW w:w="1089" w:type="dxa"/>
            <w:shd w:val="clear" w:color="auto" w:fill="2D4541" w:themeFill="accent2"/>
            <w:vAlign w:val="center"/>
            <w:hideMark/>
          </w:tcPr>
          <w:p w14:paraId="353486DE" w14:textId="77777777" w:rsidR="000D288E" w:rsidRPr="001F115D" w:rsidRDefault="000D288E" w:rsidP="001F115D">
            <w:pPr>
              <w:rPr>
                <w:rFonts w:eastAsia="Calibri"/>
                <w:b/>
                <w:color w:val="FFFFFF" w:themeColor="background1"/>
              </w:rPr>
            </w:pPr>
            <w:bookmarkStart w:id="635" w:name="_Toc392690108"/>
            <w:bookmarkStart w:id="636" w:name="_Toc392690171"/>
            <w:bookmarkStart w:id="637" w:name="_Toc426617618"/>
            <w:r w:rsidRPr="001F115D">
              <w:rPr>
                <w:rFonts w:eastAsia="Calibri"/>
                <w:b/>
                <w:color w:val="FFFFFF" w:themeColor="background1"/>
              </w:rPr>
              <w:t>2012/13 Actual</w:t>
            </w:r>
            <w:bookmarkEnd w:id="635"/>
            <w:bookmarkEnd w:id="636"/>
            <w:bookmarkEnd w:id="637"/>
          </w:p>
        </w:tc>
        <w:tc>
          <w:tcPr>
            <w:tcW w:w="1164" w:type="dxa"/>
            <w:shd w:val="clear" w:color="auto" w:fill="2D4541" w:themeFill="accent2"/>
            <w:vAlign w:val="center"/>
          </w:tcPr>
          <w:p w14:paraId="3B26D122" w14:textId="77777777" w:rsidR="000D288E" w:rsidRPr="001F115D" w:rsidRDefault="000D288E" w:rsidP="001F115D">
            <w:pPr>
              <w:rPr>
                <w:rFonts w:eastAsia="Calibri"/>
                <w:b/>
                <w:color w:val="FFFFFF" w:themeColor="background1"/>
              </w:rPr>
            </w:pPr>
            <w:bookmarkStart w:id="638" w:name="_Toc426617619"/>
            <w:r w:rsidRPr="001F115D">
              <w:rPr>
                <w:rFonts w:eastAsia="Calibri"/>
                <w:b/>
                <w:color w:val="FFFFFF" w:themeColor="background1"/>
              </w:rPr>
              <w:t>2013/14 Actual</w:t>
            </w:r>
            <w:bookmarkEnd w:id="638"/>
          </w:p>
        </w:tc>
        <w:tc>
          <w:tcPr>
            <w:tcW w:w="1485" w:type="dxa"/>
            <w:shd w:val="clear" w:color="auto" w:fill="2D4541" w:themeFill="accent2"/>
            <w:vAlign w:val="center"/>
            <w:hideMark/>
          </w:tcPr>
          <w:p w14:paraId="2394093E" w14:textId="0169F05B" w:rsidR="000D288E" w:rsidRPr="001F115D" w:rsidRDefault="001F115D" w:rsidP="001F115D">
            <w:pPr>
              <w:rPr>
                <w:rFonts w:eastAsia="Calibri"/>
                <w:b/>
                <w:color w:val="FFFFFF" w:themeColor="background1"/>
              </w:rPr>
            </w:pPr>
            <w:r w:rsidRPr="001F115D">
              <w:rPr>
                <w:rFonts w:eastAsia="Calibri"/>
                <w:b/>
                <w:color w:val="FFFFFF" w:themeColor="background1"/>
              </w:rPr>
              <w:t>2014/15</w:t>
            </w:r>
            <w:r w:rsidRPr="001F115D">
              <w:rPr>
                <w:rFonts w:eastAsia="Calibri"/>
                <w:b/>
                <w:color w:val="FFFFFF" w:themeColor="background1"/>
              </w:rPr>
              <w:br/>
            </w:r>
            <w:r w:rsidR="0031156D" w:rsidRPr="001F115D">
              <w:rPr>
                <w:rFonts w:eastAsia="Calibri"/>
                <w:b/>
                <w:color w:val="FFFFFF" w:themeColor="background1"/>
              </w:rPr>
              <w:t>Actual</w:t>
            </w:r>
          </w:p>
        </w:tc>
        <w:tc>
          <w:tcPr>
            <w:tcW w:w="1122" w:type="dxa"/>
            <w:shd w:val="clear" w:color="auto" w:fill="2D4541" w:themeFill="accent2"/>
            <w:vAlign w:val="center"/>
            <w:hideMark/>
          </w:tcPr>
          <w:p w14:paraId="285BB4A1" w14:textId="3BE2E954" w:rsidR="000D288E" w:rsidRPr="001F115D" w:rsidRDefault="001F115D" w:rsidP="001F115D">
            <w:pPr>
              <w:rPr>
                <w:rFonts w:eastAsia="Calibri"/>
                <w:b/>
                <w:color w:val="FFFFFF" w:themeColor="background1"/>
              </w:rPr>
            </w:pPr>
            <w:r w:rsidRPr="001F115D">
              <w:rPr>
                <w:rFonts w:eastAsia="Calibri"/>
                <w:b/>
                <w:color w:val="FFFFFF" w:themeColor="background1"/>
              </w:rPr>
              <w:t>2014/15</w:t>
            </w:r>
            <w:r w:rsidRPr="001F115D">
              <w:rPr>
                <w:rFonts w:eastAsia="Calibri"/>
                <w:b/>
                <w:color w:val="FFFFFF" w:themeColor="background1"/>
              </w:rPr>
              <w:br/>
            </w:r>
            <w:r w:rsidR="000D288E" w:rsidRPr="001F115D">
              <w:rPr>
                <w:rFonts w:eastAsia="Calibri"/>
                <w:b/>
                <w:color w:val="FFFFFF" w:themeColor="background1"/>
              </w:rPr>
              <w:t>Target</w:t>
            </w:r>
          </w:p>
        </w:tc>
      </w:tr>
      <w:tr w:rsidR="00B87C51" w:rsidRPr="000D288E" w14:paraId="06CFF94F" w14:textId="77777777" w:rsidTr="0031156D">
        <w:trPr>
          <w:trHeight w:val="291"/>
          <w:jc w:val="center"/>
        </w:trPr>
        <w:tc>
          <w:tcPr>
            <w:tcW w:w="2039" w:type="dxa"/>
            <w:vAlign w:val="center"/>
            <w:hideMark/>
          </w:tcPr>
          <w:p w14:paraId="20BA2588" w14:textId="77777777" w:rsidR="00B87C51" w:rsidRPr="000D288E" w:rsidRDefault="00B87C51" w:rsidP="00B87C51">
            <w:pPr>
              <w:keepLines w:val="0"/>
              <w:spacing w:before="120" w:after="120" w:line="240" w:lineRule="auto"/>
              <w:rPr>
                <w:rFonts w:eastAsia="Calibri" w:cs="Arial"/>
                <w:bCs/>
              </w:rPr>
            </w:pPr>
            <w:r w:rsidRPr="000D288E">
              <w:rPr>
                <w:rFonts w:eastAsia="Calibri" w:cs="Arial"/>
                <w:bCs/>
              </w:rPr>
              <w:t>Average cost per client contact to provide information and advice</w:t>
            </w:r>
          </w:p>
        </w:tc>
        <w:tc>
          <w:tcPr>
            <w:tcW w:w="1260" w:type="dxa"/>
          </w:tcPr>
          <w:p w14:paraId="203EA415" w14:textId="2D1E5735" w:rsidR="00B87C51" w:rsidRPr="000D288E" w:rsidRDefault="00B87C51" w:rsidP="00B87C51">
            <w:pPr>
              <w:keepLines w:val="0"/>
              <w:spacing w:before="120" w:after="120" w:line="240" w:lineRule="auto"/>
              <w:jc w:val="center"/>
              <w:rPr>
                <w:rFonts w:eastAsia="Calibri" w:cs="Arial"/>
                <w:bCs/>
              </w:rPr>
            </w:pPr>
            <w:r w:rsidRPr="00430520">
              <w:t>$126</w:t>
            </w:r>
          </w:p>
        </w:tc>
        <w:tc>
          <w:tcPr>
            <w:tcW w:w="1167" w:type="dxa"/>
            <w:hideMark/>
          </w:tcPr>
          <w:p w14:paraId="1E296CA8" w14:textId="42B3C511" w:rsidR="00B87C51" w:rsidRPr="000D288E" w:rsidRDefault="00B87C51" w:rsidP="00B87C51">
            <w:pPr>
              <w:keepLines w:val="0"/>
              <w:spacing w:before="120" w:after="120" w:line="240" w:lineRule="auto"/>
              <w:jc w:val="center"/>
              <w:rPr>
                <w:rFonts w:eastAsia="Calibri" w:cs="Arial"/>
                <w:bCs/>
              </w:rPr>
            </w:pPr>
            <w:r w:rsidRPr="00430520">
              <w:t>$133</w:t>
            </w:r>
          </w:p>
        </w:tc>
        <w:tc>
          <w:tcPr>
            <w:tcW w:w="1089" w:type="dxa"/>
            <w:hideMark/>
          </w:tcPr>
          <w:p w14:paraId="363A3742" w14:textId="4897540F" w:rsidR="00B87C51" w:rsidRPr="000D288E" w:rsidRDefault="00B87C51" w:rsidP="00B87C51">
            <w:pPr>
              <w:keepLines w:val="0"/>
              <w:spacing w:before="120" w:after="120" w:line="240" w:lineRule="auto"/>
              <w:jc w:val="center"/>
              <w:rPr>
                <w:rFonts w:eastAsia="Calibri" w:cs="Arial"/>
                <w:bCs/>
              </w:rPr>
            </w:pPr>
            <w:r w:rsidRPr="00430520">
              <w:t>$120</w:t>
            </w:r>
          </w:p>
        </w:tc>
        <w:tc>
          <w:tcPr>
            <w:tcW w:w="1164" w:type="dxa"/>
          </w:tcPr>
          <w:p w14:paraId="7266AABA" w14:textId="1275022B" w:rsidR="00B87C51" w:rsidRPr="000D288E" w:rsidRDefault="00B87C51" w:rsidP="00B87C51">
            <w:pPr>
              <w:keepLines w:val="0"/>
              <w:spacing w:before="120" w:after="120" w:line="240" w:lineRule="auto"/>
              <w:jc w:val="center"/>
              <w:rPr>
                <w:rFonts w:eastAsia="Calibri" w:cs="Arial"/>
                <w:bCs/>
              </w:rPr>
            </w:pPr>
            <w:r w:rsidRPr="00430520">
              <w:t>$120</w:t>
            </w:r>
          </w:p>
        </w:tc>
        <w:tc>
          <w:tcPr>
            <w:tcW w:w="1485" w:type="dxa"/>
            <w:shd w:val="clear" w:color="auto" w:fill="EAE2B9"/>
            <w:hideMark/>
          </w:tcPr>
          <w:p w14:paraId="67B093E9" w14:textId="280C460C" w:rsidR="00B87C51" w:rsidRPr="000D288E" w:rsidRDefault="00B87C51" w:rsidP="00B87C51">
            <w:pPr>
              <w:keepLines w:val="0"/>
              <w:spacing w:before="120" w:after="120" w:line="240" w:lineRule="auto"/>
              <w:jc w:val="center"/>
              <w:rPr>
                <w:rFonts w:eastAsia="Calibri" w:cs="Arial"/>
                <w:bCs/>
              </w:rPr>
            </w:pPr>
            <w:r w:rsidRPr="00430520">
              <w:t>$120</w:t>
            </w:r>
          </w:p>
        </w:tc>
        <w:tc>
          <w:tcPr>
            <w:tcW w:w="1122" w:type="dxa"/>
            <w:shd w:val="clear" w:color="auto" w:fill="D4E2E0" w:themeFill="accent5"/>
            <w:hideMark/>
          </w:tcPr>
          <w:p w14:paraId="7C2732AC" w14:textId="55115495" w:rsidR="00B87C51" w:rsidRPr="000D288E" w:rsidRDefault="00B87C51" w:rsidP="00B87C51">
            <w:pPr>
              <w:keepLines w:val="0"/>
              <w:spacing w:before="120" w:after="120" w:line="240" w:lineRule="auto"/>
              <w:jc w:val="center"/>
              <w:rPr>
                <w:rFonts w:eastAsia="Calibri" w:cs="Arial"/>
                <w:bCs/>
                <w:highlight w:val="yellow"/>
              </w:rPr>
            </w:pPr>
            <w:r w:rsidRPr="00430520">
              <w:t>$113</w:t>
            </w:r>
          </w:p>
        </w:tc>
      </w:tr>
    </w:tbl>
    <w:p w14:paraId="68AC3E0A" w14:textId="77777777" w:rsidR="002C6BAB" w:rsidRDefault="002C6BAB" w:rsidP="002C6BAB">
      <w:pPr>
        <w:rPr>
          <w:rStyle w:val="Strong"/>
          <w:rFonts w:eastAsia="Calibri"/>
        </w:rPr>
      </w:pPr>
    </w:p>
    <w:p w14:paraId="739BF2E2" w14:textId="77777777" w:rsidR="000D288E" w:rsidRPr="00E8000B" w:rsidRDefault="000D288E" w:rsidP="002C6BAB">
      <w:pPr>
        <w:rPr>
          <w:rStyle w:val="Strong"/>
          <w:rFonts w:eastAsia="Calibri"/>
        </w:rPr>
      </w:pPr>
      <w:r w:rsidRPr="00E8000B">
        <w:rPr>
          <w:rStyle w:val="Strong"/>
          <w:rFonts w:eastAsia="Calibri"/>
        </w:rPr>
        <w:t>Description</w:t>
      </w:r>
    </w:p>
    <w:p w14:paraId="3C8BD49E" w14:textId="77777777" w:rsidR="00B87C51" w:rsidRDefault="00B87C51" w:rsidP="007D395C">
      <w:pPr>
        <w:rPr>
          <w:lang w:val="en-GB"/>
        </w:rPr>
      </w:pPr>
      <w:bookmarkStart w:id="639" w:name="_Analysis_4"/>
      <w:bookmarkEnd w:id="639"/>
      <w:r w:rsidRPr="00274C0C">
        <w:rPr>
          <w:lang w:val="en-GB"/>
        </w:rPr>
        <w:t xml:space="preserve">WorkCover </w:t>
      </w:r>
      <w:r>
        <w:rPr>
          <w:lang w:val="en-GB"/>
        </w:rPr>
        <w:t xml:space="preserve">WA </w:t>
      </w:r>
      <w:r w:rsidRPr="00274C0C">
        <w:rPr>
          <w:lang w:val="en-GB"/>
        </w:rPr>
        <w:t>has responsibility</w:t>
      </w:r>
      <w:r>
        <w:rPr>
          <w:lang w:val="en-GB"/>
        </w:rPr>
        <w:t xml:space="preserve"> under the Act</w:t>
      </w:r>
      <w:r w:rsidRPr="00274C0C">
        <w:rPr>
          <w:lang w:val="en-GB"/>
        </w:rPr>
        <w:t xml:space="preserve"> </w:t>
      </w:r>
      <w:r>
        <w:rPr>
          <w:lang w:val="en-GB"/>
        </w:rPr>
        <w:t>to promote awareness and disseminate information about the workers’ compensation scheme [s100 (h)]</w:t>
      </w:r>
      <w:r w:rsidRPr="00274C0C">
        <w:rPr>
          <w:lang w:val="en-GB"/>
        </w:rPr>
        <w:t>.</w:t>
      </w:r>
    </w:p>
    <w:p w14:paraId="5B6890C8" w14:textId="77777777" w:rsidR="00B87C51" w:rsidRDefault="00B87C51" w:rsidP="007D395C">
      <w:pPr>
        <w:rPr>
          <w:color w:val="000000"/>
          <w:lang w:val="en-GB"/>
        </w:rPr>
      </w:pPr>
      <w:r w:rsidRPr="00274C0C">
        <w:rPr>
          <w:color w:val="000000"/>
          <w:lang w:val="en-GB"/>
        </w:rPr>
        <w:t xml:space="preserve">This indicator demonstrates the </w:t>
      </w:r>
      <w:r w:rsidRPr="00274C0C">
        <w:rPr>
          <w:lang w:val="en-GB"/>
        </w:rPr>
        <w:t xml:space="preserve">average cost </w:t>
      </w:r>
      <w:r w:rsidRPr="00274C0C">
        <w:rPr>
          <w:color w:val="000000"/>
          <w:lang w:val="en-GB"/>
        </w:rPr>
        <w:t>of providing information and advice</w:t>
      </w:r>
      <w:r>
        <w:rPr>
          <w:color w:val="000000"/>
          <w:lang w:val="en-GB"/>
        </w:rPr>
        <w:t xml:space="preserve"> in relation to all aspects of the scheme. </w:t>
      </w:r>
    </w:p>
    <w:p w14:paraId="55872B43" w14:textId="72AE6667" w:rsidR="00B87C51" w:rsidRDefault="00251337" w:rsidP="007D395C">
      <w:pPr>
        <w:rPr>
          <w:lang w:val="en-GB"/>
        </w:rPr>
      </w:pPr>
      <w:r w:rsidRPr="00251337">
        <w:lastRenderedPageBreak/>
        <w:t xml:space="preserve">All written advice notifications and verbal consultations are recorded in WorkCover WA’s Contact Manager system. </w:t>
      </w:r>
      <w:r w:rsidR="00B87C51" w:rsidRPr="00251337">
        <w:t>This</w:t>
      </w:r>
      <w:r w:rsidR="00B87C51" w:rsidRPr="00251337">
        <w:rPr>
          <w:lang w:val="en-GB"/>
        </w:rPr>
        <w:t xml:space="preserve"> </w:t>
      </w:r>
      <w:r w:rsidR="00B87C51" w:rsidRPr="004975B0">
        <w:rPr>
          <w:lang w:val="en-GB"/>
        </w:rPr>
        <w:t>i</w:t>
      </w:r>
      <w:r w:rsidR="00B87C51">
        <w:rPr>
          <w:lang w:val="en-GB"/>
        </w:rPr>
        <w:t xml:space="preserve">ncludes all in-person enquiries, </w:t>
      </w:r>
      <w:r w:rsidR="00B87C51" w:rsidRPr="004975B0">
        <w:rPr>
          <w:lang w:val="en-GB"/>
        </w:rPr>
        <w:t>appointments,</w:t>
      </w:r>
      <w:r w:rsidR="00B87C51">
        <w:rPr>
          <w:lang w:val="en-GB"/>
        </w:rPr>
        <w:t xml:space="preserve"> and </w:t>
      </w:r>
      <w:r w:rsidR="00B87C51" w:rsidRPr="004975B0">
        <w:rPr>
          <w:lang w:val="en-GB"/>
        </w:rPr>
        <w:t>written enquiries</w:t>
      </w:r>
      <w:r w:rsidR="00B87C51">
        <w:rPr>
          <w:lang w:val="en-GB"/>
        </w:rPr>
        <w:t>.</w:t>
      </w:r>
      <w:r w:rsidR="00B87C51" w:rsidRPr="004975B0">
        <w:rPr>
          <w:lang w:val="en-GB"/>
        </w:rPr>
        <w:t xml:space="preserve"> </w:t>
      </w:r>
      <w:r w:rsidR="00B87C51">
        <w:rPr>
          <w:lang w:val="en-GB"/>
        </w:rPr>
        <w:t xml:space="preserve">Inward telephone calls made to the Agency Advisory Line (1300 794 744) are captured by the NEC phone system. </w:t>
      </w:r>
      <w:r w:rsidR="00B87C51" w:rsidRPr="004975B0">
        <w:rPr>
          <w:lang w:val="en-GB"/>
        </w:rPr>
        <w:t xml:space="preserve">The total number of matters conducted is then extracted directly from the </w:t>
      </w:r>
      <w:r w:rsidR="00B87C51">
        <w:rPr>
          <w:lang w:val="en-GB"/>
        </w:rPr>
        <w:t xml:space="preserve">respective </w:t>
      </w:r>
      <w:r w:rsidR="00B87C51" w:rsidRPr="004975B0">
        <w:rPr>
          <w:lang w:val="en-GB"/>
        </w:rPr>
        <w:t>system</w:t>
      </w:r>
      <w:r w:rsidR="00B87C51">
        <w:rPr>
          <w:lang w:val="en-GB"/>
        </w:rPr>
        <w:t>s</w:t>
      </w:r>
      <w:r w:rsidR="00B87C51" w:rsidRPr="004975B0">
        <w:rPr>
          <w:lang w:val="en-GB"/>
        </w:rPr>
        <w:t xml:space="preserve"> </w:t>
      </w:r>
      <w:r w:rsidR="00B87C51">
        <w:rPr>
          <w:lang w:val="en-GB"/>
        </w:rPr>
        <w:t>and compiled into a</w:t>
      </w:r>
      <w:r w:rsidR="00B87C51" w:rsidRPr="004975B0">
        <w:rPr>
          <w:lang w:val="en-GB"/>
        </w:rPr>
        <w:t xml:space="preserve"> monthly activity report.</w:t>
      </w:r>
      <w:r w:rsidR="00B87C51">
        <w:rPr>
          <w:lang w:val="en-GB"/>
        </w:rPr>
        <w:t xml:space="preserve"> Other enquiries such as Ministerial correspondence is recorded in the Ministerial tracking system and included in this monthly activity report.</w:t>
      </w:r>
    </w:p>
    <w:p w14:paraId="3D9384AE" w14:textId="77777777" w:rsidR="00B87C51" w:rsidRDefault="00B87C51" w:rsidP="007D395C">
      <w:pPr>
        <w:rPr>
          <w:rFonts w:cs="Arial"/>
          <w:bCs/>
          <w:lang w:val="en-GB"/>
        </w:rPr>
      </w:pPr>
      <w:r w:rsidRPr="00E341B6">
        <w:rPr>
          <w:rFonts w:cs="Arial"/>
          <w:bCs/>
          <w:lang w:val="en-GB"/>
        </w:rPr>
        <w:t xml:space="preserve">The target for </w:t>
      </w:r>
      <w:r>
        <w:rPr>
          <w:rFonts w:cs="Arial"/>
          <w:bCs/>
          <w:lang w:val="en-GB"/>
        </w:rPr>
        <w:t>t</w:t>
      </w:r>
      <w:r w:rsidRPr="00E341B6">
        <w:rPr>
          <w:rFonts w:cs="Arial"/>
          <w:bCs/>
          <w:lang w:val="en-GB"/>
        </w:rPr>
        <w:t xml:space="preserve">his indicator </w:t>
      </w:r>
      <w:r>
        <w:rPr>
          <w:rFonts w:cs="Arial"/>
          <w:bCs/>
          <w:lang w:val="en-GB"/>
        </w:rPr>
        <w:t>was</w:t>
      </w:r>
      <w:r w:rsidRPr="00E341B6">
        <w:rPr>
          <w:rFonts w:cs="Arial"/>
          <w:bCs/>
          <w:lang w:val="en-GB"/>
        </w:rPr>
        <w:t xml:space="preserve"> determined by dividing the approved budget for this activity </w:t>
      </w:r>
      <w:r>
        <w:rPr>
          <w:rFonts w:cs="Arial"/>
          <w:bCs/>
          <w:lang w:val="en-GB"/>
        </w:rPr>
        <w:t>(</w:t>
      </w:r>
      <w:r w:rsidRPr="00E341B6">
        <w:rPr>
          <w:rFonts w:cs="Arial"/>
          <w:bCs/>
          <w:lang w:val="en-GB"/>
        </w:rPr>
        <w:t>including allocated overheads</w:t>
      </w:r>
      <w:r>
        <w:rPr>
          <w:rFonts w:cs="Arial"/>
          <w:bCs/>
          <w:lang w:val="en-GB"/>
        </w:rPr>
        <w:t>)</w:t>
      </w:r>
      <w:r w:rsidRPr="00E341B6">
        <w:rPr>
          <w:rFonts w:cs="Arial"/>
          <w:bCs/>
          <w:lang w:val="en-GB"/>
        </w:rPr>
        <w:t xml:space="preserve"> by the estimated total number of</w:t>
      </w:r>
      <w:r>
        <w:rPr>
          <w:rFonts w:cs="Arial"/>
          <w:bCs/>
          <w:lang w:val="en-GB"/>
        </w:rPr>
        <w:t xml:space="preserve"> </w:t>
      </w:r>
      <w:r w:rsidRPr="00E341B6">
        <w:rPr>
          <w:rFonts w:cs="Arial"/>
          <w:bCs/>
          <w:lang w:val="en-GB"/>
        </w:rPr>
        <w:t xml:space="preserve">written advice notifications prepared and verbal consultations </w:t>
      </w:r>
      <w:r>
        <w:rPr>
          <w:rFonts w:cs="Arial"/>
          <w:bCs/>
          <w:lang w:val="en-GB"/>
        </w:rPr>
        <w:t xml:space="preserve">conducted </w:t>
      </w:r>
      <w:r w:rsidRPr="00E341B6">
        <w:rPr>
          <w:rFonts w:cs="Arial"/>
          <w:bCs/>
          <w:lang w:val="en-GB"/>
        </w:rPr>
        <w:t>for the year.</w:t>
      </w:r>
      <w:r>
        <w:rPr>
          <w:rFonts w:cs="Arial"/>
          <w:bCs/>
          <w:lang w:val="en-GB"/>
        </w:rPr>
        <w:t xml:space="preserve"> The estimated number of activities was based on a small increase on the overall expected activity for 2013/14 and is consistent with the increase in activity between previous years.</w:t>
      </w:r>
    </w:p>
    <w:p w14:paraId="76D80169" w14:textId="71DB54E6" w:rsidR="000D288E" w:rsidRPr="00E8000B" w:rsidRDefault="000D288E" w:rsidP="002C6BAB">
      <w:pPr>
        <w:rPr>
          <w:rStyle w:val="Strong"/>
          <w:rFonts w:eastAsia="Calibri"/>
        </w:rPr>
      </w:pPr>
      <w:r w:rsidRPr="00E8000B">
        <w:rPr>
          <w:rStyle w:val="Strong"/>
          <w:rFonts w:eastAsia="Calibri"/>
        </w:rPr>
        <w:t xml:space="preserve">Analysis </w:t>
      </w:r>
    </w:p>
    <w:p w14:paraId="1DB961AF" w14:textId="16E61A4F" w:rsidR="00B87C51" w:rsidRPr="00B87C51" w:rsidRDefault="00B87C51" w:rsidP="002C6BAB">
      <w:pPr>
        <w:rPr>
          <w:rFonts w:eastAsia="Calibri"/>
        </w:rPr>
      </w:pPr>
      <w:r w:rsidRPr="00B87C51">
        <w:rPr>
          <w:rFonts w:eastAsia="Calibri"/>
        </w:rPr>
        <w:t>The average cost per client contact to provide information a</w:t>
      </w:r>
      <w:r w:rsidR="00133F2E">
        <w:rPr>
          <w:rFonts w:eastAsia="Calibri"/>
        </w:rPr>
        <w:t xml:space="preserve">nd advice for 2014/15 is $120. </w:t>
      </w:r>
      <w:r w:rsidRPr="00B87C51">
        <w:rPr>
          <w:rFonts w:eastAsia="Calibri"/>
        </w:rPr>
        <w:t xml:space="preserve">This is equal to the outcome for the past two years (both 2013/14 and 2012/13) and a 6.2 </w:t>
      </w:r>
      <w:r w:rsidR="00123F56">
        <w:rPr>
          <w:rFonts w:eastAsia="Calibri"/>
        </w:rPr>
        <w:t>per cent</w:t>
      </w:r>
      <w:r w:rsidRPr="00B87C51">
        <w:rPr>
          <w:rFonts w:eastAsia="Calibri"/>
        </w:rPr>
        <w:t xml:space="preserve"> increase on the target of $113.</w:t>
      </w:r>
    </w:p>
    <w:p w14:paraId="54FD7EB1" w14:textId="2AC39D1E" w:rsidR="007E09FA" w:rsidRDefault="00B87C51" w:rsidP="002C6BAB">
      <w:pPr>
        <w:rPr>
          <w:rFonts w:eastAsia="Calibri"/>
        </w:rPr>
      </w:pPr>
      <w:r w:rsidRPr="00B87C51">
        <w:rPr>
          <w:rFonts w:eastAsia="Calibri"/>
        </w:rPr>
        <w:t xml:space="preserve">The Advice and Assistance Unit responds to more than 22,000 requests per annum. The estimated number of responses used to determine the 2014/15 target was calculated by applying a point seven </w:t>
      </w:r>
      <w:r w:rsidR="00123F56">
        <w:rPr>
          <w:rFonts w:eastAsia="Calibri"/>
        </w:rPr>
        <w:t>per cent</w:t>
      </w:r>
      <w:r w:rsidRPr="00B87C51">
        <w:rPr>
          <w:rFonts w:eastAsia="Calibri"/>
        </w:rPr>
        <w:t xml:space="preserve"> increase on the prior year in line with previous trends however this increase was not realised. The actual number of requests for advice and assistance throughout the year is down by 1,717 (5.6 </w:t>
      </w:r>
      <w:r w:rsidR="00123F56">
        <w:rPr>
          <w:rFonts w:eastAsia="Calibri"/>
        </w:rPr>
        <w:t>per cent</w:t>
      </w:r>
      <w:r w:rsidRPr="00B87C51">
        <w:rPr>
          <w:rFonts w:eastAsia="Calibri"/>
        </w:rPr>
        <w:t>) from 2013/14 mostly due to a reduction in telephone enquiries. This variance could be attributed to the new WorkCover WA website which was launched on 8 October 2014. The new website offers a user friendly structure and increased search capabilities, enabling users to locate pertinent information more easily.</w:t>
      </w:r>
    </w:p>
    <w:p w14:paraId="2D6F56A6" w14:textId="77777777" w:rsidR="007E09FA" w:rsidRDefault="007E09FA">
      <w:pPr>
        <w:keepLines w:val="0"/>
        <w:spacing w:after="0" w:line="240" w:lineRule="auto"/>
        <w:rPr>
          <w:rFonts w:eastAsia="Calibri"/>
        </w:rPr>
      </w:pPr>
      <w:r>
        <w:rPr>
          <w:rFonts w:eastAsia="Calibri"/>
        </w:rPr>
        <w:br w:type="page"/>
      </w:r>
    </w:p>
    <w:p w14:paraId="7856889B" w14:textId="77777777" w:rsidR="00B87C51" w:rsidRDefault="00B87C51" w:rsidP="002C6BAB">
      <w:pPr>
        <w:rPr>
          <w:rFonts w:eastAsia="Calibri"/>
        </w:rPr>
      </w:pPr>
    </w:p>
    <w:p w14:paraId="12856614" w14:textId="16EEF884" w:rsidR="000D288E" w:rsidRPr="00E8000B" w:rsidRDefault="000D288E" w:rsidP="002C6BAB">
      <w:pPr>
        <w:rPr>
          <w:rStyle w:val="Emphasis"/>
          <w:rFonts w:eastAsia="Calibri"/>
        </w:rPr>
      </w:pPr>
      <w:r w:rsidRPr="00E8000B">
        <w:rPr>
          <w:rStyle w:val="Emphasis"/>
          <w:rFonts w:eastAsia="Calibri"/>
        </w:rPr>
        <w:t>Figure 6. The graph below shows the cost</w:t>
      </w:r>
      <w:r w:rsidR="00133F2E">
        <w:rPr>
          <w:rStyle w:val="Emphasis"/>
          <w:rFonts w:eastAsia="Calibri"/>
        </w:rPr>
        <w:t xml:space="preserve"> trend over the past five years</w:t>
      </w:r>
    </w:p>
    <w:p w14:paraId="22A9BE0C" w14:textId="6877AB96" w:rsidR="000D288E" w:rsidRPr="000D288E" w:rsidRDefault="00B87C51" w:rsidP="000D288E">
      <w:pPr>
        <w:keepLines w:val="0"/>
        <w:spacing w:before="120"/>
        <w:jc w:val="both"/>
        <w:rPr>
          <w:rFonts w:eastAsia="Calibri"/>
        </w:rPr>
      </w:pPr>
      <w:r>
        <w:rPr>
          <w:noProof/>
          <w:lang w:eastAsia="en-AU"/>
        </w:rPr>
        <w:drawing>
          <wp:inline distT="0" distB="0" distL="0" distR="0" wp14:anchorId="51FE9892" wp14:editId="61361150">
            <wp:extent cx="5731510" cy="3014345"/>
            <wp:effectExtent l="0" t="0" r="2540" b="0"/>
            <wp:docPr id="19" name="Chart 5" title="Figure 6 Average cost per client contact to provide information and adv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4443FD" w14:textId="77777777" w:rsidR="000D288E" w:rsidRPr="00994F08" w:rsidRDefault="000D288E" w:rsidP="002C6BAB">
      <w:pPr>
        <w:rPr>
          <w:rStyle w:val="Strong"/>
          <w:rFonts w:eastAsia="Calibri"/>
          <w:color w:val="2D4541" w:themeColor="accent2"/>
        </w:rPr>
      </w:pPr>
      <w:r w:rsidRPr="00994F08">
        <w:rPr>
          <w:rStyle w:val="Strong"/>
          <w:rFonts w:eastAsia="Calibri"/>
          <w:color w:val="2D4541" w:themeColor="accent2"/>
        </w:rPr>
        <w:t>Service 2: Scheme Services (provision of effective and equitable dispute resolution and other services to scheme participants)</w:t>
      </w:r>
    </w:p>
    <w:p w14:paraId="366CB44F" w14:textId="77777777" w:rsidR="00B87C51" w:rsidRPr="00F666DB" w:rsidRDefault="00B87C51" w:rsidP="007D395C">
      <w:pPr>
        <w:rPr>
          <w:lang w:eastAsia="en-AU"/>
        </w:rPr>
      </w:pPr>
      <w:r w:rsidRPr="00F666DB">
        <w:rPr>
          <w:lang w:eastAsia="en-AU"/>
        </w:rPr>
        <w:t>During 2011 WorkCover WA made significant amendments to the Act</w:t>
      </w:r>
      <w:r>
        <w:rPr>
          <w:lang w:eastAsia="en-AU"/>
        </w:rPr>
        <w:t>.</w:t>
      </w:r>
      <w:r w:rsidRPr="00F666DB">
        <w:rPr>
          <w:lang w:eastAsia="en-AU"/>
        </w:rPr>
        <w:t xml:space="preserve"> These amendments establish</w:t>
      </w:r>
      <w:r>
        <w:rPr>
          <w:lang w:eastAsia="en-AU"/>
        </w:rPr>
        <w:t>ed</w:t>
      </w:r>
      <w:r w:rsidRPr="00F666DB">
        <w:rPr>
          <w:lang w:eastAsia="en-AU"/>
        </w:rPr>
        <w:t xml:space="preserve"> new conciliation and arbitration services within WorkCover WA</w:t>
      </w:r>
      <w:r>
        <w:rPr>
          <w:lang w:eastAsia="en-AU"/>
        </w:rPr>
        <w:t>, which commenced operation on 1 December 2011</w:t>
      </w:r>
      <w:r w:rsidRPr="00F666DB">
        <w:rPr>
          <w:lang w:eastAsia="en-AU"/>
        </w:rPr>
        <w:t>.</w:t>
      </w:r>
    </w:p>
    <w:p w14:paraId="034E1B83" w14:textId="0386927C" w:rsidR="00B87C51" w:rsidRPr="00F666DB" w:rsidRDefault="00B87C51" w:rsidP="007D395C">
      <w:pPr>
        <w:rPr>
          <w:caps/>
        </w:rPr>
      </w:pPr>
      <w:r>
        <w:rPr>
          <w:rFonts w:eastAsiaTheme="minorHAnsi"/>
          <w:caps/>
          <w:lang w:val="en-US"/>
        </w:rPr>
        <w:t>A</w:t>
      </w:r>
      <w:r w:rsidR="007D395C" w:rsidRPr="00F666DB">
        <w:rPr>
          <w:rFonts w:eastAsiaTheme="minorHAnsi"/>
          <w:lang w:val="en-US"/>
        </w:rPr>
        <w:t xml:space="preserve">ctivity </w:t>
      </w:r>
      <w:r w:rsidR="007D395C">
        <w:rPr>
          <w:rFonts w:eastAsiaTheme="minorHAnsi"/>
          <w:lang w:val="en-US"/>
        </w:rPr>
        <w:t xml:space="preserve">is only reported for the period </w:t>
      </w:r>
      <w:r w:rsidR="007D395C" w:rsidRPr="00F666DB">
        <w:rPr>
          <w:rFonts w:eastAsiaTheme="minorHAnsi"/>
          <w:lang w:val="en-US"/>
        </w:rPr>
        <w:t>since 1 December 201</w:t>
      </w:r>
      <w:r w:rsidRPr="00F666DB">
        <w:rPr>
          <w:rFonts w:eastAsiaTheme="minorHAnsi"/>
          <w:caps/>
          <w:lang w:val="en-US"/>
        </w:rPr>
        <w:t xml:space="preserve">1, </w:t>
      </w:r>
      <w:r w:rsidR="007D395C">
        <w:rPr>
          <w:rFonts w:eastAsiaTheme="minorHAnsi"/>
          <w:lang w:val="en-US"/>
        </w:rPr>
        <w:t>when the new dispute resolution</w:t>
      </w:r>
      <w:r w:rsidR="007D395C" w:rsidRPr="00F666DB">
        <w:rPr>
          <w:rFonts w:eastAsiaTheme="minorHAnsi"/>
          <w:lang w:val="en-US"/>
        </w:rPr>
        <w:t xml:space="preserve"> services </w:t>
      </w:r>
      <w:r w:rsidR="007D395C">
        <w:rPr>
          <w:rFonts w:eastAsiaTheme="minorHAnsi"/>
          <w:lang w:val="en-US"/>
        </w:rPr>
        <w:t>commenced</w:t>
      </w:r>
      <w:r w:rsidR="007D395C" w:rsidRPr="00F666DB">
        <w:rPr>
          <w:rFonts w:eastAsiaTheme="minorHAnsi"/>
          <w:lang w:val="en-US"/>
        </w:rPr>
        <w:t xml:space="preserve"> operation. </w:t>
      </w:r>
    </w:p>
    <w:p w14:paraId="668217C6" w14:textId="77777777" w:rsidR="00B87C51" w:rsidRDefault="00B87C51" w:rsidP="007D395C">
      <w:r w:rsidRPr="00F666DB">
        <w:t xml:space="preserve">Due to the significant differences between the old and new dispute resolution systems it is not possible to provide comparative data </w:t>
      </w:r>
      <w:r>
        <w:t>for previous years beyond 2011/12 for the following two KPIs</w:t>
      </w:r>
      <w:r w:rsidRPr="00F666DB">
        <w:t xml:space="preserve"> 2.1 and 2.2.</w:t>
      </w:r>
      <w:r>
        <w:t xml:space="preserve"> </w:t>
      </w:r>
    </w:p>
    <w:p w14:paraId="27D70710" w14:textId="405E6E48" w:rsidR="007E09FA" w:rsidRDefault="00B87C51" w:rsidP="007D395C">
      <w:r>
        <w:t xml:space="preserve">Whilst the process for completing Memoranda of Agreement is consistent with that used in previous years, the significant changes to the dispute resolution system and </w:t>
      </w:r>
      <w:r>
        <w:rPr>
          <w:lang w:val="en-US"/>
        </w:rPr>
        <w:t xml:space="preserve">changes in the cost allocation model </w:t>
      </w:r>
      <w:r>
        <w:t>within which it sits does not lend itself to providing comparisons with previous years beyond 2011/12 for indicator 2.3.</w:t>
      </w:r>
      <w:r w:rsidRPr="004C4D73">
        <w:t xml:space="preserve"> </w:t>
      </w:r>
    </w:p>
    <w:p w14:paraId="01B9A264" w14:textId="77777777" w:rsidR="007E09FA" w:rsidRDefault="007E09FA">
      <w:pPr>
        <w:keepLines w:val="0"/>
        <w:spacing w:after="0" w:line="240" w:lineRule="auto"/>
      </w:pPr>
      <w:r>
        <w:br w:type="page"/>
      </w:r>
    </w:p>
    <w:p w14:paraId="12431EAF" w14:textId="77777777" w:rsidR="00994F08" w:rsidRPr="00994F08" w:rsidRDefault="000D288E" w:rsidP="002C6BAB">
      <w:pPr>
        <w:rPr>
          <w:rStyle w:val="Strong"/>
          <w:rFonts w:eastAsia="Calibri"/>
        </w:rPr>
      </w:pPr>
      <w:r w:rsidRPr="00994F08">
        <w:rPr>
          <w:rStyle w:val="Strong"/>
          <w:rFonts w:eastAsia="Calibri"/>
        </w:rPr>
        <w:lastRenderedPageBreak/>
        <w:t xml:space="preserve">Indicator 2.1 </w:t>
      </w:r>
    </w:p>
    <w:p w14:paraId="05D457B5" w14:textId="33FCDD64" w:rsidR="000D288E" w:rsidRPr="00994F08" w:rsidRDefault="000D288E" w:rsidP="002C6BAB">
      <w:pPr>
        <w:rPr>
          <w:rStyle w:val="Strong"/>
          <w:rFonts w:eastAsia="Calibri"/>
          <w:color w:val="897719" w:themeColor="accent3"/>
        </w:rPr>
      </w:pPr>
      <w:r w:rsidRPr="00994F08">
        <w:rPr>
          <w:rStyle w:val="Strong"/>
          <w:rFonts w:eastAsia="Calibri"/>
          <w:color w:val="897719" w:themeColor="accent3"/>
        </w:rPr>
        <w:t>Average cost to complete a conciliation</w:t>
      </w:r>
    </w:p>
    <w:tbl>
      <w:tblPr>
        <w:tblW w:w="9253" w:type="dxa"/>
        <w:jc w:val="center"/>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Pr>
      <w:tblGrid>
        <w:gridCol w:w="1686"/>
        <w:gridCol w:w="1687"/>
        <w:gridCol w:w="1470"/>
        <w:gridCol w:w="1470"/>
        <w:gridCol w:w="1470"/>
        <w:gridCol w:w="1470"/>
      </w:tblGrid>
      <w:tr w:rsidR="000D288E" w:rsidRPr="000D288E" w14:paraId="69EA86F1" w14:textId="77777777" w:rsidTr="0031156D">
        <w:trPr>
          <w:trHeight w:val="291"/>
          <w:jc w:val="center"/>
        </w:trPr>
        <w:tc>
          <w:tcPr>
            <w:tcW w:w="1686" w:type="dxa"/>
            <w:shd w:val="clear" w:color="auto" w:fill="2D4541" w:themeFill="accent2"/>
            <w:vAlign w:val="center"/>
            <w:hideMark/>
          </w:tcPr>
          <w:p w14:paraId="3E357174" w14:textId="77777777" w:rsidR="000D288E" w:rsidRPr="00E8007D" w:rsidRDefault="000D288E" w:rsidP="00E8007D">
            <w:pPr>
              <w:rPr>
                <w:rFonts w:eastAsia="Calibri"/>
                <w:b/>
                <w:color w:val="FFFFFF" w:themeColor="background1"/>
                <w:highlight w:val="yellow"/>
              </w:rPr>
            </w:pPr>
            <w:bookmarkStart w:id="640" w:name="_Toc392690109"/>
            <w:bookmarkStart w:id="641" w:name="_Toc392690172"/>
            <w:bookmarkStart w:id="642" w:name="_Toc426617620"/>
            <w:r w:rsidRPr="00E8007D">
              <w:rPr>
                <w:rFonts w:eastAsia="Calibri"/>
                <w:b/>
                <w:color w:val="FFFFFF" w:themeColor="background1"/>
              </w:rPr>
              <w:t>Indicator  2.1</w:t>
            </w:r>
            <w:bookmarkEnd w:id="640"/>
            <w:bookmarkEnd w:id="641"/>
            <w:bookmarkEnd w:id="642"/>
            <w:r w:rsidRPr="00E8007D">
              <w:rPr>
                <w:rFonts w:eastAsia="Calibri"/>
                <w:b/>
                <w:color w:val="FFFFFF" w:themeColor="background1"/>
              </w:rPr>
              <w:t xml:space="preserve"> </w:t>
            </w:r>
          </w:p>
        </w:tc>
        <w:tc>
          <w:tcPr>
            <w:tcW w:w="1687" w:type="dxa"/>
            <w:shd w:val="clear" w:color="auto" w:fill="2D4541" w:themeFill="accent2"/>
            <w:vAlign w:val="center"/>
          </w:tcPr>
          <w:p w14:paraId="234E398C" w14:textId="77777777" w:rsidR="000D288E" w:rsidRPr="00E8007D" w:rsidRDefault="000D288E" w:rsidP="00E8007D">
            <w:pPr>
              <w:rPr>
                <w:rFonts w:eastAsia="Calibri"/>
                <w:b/>
                <w:color w:val="FFFFFF" w:themeColor="background1"/>
              </w:rPr>
            </w:pPr>
            <w:bookmarkStart w:id="643" w:name="_Toc392690110"/>
            <w:bookmarkStart w:id="644" w:name="_Toc392690173"/>
            <w:bookmarkStart w:id="645" w:name="_Toc426617621"/>
            <w:r w:rsidRPr="00E8007D">
              <w:rPr>
                <w:rFonts w:eastAsia="Calibri"/>
                <w:b/>
                <w:color w:val="FFFFFF" w:themeColor="background1"/>
              </w:rPr>
              <w:t>2011/12</w:t>
            </w:r>
            <w:r w:rsidRPr="00E8007D">
              <w:rPr>
                <w:rFonts w:eastAsia="Calibri"/>
                <w:b/>
                <w:color w:val="FFFFFF" w:themeColor="background1"/>
              </w:rPr>
              <w:br/>
              <w:t>Actual</w:t>
            </w:r>
            <w:bookmarkEnd w:id="643"/>
            <w:bookmarkEnd w:id="644"/>
            <w:bookmarkEnd w:id="645"/>
          </w:p>
        </w:tc>
        <w:tc>
          <w:tcPr>
            <w:tcW w:w="1470" w:type="dxa"/>
            <w:shd w:val="clear" w:color="auto" w:fill="2D4541" w:themeFill="accent2"/>
            <w:vAlign w:val="center"/>
          </w:tcPr>
          <w:p w14:paraId="77C8F378" w14:textId="4AC54C3F" w:rsidR="000D288E" w:rsidRPr="00E8007D" w:rsidRDefault="000D288E" w:rsidP="00E8007D">
            <w:pPr>
              <w:rPr>
                <w:rFonts w:eastAsia="Calibri"/>
                <w:b/>
                <w:color w:val="FFFFFF" w:themeColor="background1"/>
              </w:rPr>
            </w:pPr>
            <w:bookmarkStart w:id="646" w:name="_Toc392690111"/>
            <w:bookmarkStart w:id="647" w:name="_Toc392690174"/>
            <w:bookmarkStart w:id="648" w:name="_Toc426617622"/>
            <w:r w:rsidRPr="00E8007D">
              <w:rPr>
                <w:rFonts w:eastAsia="Calibri"/>
                <w:b/>
                <w:color w:val="FFFFFF" w:themeColor="background1"/>
              </w:rPr>
              <w:t>2012/13</w:t>
            </w:r>
            <w:bookmarkStart w:id="649" w:name="_Toc392690112"/>
            <w:bookmarkStart w:id="650" w:name="_Toc392690175"/>
            <w:bookmarkStart w:id="651" w:name="_Toc426617623"/>
            <w:bookmarkEnd w:id="646"/>
            <w:bookmarkEnd w:id="647"/>
            <w:bookmarkEnd w:id="648"/>
            <w:r w:rsidR="00E8007D">
              <w:rPr>
                <w:rFonts w:eastAsia="Calibri"/>
                <w:b/>
                <w:color w:val="FFFFFF" w:themeColor="background1"/>
              </w:rPr>
              <w:br/>
            </w:r>
            <w:r w:rsidRPr="00E8007D">
              <w:rPr>
                <w:rFonts w:eastAsia="Calibri"/>
                <w:b/>
                <w:color w:val="FFFFFF" w:themeColor="background1"/>
              </w:rPr>
              <w:t>Actual</w:t>
            </w:r>
            <w:bookmarkEnd w:id="649"/>
            <w:bookmarkEnd w:id="650"/>
            <w:bookmarkEnd w:id="651"/>
          </w:p>
        </w:tc>
        <w:tc>
          <w:tcPr>
            <w:tcW w:w="1470" w:type="dxa"/>
            <w:shd w:val="clear" w:color="auto" w:fill="2D4541" w:themeFill="accent2"/>
            <w:vAlign w:val="center"/>
          </w:tcPr>
          <w:p w14:paraId="733136BB" w14:textId="77777777" w:rsidR="000D288E" w:rsidRPr="00E8007D" w:rsidRDefault="000D288E" w:rsidP="00E8007D">
            <w:pPr>
              <w:rPr>
                <w:rFonts w:eastAsia="Calibri"/>
                <w:b/>
                <w:color w:val="FFFFFF" w:themeColor="background1"/>
              </w:rPr>
            </w:pPr>
            <w:bookmarkStart w:id="652" w:name="_Toc392690113"/>
            <w:bookmarkStart w:id="653" w:name="_Toc392690176"/>
            <w:bookmarkStart w:id="654" w:name="_Toc426617624"/>
            <w:r w:rsidRPr="00E8007D">
              <w:rPr>
                <w:rFonts w:eastAsia="Calibri"/>
                <w:b/>
                <w:color w:val="FFFFFF" w:themeColor="background1"/>
              </w:rPr>
              <w:t>2013/14 Actual</w:t>
            </w:r>
            <w:bookmarkEnd w:id="652"/>
            <w:bookmarkEnd w:id="653"/>
            <w:bookmarkEnd w:id="654"/>
            <w:r w:rsidRPr="00E8007D">
              <w:rPr>
                <w:rFonts w:eastAsia="Calibri"/>
                <w:b/>
                <w:color w:val="FFFFFF" w:themeColor="background1"/>
              </w:rPr>
              <w:t xml:space="preserve"> </w:t>
            </w:r>
          </w:p>
        </w:tc>
        <w:tc>
          <w:tcPr>
            <w:tcW w:w="1470" w:type="dxa"/>
            <w:shd w:val="clear" w:color="auto" w:fill="2D4541" w:themeFill="accent2"/>
            <w:vAlign w:val="center"/>
            <w:hideMark/>
          </w:tcPr>
          <w:p w14:paraId="1DC3C278" w14:textId="39B476D4" w:rsidR="000D288E" w:rsidRPr="00E8007D" w:rsidRDefault="0031156D" w:rsidP="00E8007D">
            <w:pPr>
              <w:rPr>
                <w:rFonts w:eastAsia="Calibri"/>
                <w:b/>
                <w:color w:val="FFFFFF" w:themeColor="background1"/>
              </w:rPr>
            </w:pPr>
            <w:bookmarkStart w:id="655" w:name="_Toc426617625"/>
            <w:r w:rsidRPr="00E8007D">
              <w:rPr>
                <w:rFonts w:eastAsia="Calibri"/>
                <w:b/>
                <w:color w:val="FFFFFF" w:themeColor="background1"/>
              </w:rPr>
              <w:t>2014/15</w:t>
            </w:r>
            <w:bookmarkStart w:id="656" w:name="_Toc426617626"/>
            <w:bookmarkEnd w:id="655"/>
            <w:r w:rsidR="00E8007D">
              <w:rPr>
                <w:rFonts w:eastAsia="Calibri"/>
                <w:b/>
                <w:color w:val="FFFFFF" w:themeColor="background1"/>
              </w:rPr>
              <w:br/>
            </w:r>
            <w:r w:rsidRPr="00E8007D">
              <w:rPr>
                <w:rFonts w:eastAsia="Calibri"/>
                <w:b/>
                <w:color w:val="FFFFFF" w:themeColor="background1"/>
              </w:rPr>
              <w:t>Actual</w:t>
            </w:r>
            <w:bookmarkEnd w:id="656"/>
          </w:p>
        </w:tc>
        <w:tc>
          <w:tcPr>
            <w:tcW w:w="1470" w:type="dxa"/>
            <w:shd w:val="clear" w:color="auto" w:fill="2D4541" w:themeFill="accent2"/>
            <w:vAlign w:val="center"/>
          </w:tcPr>
          <w:p w14:paraId="26A38322" w14:textId="30F5468C" w:rsidR="000D288E" w:rsidRPr="00E8007D" w:rsidRDefault="000D288E" w:rsidP="00E8007D">
            <w:pPr>
              <w:rPr>
                <w:rFonts w:eastAsia="Calibri"/>
                <w:b/>
                <w:color w:val="FFFFFF" w:themeColor="background1"/>
              </w:rPr>
            </w:pPr>
            <w:bookmarkStart w:id="657" w:name="_Toc426617627"/>
            <w:r w:rsidRPr="00E8007D">
              <w:rPr>
                <w:rFonts w:eastAsia="Calibri"/>
                <w:b/>
                <w:color w:val="FFFFFF" w:themeColor="background1"/>
              </w:rPr>
              <w:t>2014/15</w:t>
            </w:r>
            <w:bookmarkStart w:id="658" w:name="_Toc392690115"/>
            <w:bookmarkStart w:id="659" w:name="_Toc392690178"/>
            <w:bookmarkStart w:id="660" w:name="_Toc426617628"/>
            <w:bookmarkEnd w:id="657"/>
            <w:r w:rsidR="00E8007D">
              <w:rPr>
                <w:rFonts w:eastAsia="Calibri"/>
                <w:b/>
                <w:color w:val="FFFFFF" w:themeColor="background1"/>
              </w:rPr>
              <w:br/>
            </w:r>
            <w:r w:rsidRPr="00E8007D">
              <w:rPr>
                <w:rFonts w:eastAsia="Calibri"/>
                <w:b/>
                <w:color w:val="FFFFFF" w:themeColor="background1"/>
              </w:rPr>
              <w:t>Target</w:t>
            </w:r>
            <w:bookmarkEnd w:id="658"/>
            <w:bookmarkEnd w:id="659"/>
            <w:bookmarkEnd w:id="660"/>
          </w:p>
        </w:tc>
      </w:tr>
      <w:tr w:rsidR="001324B2" w:rsidRPr="000D288E" w14:paraId="102D49BC" w14:textId="77777777" w:rsidTr="000C456A">
        <w:trPr>
          <w:trHeight w:val="589"/>
          <w:jc w:val="center"/>
        </w:trPr>
        <w:tc>
          <w:tcPr>
            <w:tcW w:w="1686" w:type="dxa"/>
            <w:vAlign w:val="center"/>
            <w:hideMark/>
          </w:tcPr>
          <w:p w14:paraId="6547B25A" w14:textId="77777777" w:rsidR="001324B2" w:rsidRPr="000D288E" w:rsidRDefault="001324B2" w:rsidP="001324B2">
            <w:pPr>
              <w:keepLines w:val="0"/>
              <w:spacing w:before="120" w:after="120" w:line="240" w:lineRule="auto"/>
              <w:rPr>
                <w:rFonts w:eastAsia="Calibri" w:cs="Arial"/>
                <w:bCs/>
                <w:highlight w:val="yellow"/>
              </w:rPr>
            </w:pPr>
            <w:r w:rsidRPr="000D288E">
              <w:rPr>
                <w:rFonts w:eastAsia="Calibri" w:cs="Arial"/>
                <w:bCs/>
              </w:rPr>
              <w:t>Average cost  to complete a conciliation</w:t>
            </w:r>
          </w:p>
        </w:tc>
        <w:tc>
          <w:tcPr>
            <w:tcW w:w="1687" w:type="dxa"/>
          </w:tcPr>
          <w:p w14:paraId="0A9208A1" w14:textId="48B5B079" w:rsidR="001324B2" w:rsidRPr="000D288E" w:rsidRDefault="001324B2" w:rsidP="001324B2">
            <w:pPr>
              <w:keepLines w:val="0"/>
              <w:spacing w:before="120" w:after="120" w:line="240" w:lineRule="auto"/>
              <w:jc w:val="center"/>
              <w:rPr>
                <w:rFonts w:eastAsia="Calibri" w:cs="Arial"/>
                <w:bCs/>
                <w:color w:val="000000"/>
              </w:rPr>
            </w:pPr>
            <w:r w:rsidRPr="002842D1">
              <w:t>$2,412</w:t>
            </w:r>
          </w:p>
        </w:tc>
        <w:tc>
          <w:tcPr>
            <w:tcW w:w="1470" w:type="dxa"/>
            <w:shd w:val="clear" w:color="auto" w:fill="FFFFFF"/>
          </w:tcPr>
          <w:p w14:paraId="1F61CB7A" w14:textId="19AD129E" w:rsidR="001324B2" w:rsidRPr="000D288E" w:rsidRDefault="001324B2" w:rsidP="001324B2">
            <w:pPr>
              <w:keepLines w:val="0"/>
              <w:spacing w:before="120" w:after="120" w:line="240" w:lineRule="auto"/>
              <w:jc w:val="center"/>
              <w:rPr>
                <w:rFonts w:eastAsia="Calibri" w:cs="Arial"/>
                <w:bCs/>
                <w:color w:val="000000"/>
              </w:rPr>
            </w:pPr>
            <w:r w:rsidRPr="002842D1">
              <w:t>$2,579</w:t>
            </w:r>
          </w:p>
        </w:tc>
        <w:tc>
          <w:tcPr>
            <w:tcW w:w="1470" w:type="dxa"/>
            <w:shd w:val="clear" w:color="auto" w:fill="FFFFFF"/>
          </w:tcPr>
          <w:p w14:paraId="05C7C9A3" w14:textId="3E0E3FCD" w:rsidR="001324B2" w:rsidRPr="000D288E" w:rsidRDefault="001324B2" w:rsidP="001324B2">
            <w:pPr>
              <w:keepLines w:val="0"/>
              <w:spacing w:before="120" w:after="120" w:line="240" w:lineRule="auto"/>
              <w:jc w:val="center"/>
              <w:rPr>
                <w:rFonts w:eastAsia="Calibri" w:cs="Arial"/>
                <w:bCs/>
                <w:color w:val="000000"/>
              </w:rPr>
            </w:pPr>
            <w:r w:rsidRPr="002842D1">
              <w:t>$2,268</w:t>
            </w:r>
          </w:p>
        </w:tc>
        <w:tc>
          <w:tcPr>
            <w:tcW w:w="1470" w:type="dxa"/>
            <w:shd w:val="clear" w:color="auto" w:fill="EAE2B9"/>
            <w:hideMark/>
          </w:tcPr>
          <w:p w14:paraId="5C8F1C2C" w14:textId="30960C60" w:rsidR="001324B2" w:rsidRPr="000D288E" w:rsidRDefault="001324B2" w:rsidP="001324B2">
            <w:pPr>
              <w:keepLines w:val="0"/>
              <w:spacing w:before="120" w:after="120" w:line="240" w:lineRule="auto"/>
              <w:jc w:val="center"/>
              <w:rPr>
                <w:rFonts w:eastAsia="Calibri" w:cs="Arial"/>
                <w:bCs/>
                <w:color w:val="000000"/>
              </w:rPr>
            </w:pPr>
            <w:r w:rsidRPr="002842D1">
              <w:t>$1,966</w:t>
            </w:r>
          </w:p>
        </w:tc>
        <w:tc>
          <w:tcPr>
            <w:tcW w:w="1470" w:type="dxa"/>
            <w:shd w:val="clear" w:color="auto" w:fill="D4E2E0" w:themeFill="accent5"/>
          </w:tcPr>
          <w:p w14:paraId="7938B965" w14:textId="5B002B6F" w:rsidR="001324B2" w:rsidRPr="000D288E" w:rsidRDefault="001324B2" w:rsidP="001324B2">
            <w:pPr>
              <w:keepLines w:val="0"/>
              <w:spacing w:before="120" w:after="120" w:line="240" w:lineRule="auto"/>
              <w:jc w:val="center"/>
              <w:rPr>
                <w:rFonts w:eastAsia="Calibri" w:cs="Arial"/>
                <w:bCs/>
                <w:color w:val="000000"/>
                <w:highlight w:val="yellow"/>
              </w:rPr>
            </w:pPr>
            <w:r w:rsidRPr="002842D1">
              <w:t>$2,023</w:t>
            </w:r>
          </w:p>
        </w:tc>
      </w:tr>
    </w:tbl>
    <w:p w14:paraId="3DD6EB9F" w14:textId="77777777" w:rsidR="002C6BAB" w:rsidRDefault="002C6BAB" w:rsidP="002C6BAB">
      <w:pPr>
        <w:rPr>
          <w:rStyle w:val="Strong"/>
        </w:rPr>
      </w:pPr>
    </w:p>
    <w:p w14:paraId="72F3B0CA" w14:textId="77777777" w:rsidR="000D288E" w:rsidRPr="00994F08" w:rsidRDefault="000D288E" w:rsidP="002C6BAB">
      <w:pPr>
        <w:rPr>
          <w:rStyle w:val="Strong"/>
        </w:rPr>
      </w:pPr>
      <w:r w:rsidRPr="00994F08">
        <w:rPr>
          <w:rStyle w:val="Strong"/>
        </w:rPr>
        <w:t>Description</w:t>
      </w:r>
    </w:p>
    <w:p w14:paraId="09D21A51" w14:textId="77777777" w:rsidR="000D288E" w:rsidRPr="000D288E" w:rsidRDefault="000D288E" w:rsidP="00994F08">
      <w:pPr>
        <w:rPr>
          <w:b/>
        </w:rPr>
      </w:pPr>
      <w:r w:rsidRPr="000D288E">
        <w:t xml:space="preserve">This KPI measures the average cost to complete a conciliation application. It is measured by dividing the full costs of providing the conciliation process, including </w:t>
      </w:r>
      <w:r w:rsidRPr="000D288E">
        <w:rPr>
          <w:lang w:val="en-GB"/>
        </w:rPr>
        <w:t>the determined WorkCover WA overhead allocation,</w:t>
      </w:r>
      <w:r w:rsidRPr="000D288E">
        <w:t xml:space="preserve"> by the total number of conciliations completed.</w:t>
      </w:r>
    </w:p>
    <w:p w14:paraId="5C483C50" w14:textId="77777777" w:rsidR="000D288E" w:rsidRPr="000D288E" w:rsidRDefault="000D288E" w:rsidP="00994F08">
      <w:r w:rsidRPr="000D288E">
        <w:t>All applications for conciliation are recorded in the Dispute Case Management System (DCMS) as are dates completed. ‘Completed’ is measured as the date that a Conciliation Officer records a Certificate of Outcome at the end of a conciliation process. A report showing the number of cases completed is produced directly from DCMS.</w:t>
      </w:r>
    </w:p>
    <w:p w14:paraId="5A3EAD51" w14:textId="77777777" w:rsidR="000D288E" w:rsidRPr="000D288E" w:rsidRDefault="000D288E" w:rsidP="00994F08">
      <w:pPr>
        <w:rPr>
          <w:rFonts w:eastAsia="Calibri"/>
        </w:rPr>
      </w:pPr>
      <w:r w:rsidRPr="000D288E">
        <w:rPr>
          <w:rFonts w:eastAsia="Calibri"/>
          <w:lang w:val="en-GB"/>
        </w:rPr>
        <w:t xml:space="preserve">The target for this indicator was determined by dividing the approved budget for this activity (including allocated overheads) by the estimated total number of conciliations completed for the year. </w:t>
      </w:r>
      <w:r w:rsidRPr="000D288E">
        <w:rPr>
          <w:rFonts w:eastAsia="Calibri"/>
        </w:rPr>
        <w:t>The estimated number of conciliations is based on the 2013/14 estimated actual and current trends which indicate a steady increase in conciliation activity.</w:t>
      </w:r>
    </w:p>
    <w:p w14:paraId="318BD79D" w14:textId="77777777" w:rsidR="000D288E" w:rsidRPr="000D288E" w:rsidRDefault="000D288E" w:rsidP="00994F08">
      <w:pPr>
        <w:rPr>
          <w:rFonts w:eastAsia="Calibri"/>
        </w:rPr>
      </w:pPr>
      <w:r w:rsidRPr="000D288E">
        <w:rPr>
          <w:rFonts w:eastAsia="Calibri"/>
        </w:rPr>
        <w:t xml:space="preserve">The provision of comparative data from previous years for KPI 2.1 cannot be provided beyond 2011/12 due to the considerable differences in the previous and new dispute resolution systems. </w:t>
      </w:r>
    </w:p>
    <w:p w14:paraId="5CDB7E0C" w14:textId="77777777" w:rsidR="000D288E" w:rsidRPr="007E7762" w:rsidRDefault="000D288E" w:rsidP="002C6BAB">
      <w:pPr>
        <w:rPr>
          <w:rStyle w:val="Strong"/>
          <w:rFonts w:eastAsia="Calibri"/>
        </w:rPr>
      </w:pPr>
      <w:bookmarkStart w:id="661" w:name="_Analysis_5"/>
      <w:bookmarkEnd w:id="661"/>
      <w:r w:rsidRPr="007E7762">
        <w:rPr>
          <w:rStyle w:val="Strong"/>
          <w:rFonts w:eastAsia="Calibri"/>
        </w:rPr>
        <w:t xml:space="preserve">Analysis </w:t>
      </w:r>
    </w:p>
    <w:p w14:paraId="04056206" w14:textId="3A717446" w:rsidR="001324B2" w:rsidRPr="001324B2" w:rsidRDefault="001324B2" w:rsidP="001324B2">
      <w:pPr>
        <w:rPr>
          <w:rFonts w:eastAsia="Calibri"/>
        </w:rPr>
      </w:pPr>
      <w:r w:rsidRPr="001324B2">
        <w:rPr>
          <w:rFonts w:eastAsia="Calibri"/>
        </w:rPr>
        <w:t xml:space="preserve">The average cost to complete a conciliation for 2014/15 is $1,966.  This is 2.8 </w:t>
      </w:r>
      <w:r w:rsidR="00123F56">
        <w:rPr>
          <w:rFonts w:eastAsia="Calibri"/>
        </w:rPr>
        <w:t>per cent</w:t>
      </w:r>
      <w:r w:rsidRPr="001324B2">
        <w:rPr>
          <w:rFonts w:eastAsia="Calibri"/>
        </w:rPr>
        <w:t xml:space="preserve"> lower than the projected target of $2,023 and a 13.3 </w:t>
      </w:r>
      <w:r w:rsidR="00123F56">
        <w:rPr>
          <w:rFonts w:eastAsia="Calibri"/>
        </w:rPr>
        <w:t>per cent</w:t>
      </w:r>
      <w:r w:rsidRPr="001324B2">
        <w:rPr>
          <w:rFonts w:eastAsia="Calibri"/>
        </w:rPr>
        <w:t xml:space="preserve"> reduction on the 2013/14 result of $2,268.</w:t>
      </w:r>
    </w:p>
    <w:p w14:paraId="5D8E3D8B" w14:textId="3DD49670" w:rsidR="001324B2" w:rsidRPr="001324B2" w:rsidRDefault="001324B2" w:rsidP="001324B2">
      <w:pPr>
        <w:rPr>
          <w:rFonts w:eastAsia="Calibri"/>
        </w:rPr>
      </w:pPr>
      <w:r w:rsidRPr="001324B2">
        <w:rPr>
          <w:rFonts w:eastAsia="Calibri"/>
        </w:rPr>
        <w:t xml:space="preserve">The number of conciliations completed for the period is slightly lower (2.5 </w:t>
      </w:r>
      <w:r w:rsidR="00123F56">
        <w:rPr>
          <w:rFonts w:eastAsia="Calibri"/>
        </w:rPr>
        <w:t>per cent</w:t>
      </w:r>
      <w:r w:rsidRPr="001324B2">
        <w:rPr>
          <w:rFonts w:eastAsia="Calibri"/>
        </w:rPr>
        <w:t xml:space="preserve">) than expected however consistent with predictions is significantly (18.0 </w:t>
      </w:r>
      <w:r w:rsidR="00123F56">
        <w:rPr>
          <w:rFonts w:eastAsia="Calibri"/>
        </w:rPr>
        <w:t>per cent</w:t>
      </w:r>
      <w:r w:rsidRPr="001324B2">
        <w:rPr>
          <w:rFonts w:eastAsia="Calibri"/>
        </w:rPr>
        <w:t xml:space="preserve">) higher than those completed in 2013/14. </w:t>
      </w:r>
    </w:p>
    <w:p w14:paraId="6920D8A5" w14:textId="08F2F623" w:rsidR="001324B2" w:rsidRDefault="001324B2" w:rsidP="001324B2">
      <w:pPr>
        <w:rPr>
          <w:rFonts w:eastAsia="Calibri"/>
        </w:rPr>
      </w:pPr>
      <w:r w:rsidRPr="001324B2">
        <w:rPr>
          <w:rFonts w:eastAsia="Calibri"/>
        </w:rPr>
        <w:lastRenderedPageBreak/>
        <w:t>The average cost of providing this serv</w:t>
      </w:r>
      <w:r w:rsidR="00133F2E">
        <w:rPr>
          <w:rFonts w:eastAsia="Calibri"/>
        </w:rPr>
        <w:t>ice continues to reduce as the A</w:t>
      </w:r>
      <w:r w:rsidRPr="001324B2">
        <w:rPr>
          <w:rFonts w:eastAsia="Calibri"/>
        </w:rPr>
        <w:t>gency strives to meet increasing demand with existing resources.</w:t>
      </w:r>
    </w:p>
    <w:p w14:paraId="5D0AD693" w14:textId="62DC4E90" w:rsidR="001324B2" w:rsidRPr="007E7762" w:rsidRDefault="000D288E" w:rsidP="001324B2">
      <w:pPr>
        <w:keepLines w:val="0"/>
        <w:spacing w:before="120"/>
        <w:jc w:val="both"/>
        <w:rPr>
          <w:rStyle w:val="Emphasis"/>
          <w:rFonts w:eastAsia="Calibri"/>
        </w:rPr>
      </w:pPr>
      <w:r w:rsidRPr="007E7762">
        <w:rPr>
          <w:rStyle w:val="Emphasis"/>
          <w:rFonts w:eastAsia="Calibri"/>
        </w:rPr>
        <w:t>Figure 7. The graph below shows the cost trend over the past four years.</w:t>
      </w:r>
    </w:p>
    <w:p w14:paraId="5F39DCF2" w14:textId="77777777" w:rsidR="007E7762" w:rsidRPr="007E7762" w:rsidRDefault="000D288E" w:rsidP="002C6BAB">
      <w:pPr>
        <w:rPr>
          <w:rStyle w:val="Strong"/>
          <w:rFonts w:eastAsia="Calibri"/>
        </w:rPr>
      </w:pPr>
      <w:bookmarkStart w:id="662" w:name="_Indicator_2.2_Average"/>
      <w:bookmarkEnd w:id="662"/>
      <w:r w:rsidRPr="007E7762">
        <w:rPr>
          <w:rStyle w:val="Strong"/>
          <w:rFonts w:eastAsia="Calibri"/>
        </w:rPr>
        <w:t xml:space="preserve">Indicator 2.2 </w:t>
      </w:r>
    </w:p>
    <w:p w14:paraId="0ED6D953" w14:textId="49DE203B" w:rsidR="000D288E" w:rsidRPr="00876F3A" w:rsidRDefault="000D288E" w:rsidP="007E7762">
      <w:pPr>
        <w:rPr>
          <w:rStyle w:val="Strong"/>
          <w:rFonts w:eastAsia="Calibri"/>
          <w:color w:val="897719" w:themeColor="accent3"/>
        </w:rPr>
      </w:pPr>
      <w:r w:rsidRPr="00876F3A">
        <w:rPr>
          <w:rStyle w:val="Strong"/>
          <w:rFonts w:eastAsia="Calibri"/>
          <w:color w:val="897719" w:themeColor="accent3"/>
        </w:rPr>
        <w:t>Average cost to complete an arbitration</w:t>
      </w:r>
    </w:p>
    <w:tbl>
      <w:tblPr>
        <w:tblW w:w="9206" w:type="dxa"/>
        <w:jc w:val="center"/>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Pr>
      <w:tblGrid>
        <w:gridCol w:w="1739"/>
        <w:gridCol w:w="1739"/>
        <w:gridCol w:w="1432"/>
        <w:gridCol w:w="1432"/>
        <w:gridCol w:w="1432"/>
        <w:gridCol w:w="1432"/>
      </w:tblGrid>
      <w:tr w:rsidR="000D288E" w:rsidRPr="000D288E" w14:paraId="7BACDA57" w14:textId="77777777" w:rsidTr="00467353">
        <w:trPr>
          <w:trHeight w:val="567"/>
          <w:jc w:val="center"/>
        </w:trPr>
        <w:tc>
          <w:tcPr>
            <w:tcW w:w="1739" w:type="dxa"/>
            <w:shd w:val="clear" w:color="auto" w:fill="2D4541" w:themeFill="accent2"/>
            <w:vAlign w:val="center"/>
            <w:hideMark/>
          </w:tcPr>
          <w:p w14:paraId="635C0092" w14:textId="219B4310" w:rsidR="000D288E" w:rsidRPr="00E8007D" w:rsidRDefault="00E8007D" w:rsidP="00E8007D">
            <w:pPr>
              <w:rPr>
                <w:rFonts w:eastAsia="Calibri"/>
                <w:b/>
                <w:color w:val="FFFFFF" w:themeColor="background1"/>
              </w:rPr>
            </w:pPr>
            <w:r>
              <w:rPr>
                <w:rFonts w:eastAsia="Calibri"/>
                <w:b/>
                <w:color w:val="FFFFFF" w:themeColor="background1"/>
              </w:rPr>
              <w:t>Indicator 2.2</w:t>
            </w:r>
            <w:r>
              <w:rPr>
                <w:rFonts w:eastAsia="Calibri"/>
                <w:b/>
                <w:color w:val="FFFFFF" w:themeColor="background1"/>
              </w:rPr>
              <w:br/>
            </w:r>
            <w:r w:rsidR="000D288E" w:rsidRPr="00E8007D">
              <w:rPr>
                <w:rFonts w:eastAsia="Calibri"/>
                <w:b/>
                <w:color w:val="FFFFFF" w:themeColor="background1"/>
              </w:rPr>
              <w:t>(new from 2011/12)</w:t>
            </w:r>
          </w:p>
        </w:tc>
        <w:tc>
          <w:tcPr>
            <w:tcW w:w="1739" w:type="dxa"/>
            <w:shd w:val="clear" w:color="auto" w:fill="2D4541" w:themeFill="accent2"/>
            <w:vAlign w:val="center"/>
          </w:tcPr>
          <w:p w14:paraId="5B8EBC73" w14:textId="77777777" w:rsidR="000D288E" w:rsidRPr="00E8007D" w:rsidRDefault="000D288E" w:rsidP="00E8007D">
            <w:pPr>
              <w:rPr>
                <w:rFonts w:eastAsia="Calibri"/>
                <w:b/>
                <w:color w:val="FFFFFF" w:themeColor="background1"/>
              </w:rPr>
            </w:pPr>
            <w:r w:rsidRPr="00E8007D">
              <w:rPr>
                <w:rFonts w:eastAsia="Calibri"/>
                <w:b/>
                <w:color w:val="FFFFFF" w:themeColor="background1"/>
              </w:rPr>
              <w:t>2011/12</w:t>
            </w:r>
            <w:r w:rsidRPr="00E8007D">
              <w:rPr>
                <w:rFonts w:eastAsia="Calibri"/>
                <w:b/>
                <w:color w:val="FFFFFF" w:themeColor="background1"/>
              </w:rPr>
              <w:br/>
              <w:t>Actual</w:t>
            </w:r>
          </w:p>
        </w:tc>
        <w:tc>
          <w:tcPr>
            <w:tcW w:w="1432" w:type="dxa"/>
            <w:shd w:val="clear" w:color="auto" w:fill="2D4541" w:themeFill="accent2"/>
            <w:vAlign w:val="center"/>
          </w:tcPr>
          <w:p w14:paraId="0DE078B3" w14:textId="77777777" w:rsidR="000D288E" w:rsidRPr="00E8007D" w:rsidRDefault="000D288E" w:rsidP="00E8007D">
            <w:pPr>
              <w:rPr>
                <w:rFonts w:eastAsia="Calibri"/>
                <w:b/>
                <w:color w:val="FFFFFF" w:themeColor="background1"/>
                <w:highlight w:val="yellow"/>
              </w:rPr>
            </w:pPr>
            <w:r w:rsidRPr="00E8007D">
              <w:rPr>
                <w:rFonts w:eastAsia="Calibri"/>
                <w:b/>
                <w:color w:val="FFFFFF" w:themeColor="background1"/>
              </w:rPr>
              <w:t>2012/13 Actual</w:t>
            </w:r>
          </w:p>
        </w:tc>
        <w:tc>
          <w:tcPr>
            <w:tcW w:w="1432" w:type="dxa"/>
            <w:shd w:val="clear" w:color="auto" w:fill="2D4541" w:themeFill="accent2"/>
            <w:vAlign w:val="center"/>
          </w:tcPr>
          <w:p w14:paraId="7783143C" w14:textId="77777777" w:rsidR="000D288E" w:rsidRPr="00E8007D" w:rsidRDefault="000D288E" w:rsidP="00E8007D">
            <w:pPr>
              <w:rPr>
                <w:rFonts w:eastAsia="Calibri"/>
                <w:b/>
                <w:color w:val="FFFFFF" w:themeColor="background1"/>
                <w:highlight w:val="yellow"/>
              </w:rPr>
            </w:pPr>
            <w:r w:rsidRPr="00E8007D">
              <w:rPr>
                <w:rFonts w:eastAsia="Calibri"/>
                <w:b/>
                <w:color w:val="FFFFFF" w:themeColor="background1"/>
              </w:rPr>
              <w:t xml:space="preserve">2013/14 Actual </w:t>
            </w:r>
          </w:p>
        </w:tc>
        <w:tc>
          <w:tcPr>
            <w:tcW w:w="1432" w:type="dxa"/>
            <w:shd w:val="clear" w:color="auto" w:fill="2D4541" w:themeFill="accent2"/>
            <w:vAlign w:val="center"/>
            <w:hideMark/>
          </w:tcPr>
          <w:p w14:paraId="3CDD1237" w14:textId="4AAE2435" w:rsidR="000D288E" w:rsidRPr="00E8007D" w:rsidRDefault="00E8007D" w:rsidP="00E8007D">
            <w:pPr>
              <w:rPr>
                <w:rFonts w:eastAsia="Calibri"/>
                <w:b/>
                <w:color w:val="FFFFFF" w:themeColor="background1"/>
              </w:rPr>
            </w:pPr>
            <w:bookmarkStart w:id="663" w:name="_Toc426617629"/>
            <w:r>
              <w:rPr>
                <w:rFonts w:eastAsia="Calibri"/>
                <w:b/>
                <w:color w:val="FFFFFF" w:themeColor="background1"/>
              </w:rPr>
              <w:t>2014/15</w:t>
            </w:r>
            <w:r>
              <w:rPr>
                <w:rFonts w:eastAsia="Calibri"/>
                <w:b/>
                <w:color w:val="FFFFFF" w:themeColor="background1"/>
              </w:rPr>
              <w:br/>
            </w:r>
            <w:r w:rsidR="00467353" w:rsidRPr="00E8007D">
              <w:rPr>
                <w:rFonts w:eastAsia="Calibri"/>
                <w:b/>
                <w:color w:val="FFFFFF" w:themeColor="background1"/>
              </w:rPr>
              <w:t>Target</w:t>
            </w:r>
            <w:bookmarkEnd w:id="663"/>
          </w:p>
        </w:tc>
        <w:tc>
          <w:tcPr>
            <w:tcW w:w="1432" w:type="dxa"/>
            <w:shd w:val="clear" w:color="auto" w:fill="2D4541" w:themeFill="accent2"/>
            <w:vAlign w:val="center"/>
            <w:hideMark/>
          </w:tcPr>
          <w:p w14:paraId="7E7C2538" w14:textId="15BE1C86" w:rsidR="000D288E" w:rsidRPr="00E8007D" w:rsidRDefault="00E8007D" w:rsidP="00E8007D">
            <w:pPr>
              <w:rPr>
                <w:rFonts w:eastAsia="Calibri"/>
                <w:b/>
                <w:color w:val="FFFFFF" w:themeColor="background1"/>
              </w:rPr>
            </w:pPr>
            <w:r>
              <w:rPr>
                <w:rFonts w:eastAsia="Calibri"/>
                <w:b/>
                <w:color w:val="FFFFFF" w:themeColor="background1"/>
              </w:rPr>
              <w:t>2014/15</w:t>
            </w:r>
            <w:r>
              <w:rPr>
                <w:rFonts w:eastAsia="Calibri"/>
                <w:b/>
                <w:color w:val="FFFFFF" w:themeColor="background1"/>
              </w:rPr>
              <w:br/>
            </w:r>
            <w:r w:rsidR="000D288E" w:rsidRPr="00E8007D">
              <w:rPr>
                <w:rFonts w:eastAsia="Calibri"/>
                <w:b/>
                <w:color w:val="FFFFFF" w:themeColor="background1"/>
              </w:rPr>
              <w:t>Target</w:t>
            </w:r>
          </w:p>
        </w:tc>
      </w:tr>
      <w:tr w:rsidR="001324B2" w:rsidRPr="000D288E" w14:paraId="0E6A2408" w14:textId="77777777" w:rsidTr="000C456A">
        <w:trPr>
          <w:trHeight w:val="291"/>
          <w:jc w:val="center"/>
        </w:trPr>
        <w:tc>
          <w:tcPr>
            <w:tcW w:w="1739" w:type="dxa"/>
            <w:vAlign w:val="center"/>
            <w:hideMark/>
          </w:tcPr>
          <w:p w14:paraId="31412555" w14:textId="77777777" w:rsidR="001324B2" w:rsidRPr="000D288E" w:rsidRDefault="001324B2" w:rsidP="001324B2">
            <w:pPr>
              <w:keepLines w:val="0"/>
              <w:spacing w:before="120" w:after="120" w:line="240" w:lineRule="auto"/>
              <w:rPr>
                <w:rFonts w:eastAsia="Calibri" w:cs="Arial"/>
                <w:bCs/>
                <w:color w:val="FF0000"/>
              </w:rPr>
            </w:pPr>
            <w:r w:rsidRPr="000D288E">
              <w:rPr>
                <w:rFonts w:eastAsia="Calibri" w:cs="Arial"/>
                <w:bCs/>
              </w:rPr>
              <w:t>Average cost to complete an arbitration</w:t>
            </w:r>
          </w:p>
        </w:tc>
        <w:tc>
          <w:tcPr>
            <w:tcW w:w="1739" w:type="dxa"/>
          </w:tcPr>
          <w:p w14:paraId="2B41ECBF" w14:textId="5165FACF" w:rsidR="001324B2" w:rsidRPr="000D288E" w:rsidRDefault="001324B2" w:rsidP="001324B2">
            <w:pPr>
              <w:keepLines w:val="0"/>
              <w:spacing w:before="120" w:after="120" w:line="240" w:lineRule="auto"/>
              <w:jc w:val="center"/>
              <w:rPr>
                <w:rFonts w:eastAsia="Calibri" w:cs="Arial"/>
                <w:bCs/>
                <w:highlight w:val="yellow"/>
              </w:rPr>
            </w:pPr>
            <w:r w:rsidRPr="00B85B82">
              <w:t>$13,803</w:t>
            </w:r>
          </w:p>
        </w:tc>
        <w:tc>
          <w:tcPr>
            <w:tcW w:w="1432" w:type="dxa"/>
            <w:shd w:val="clear" w:color="auto" w:fill="auto"/>
          </w:tcPr>
          <w:p w14:paraId="1B241E13" w14:textId="35234529" w:rsidR="001324B2" w:rsidRPr="000D288E" w:rsidRDefault="001324B2" w:rsidP="001324B2">
            <w:pPr>
              <w:keepLines w:val="0"/>
              <w:spacing w:before="120" w:after="120" w:line="240" w:lineRule="auto"/>
              <w:jc w:val="center"/>
              <w:rPr>
                <w:rFonts w:eastAsia="Calibri" w:cs="Arial"/>
                <w:bCs/>
                <w:highlight w:val="yellow"/>
              </w:rPr>
            </w:pPr>
            <w:r w:rsidRPr="00B85B82">
              <w:t>$13,014</w:t>
            </w:r>
          </w:p>
        </w:tc>
        <w:tc>
          <w:tcPr>
            <w:tcW w:w="1432" w:type="dxa"/>
            <w:shd w:val="clear" w:color="auto" w:fill="auto"/>
          </w:tcPr>
          <w:p w14:paraId="53A28BB4" w14:textId="7E90E60C" w:rsidR="001324B2" w:rsidRPr="000D288E" w:rsidRDefault="001324B2" w:rsidP="001324B2">
            <w:pPr>
              <w:keepLines w:val="0"/>
              <w:spacing w:before="120" w:after="120" w:line="240" w:lineRule="auto"/>
              <w:jc w:val="center"/>
              <w:rPr>
                <w:rFonts w:eastAsia="Calibri" w:cs="Arial"/>
                <w:bCs/>
              </w:rPr>
            </w:pPr>
            <w:r w:rsidRPr="00B85B82">
              <w:t>$11,153</w:t>
            </w:r>
          </w:p>
        </w:tc>
        <w:tc>
          <w:tcPr>
            <w:tcW w:w="1432" w:type="dxa"/>
            <w:shd w:val="clear" w:color="auto" w:fill="EAE2B9"/>
            <w:hideMark/>
          </w:tcPr>
          <w:p w14:paraId="1DD65933" w14:textId="127A5960" w:rsidR="001324B2" w:rsidRPr="000D288E" w:rsidRDefault="001324B2" w:rsidP="001324B2">
            <w:pPr>
              <w:keepLines w:val="0"/>
              <w:spacing w:before="120" w:after="120" w:line="240" w:lineRule="auto"/>
              <w:jc w:val="center"/>
              <w:rPr>
                <w:rFonts w:eastAsia="Calibri" w:cs="Arial"/>
                <w:bCs/>
              </w:rPr>
            </w:pPr>
            <w:r w:rsidRPr="00B85B82">
              <w:t>$10,042</w:t>
            </w:r>
          </w:p>
        </w:tc>
        <w:tc>
          <w:tcPr>
            <w:tcW w:w="1432" w:type="dxa"/>
            <w:shd w:val="clear" w:color="auto" w:fill="D4E2E0" w:themeFill="accent5"/>
            <w:hideMark/>
          </w:tcPr>
          <w:p w14:paraId="4328C714" w14:textId="35BDD015" w:rsidR="001324B2" w:rsidRPr="000D288E" w:rsidRDefault="001324B2" w:rsidP="001324B2">
            <w:pPr>
              <w:keepLines w:val="0"/>
              <w:spacing w:before="120" w:after="120" w:line="240" w:lineRule="auto"/>
              <w:jc w:val="center"/>
              <w:rPr>
                <w:rFonts w:eastAsia="Calibri" w:cs="Arial"/>
                <w:bCs/>
                <w:highlight w:val="yellow"/>
              </w:rPr>
            </w:pPr>
            <w:r w:rsidRPr="00B85B82">
              <w:t>$8,611</w:t>
            </w:r>
          </w:p>
        </w:tc>
      </w:tr>
    </w:tbl>
    <w:p w14:paraId="19ADDBD3" w14:textId="77777777" w:rsidR="002C6BAB" w:rsidRDefault="002C6BAB" w:rsidP="002C6BAB">
      <w:pPr>
        <w:rPr>
          <w:rStyle w:val="Strong"/>
        </w:rPr>
      </w:pPr>
    </w:p>
    <w:p w14:paraId="18F5119D" w14:textId="77777777" w:rsidR="000D288E" w:rsidRPr="00876F3A" w:rsidRDefault="000D288E" w:rsidP="002C6BAB">
      <w:pPr>
        <w:rPr>
          <w:rStyle w:val="Strong"/>
        </w:rPr>
      </w:pPr>
      <w:r w:rsidRPr="00876F3A">
        <w:rPr>
          <w:rStyle w:val="Strong"/>
        </w:rPr>
        <w:t>Description</w:t>
      </w:r>
    </w:p>
    <w:p w14:paraId="5464B173" w14:textId="77777777" w:rsidR="001324B2" w:rsidRPr="00B82D72" w:rsidRDefault="001324B2" w:rsidP="007D395C">
      <w:pPr>
        <w:rPr>
          <w:b/>
        </w:rPr>
      </w:pPr>
      <w:bookmarkStart w:id="664" w:name="_Analysis_6"/>
      <w:bookmarkEnd w:id="664"/>
      <w:r w:rsidRPr="00B82D72">
        <w:t xml:space="preserve">This KPI </w:t>
      </w:r>
      <w:r>
        <w:t xml:space="preserve">measures the average cost to complete an </w:t>
      </w:r>
      <w:r w:rsidRPr="00B82D72">
        <w:t>arbitration</w:t>
      </w:r>
      <w:r>
        <w:t xml:space="preserve"> application. It is </w:t>
      </w:r>
      <w:r w:rsidRPr="00B82D72">
        <w:t xml:space="preserve">measured by dividing the full costs of providing the arbitration process, including </w:t>
      </w:r>
      <w:r w:rsidRPr="00B82D72">
        <w:rPr>
          <w:lang w:val="en-GB"/>
        </w:rPr>
        <w:t>the determined WorkCover WA overhead allocation,</w:t>
      </w:r>
      <w:r w:rsidRPr="00B82D72">
        <w:t xml:space="preserve"> by the </w:t>
      </w:r>
      <w:r>
        <w:t xml:space="preserve">total </w:t>
      </w:r>
      <w:r w:rsidRPr="00B82D72">
        <w:t>number of arbitrations completed.</w:t>
      </w:r>
    </w:p>
    <w:p w14:paraId="35F8713A" w14:textId="77777777" w:rsidR="001324B2" w:rsidRDefault="001324B2" w:rsidP="007D395C">
      <w:r>
        <w:t xml:space="preserve">All arbitration applications are recorded in DCMS, including the dates the matters are finalised. ‘Finalised’ can mean that a matter is discontinued or that finalising orders are issued by an Arbitrator. </w:t>
      </w:r>
    </w:p>
    <w:p w14:paraId="171C9FDB" w14:textId="77777777" w:rsidR="001324B2" w:rsidRDefault="001324B2" w:rsidP="007D395C">
      <w:r w:rsidRPr="00E341B6">
        <w:rPr>
          <w:bCs/>
          <w:lang w:val="en-GB"/>
        </w:rPr>
        <w:t xml:space="preserve">The target for </w:t>
      </w:r>
      <w:r>
        <w:rPr>
          <w:bCs/>
          <w:lang w:val="en-GB"/>
        </w:rPr>
        <w:t>t</w:t>
      </w:r>
      <w:r w:rsidRPr="00E341B6">
        <w:rPr>
          <w:bCs/>
          <w:lang w:val="en-GB"/>
        </w:rPr>
        <w:t xml:space="preserve">his indicator </w:t>
      </w:r>
      <w:r>
        <w:rPr>
          <w:bCs/>
          <w:lang w:val="en-GB"/>
        </w:rPr>
        <w:t>is</w:t>
      </w:r>
      <w:r w:rsidRPr="00E341B6">
        <w:rPr>
          <w:bCs/>
          <w:lang w:val="en-GB"/>
        </w:rPr>
        <w:t xml:space="preserve"> determined by dividing the approved budget for this activity </w:t>
      </w:r>
      <w:r>
        <w:rPr>
          <w:bCs/>
          <w:lang w:val="en-GB"/>
        </w:rPr>
        <w:t>(</w:t>
      </w:r>
      <w:r w:rsidRPr="00E341B6">
        <w:rPr>
          <w:bCs/>
          <w:lang w:val="en-GB"/>
        </w:rPr>
        <w:t>including allocated overheads</w:t>
      </w:r>
      <w:r>
        <w:rPr>
          <w:bCs/>
          <w:lang w:val="en-GB"/>
        </w:rPr>
        <w:t>)</w:t>
      </w:r>
      <w:r w:rsidRPr="00E341B6">
        <w:rPr>
          <w:bCs/>
          <w:lang w:val="en-GB"/>
        </w:rPr>
        <w:t xml:space="preserve"> by the estimated total number of</w:t>
      </w:r>
      <w:r>
        <w:rPr>
          <w:bCs/>
          <w:lang w:val="en-GB"/>
        </w:rPr>
        <w:t xml:space="preserve"> arbitrations completed </w:t>
      </w:r>
      <w:r w:rsidRPr="00E341B6">
        <w:rPr>
          <w:bCs/>
          <w:lang w:val="en-GB"/>
        </w:rPr>
        <w:t>for the year.</w:t>
      </w:r>
      <w:r>
        <w:rPr>
          <w:bCs/>
          <w:lang w:val="en-GB"/>
        </w:rPr>
        <w:t xml:space="preserve"> </w:t>
      </w:r>
      <w:r w:rsidRPr="00C717CE">
        <w:t xml:space="preserve">The </w:t>
      </w:r>
      <w:r>
        <w:t xml:space="preserve">estimated number of arbitrations </w:t>
      </w:r>
      <w:r w:rsidRPr="00C717CE">
        <w:t xml:space="preserve">is based on the </w:t>
      </w:r>
      <w:r>
        <w:t xml:space="preserve">previous year’s </w:t>
      </w:r>
      <w:r w:rsidRPr="00C717CE">
        <w:t xml:space="preserve">estimated actual and </w:t>
      </w:r>
      <w:r>
        <w:t>a growing trend of increased activity throughout 2013/14</w:t>
      </w:r>
      <w:r w:rsidRPr="00C717CE">
        <w:t>.</w:t>
      </w:r>
    </w:p>
    <w:p w14:paraId="402D499C" w14:textId="77777777" w:rsidR="001324B2" w:rsidRDefault="001324B2" w:rsidP="007D395C">
      <w:r w:rsidRPr="00AA2D44">
        <w:t>The provision of comparative data from previous years for KPI 2.2 cannot be provided beyond 2011/12 due to the considerable differences in the previous and new dispute resolution systems.</w:t>
      </w:r>
    </w:p>
    <w:p w14:paraId="1C78BEBB" w14:textId="77777777" w:rsidR="000D288E" w:rsidRPr="002C6BAB" w:rsidRDefault="000D288E" w:rsidP="002C6BAB">
      <w:pPr>
        <w:rPr>
          <w:rStyle w:val="Strong"/>
          <w:rFonts w:eastAsia="Calibri"/>
        </w:rPr>
      </w:pPr>
      <w:r w:rsidRPr="002C6BAB">
        <w:rPr>
          <w:rStyle w:val="Strong"/>
        </w:rPr>
        <w:t>Analysis</w:t>
      </w:r>
      <w:r w:rsidRPr="002C6BAB">
        <w:rPr>
          <w:rStyle w:val="Strong"/>
          <w:rFonts w:eastAsia="Calibri"/>
        </w:rPr>
        <w:t xml:space="preserve"> </w:t>
      </w:r>
    </w:p>
    <w:p w14:paraId="37AFBE5F" w14:textId="0A7AEE80" w:rsidR="001324B2" w:rsidRPr="00D76AE4" w:rsidRDefault="001324B2" w:rsidP="007D395C">
      <w:r w:rsidRPr="00D76AE4">
        <w:t>The average cost to complete an arbitration for 2014/15 is $10,04</w:t>
      </w:r>
      <w:r>
        <w:t>2</w:t>
      </w:r>
      <w:r w:rsidR="00E43B3C">
        <w:t>.</w:t>
      </w:r>
      <w:r w:rsidRPr="00D76AE4">
        <w:t xml:space="preserve">This is 16.6 </w:t>
      </w:r>
      <w:r w:rsidR="00123F56">
        <w:t>per cent</w:t>
      </w:r>
      <w:r w:rsidRPr="00D76AE4">
        <w:t xml:space="preserve"> more than the target of $8,611 and a reduction of 10.0 </w:t>
      </w:r>
      <w:r w:rsidR="00123F56">
        <w:t>per cent</w:t>
      </w:r>
      <w:r w:rsidRPr="00D76AE4">
        <w:t xml:space="preserve"> on the cost in 2013/14 of $11,153.</w:t>
      </w:r>
    </w:p>
    <w:p w14:paraId="6C27245E" w14:textId="3D3FFC53" w:rsidR="001324B2" w:rsidRPr="00C863D9" w:rsidRDefault="001324B2" w:rsidP="007D395C">
      <w:r w:rsidRPr="00D76AE4">
        <w:lastRenderedPageBreak/>
        <w:t xml:space="preserve">The variance to target is predominantly attributed to an over estimation of the number of arbitrations </w:t>
      </w:r>
      <w:r>
        <w:t xml:space="preserve">that would be </w:t>
      </w:r>
      <w:r w:rsidR="00E43B3C">
        <w:t xml:space="preserve">completed for the year. </w:t>
      </w:r>
      <w:r w:rsidRPr="00D76AE4">
        <w:t xml:space="preserve">The target arbitrations figure of 550 was based on the number of arbitrations completed for 2013/14 and ongoing trends on the increasing number of disputes being lodged. The actual number of arbitrations completed was 482 a 12.4 </w:t>
      </w:r>
      <w:r w:rsidR="00123F56">
        <w:t>per cent</w:t>
      </w:r>
      <w:r w:rsidRPr="00D76AE4">
        <w:t xml:space="preserve"> decrease on the predicted number.</w:t>
      </w:r>
      <w:r w:rsidRPr="00C863D9">
        <w:rPr>
          <w:sz w:val="19"/>
          <w:szCs w:val="19"/>
        </w:rPr>
        <w:t xml:space="preserve"> </w:t>
      </w:r>
    </w:p>
    <w:p w14:paraId="34AB0C88" w14:textId="0A481C8E" w:rsidR="001324B2" w:rsidRPr="00D76AE4" w:rsidRDefault="001324B2" w:rsidP="007D395C">
      <w:r w:rsidRPr="00D76AE4">
        <w:t xml:space="preserve">The 10.0 </w:t>
      </w:r>
      <w:r w:rsidR="00123F56">
        <w:t>per cent</w:t>
      </w:r>
      <w:r w:rsidRPr="00D76AE4">
        <w:t xml:space="preserve"> reduction in the cost per arbitration from the previous year is directly attributed to the increase in the number of arbitrations being completed. </w:t>
      </w:r>
    </w:p>
    <w:p w14:paraId="210C83EA" w14:textId="77777777" w:rsidR="001324B2" w:rsidRPr="00D76AE4" w:rsidRDefault="001324B2" w:rsidP="007D395C">
      <w:r w:rsidRPr="00D76AE4">
        <w:t>The ongoing reduction in the average cost of providing this service indicates the efficiencies being realised through the continued employment of sessional arbitrators</w:t>
      </w:r>
      <w:r>
        <w:t>.</w:t>
      </w:r>
      <w:r w:rsidRPr="00D76AE4">
        <w:t xml:space="preserve"> </w:t>
      </w:r>
    </w:p>
    <w:p w14:paraId="47485B9B" w14:textId="70C56522" w:rsidR="000D288E" w:rsidRPr="00876F3A" w:rsidRDefault="000D288E" w:rsidP="00876F3A">
      <w:pPr>
        <w:rPr>
          <w:rStyle w:val="Emphasis"/>
          <w:rFonts w:eastAsia="Calibri"/>
        </w:rPr>
      </w:pPr>
      <w:r w:rsidRPr="00876F3A">
        <w:rPr>
          <w:rStyle w:val="Emphasis"/>
          <w:rFonts w:eastAsia="Calibri"/>
        </w:rPr>
        <w:t>Figure 8. The graph below shows the cost</w:t>
      </w:r>
      <w:r w:rsidR="00E43B3C">
        <w:rPr>
          <w:rStyle w:val="Emphasis"/>
          <w:rFonts w:eastAsia="Calibri"/>
        </w:rPr>
        <w:t xml:space="preserve"> trend over the past four years</w:t>
      </w:r>
    </w:p>
    <w:p w14:paraId="0F1B4858" w14:textId="09FC77BB" w:rsidR="00CD3AB0" w:rsidRDefault="001324B2" w:rsidP="000D288E">
      <w:pPr>
        <w:tabs>
          <w:tab w:val="left" w:pos="1725"/>
        </w:tabs>
      </w:pPr>
      <w:r>
        <w:rPr>
          <w:noProof/>
          <w:lang w:eastAsia="en-AU"/>
        </w:rPr>
        <w:drawing>
          <wp:inline distT="0" distB="0" distL="0" distR="0" wp14:anchorId="3589FFE0" wp14:editId="297AE005">
            <wp:extent cx="5731510" cy="2752102"/>
            <wp:effectExtent l="0" t="0" r="0" b="0"/>
            <wp:docPr id="6" name="Chart 5" title="Figure 8 Average cost to complete an arbitr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72581B3" w14:textId="77777777" w:rsidR="007E09FA" w:rsidRDefault="007E09FA">
      <w:pPr>
        <w:keepLines w:val="0"/>
        <w:spacing w:after="0" w:line="240" w:lineRule="auto"/>
        <w:rPr>
          <w:rStyle w:val="Strong"/>
          <w:rFonts w:eastAsia="Calibri"/>
        </w:rPr>
      </w:pPr>
      <w:r>
        <w:rPr>
          <w:rStyle w:val="Strong"/>
          <w:rFonts w:eastAsia="Calibri"/>
        </w:rPr>
        <w:br w:type="page"/>
      </w:r>
    </w:p>
    <w:p w14:paraId="43FF56D2" w14:textId="18C70C09" w:rsidR="00876F3A" w:rsidRPr="002C6BAB" w:rsidRDefault="000D288E" w:rsidP="000D288E">
      <w:pPr>
        <w:keepLines w:val="0"/>
        <w:spacing w:before="360"/>
        <w:outlineLvl w:val="3"/>
        <w:rPr>
          <w:rStyle w:val="Strong"/>
          <w:rFonts w:eastAsia="Calibri"/>
        </w:rPr>
      </w:pPr>
      <w:r w:rsidRPr="002C6BAB">
        <w:rPr>
          <w:rStyle w:val="Strong"/>
          <w:rFonts w:eastAsia="Calibri"/>
        </w:rPr>
        <w:lastRenderedPageBreak/>
        <w:t xml:space="preserve">Indicator 2.3 </w:t>
      </w:r>
    </w:p>
    <w:p w14:paraId="24C9DF11" w14:textId="35B27EF8" w:rsidR="000D288E" w:rsidRPr="00876F3A" w:rsidRDefault="000D288E" w:rsidP="00876F3A">
      <w:pPr>
        <w:rPr>
          <w:rStyle w:val="Strong"/>
          <w:rFonts w:eastAsia="Calibri"/>
          <w:color w:val="86731E" w:themeColor="text1"/>
        </w:rPr>
      </w:pPr>
      <w:r w:rsidRPr="00876F3A">
        <w:rPr>
          <w:rStyle w:val="Strong"/>
          <w:rFonts w:eastAsia="Calibri"/>
          <w:color w:val="86731E" w:themeColor="text1"/>
        </w:rPr>
        <w:t>Average cost to process a Memorandum of Agreement</w:t>
      </w:r>
    </w:p>
    <w:tbl>
      <w:tblPr>
        <w:tblW w:w="9231"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Pr>
      <w:tblGrid>
        <w:gridCol w:w="2808"/>
        <w:gridCol w:w="1260"/>
        <w:gridCol w:w="1260"/>
        <w:gridCol w:w="1260"/>
        <w:gridCol w:w="1440"/>
        <w:gridCol w:w="1203"/>
      </w:tblGrid>
      <w:tr w:rsidR="000D288E" w:rsidRPr="000D288E" w14:paraId="78F9C4AF" w14:textId="77777777" w:rsidTr="00467353">
        <w:trPr>
          <w:trHeight w:val="291"/>
        </w:trPr>
        <w:tc>
          <w:tcPr>
            <w:tcW w:w="2808" w:type="dxa"/>
            <w:shd w:val="clear" w:color="auto" w:fill="2D4541" w:themeFill="accent2"/>
            <w:vAlign w:val="center"/>
            <w:hideMark/>
          </w:tcPr>
          <w:p w14:paraId="6F7F48B8" w14:textId="5B580329" w:rsidR="000D288E" w:rsidRPr="00E8007D" w:rsidRDefault="000D288E" w:rsidP="00E8007D">
            <w:pPr>
              <w:rPr>
                <w:rFonts w:eastAsia="Calibri"/>
                <w:b/>
                <w:color w:val="FFFFFF" w:themeColor="background1"/>
              </w:rPr>
            </w:pPr>
            <w:r w:rsidRPr="00E8007D">
              <w:rPr>
                <w:rFonts w:eastAsia="Calibri"/>
                <w:b/>
                <w:color w:val="FFFFFF" w:themeColor="background1"/>
              </w:rPr>
              <w:t xml:space="preserve">Indicator 2.3 </w:t>
            </w:r>
            <w:r w:rsidR="00E8007D">
              <w:rPr>
                <w:rFonts w:eastAsia="Calibri"/>
                <w:b/>
                <w:color w:val="FFFFFF" w:themeColor="background1"/>
              </w:rPr>
              <w:br/>
            </w:r>
            <w:r w:rsidRPr="00E8007D">
              <w:rPr>
                <w:rFonts w:eastAsia="Calibri"/>
                <w:b/>
                <w:color w:val="FFFFFF" w:themeColor="background1"/>
              </w:rPr>
              <w:t>(new from 2011/12)</w:t>
            </w:r>
          </w:p>
        </w:tc>
        <w:tc>
          <w:tcPr>
            <w:tcW w:w="1260" w:type="dxa"/>
            <w:shd w:val="clear" w:color="auto" w:fill="2D4541" w:themeFill="accent2"/>
            <w:vAlign w:val="center"/>
          </w:tcPr>
          <w:p w14:paraId="0115A7DE" w14:textId="77777777" w:rsidR="000D288E" w:rsidRPr="00E8007D" w:rsidRDefault="000D288E" w:rsidP="00E8007D">
            <w:pPr>
              <w:rPr>
                <w:rFonts w:eastAsia="Calibri"/>
                <w:b/>
                <w:color w:val="FFFFFF" w:themeColor="background1"/>
              </w:rPr>
            </w:pPr>
            <w:r w:rsidRPr="00E8007D">
              <w:rPr>
                <w:rFonts w:eastAsia="Calibri"/>
                <w:b/>
                <w:color w:val="FFFFFF" w:themeColor="background1"/>
              </w:rPr>
              <w:t>2011/12</w:t>
            </w:r>
            <w:r w:rsidRPr="00E8007D">
              <w:rPr>
                <w:rFonts w:eastAsia="Calibri"/>
                <w:b/>
                <w:color w:val="FFFFFF" w:themeColor="background1"/>
              </w:rPr>
              <w:br/>
              <w:t>Actual</w:t>
            </w:r>
          </w:p>
        </w:tc>
        <w:tc>
          <w:tcPr>
            <w:tcW w:w="1260" w:type="dxa"/>
            <w:shd w:val="clear" w:color="auto" w:fill="2D4541" w:themeFill="accent2"/>
            <w:vAlign w:val="center"/>
          </w:tcPr>
          <w:p w14:paraId="36D5AE37" w14:textId="77777777" w:rsidR="000D288E" w:rsidRPr="00E8007D" w:rsidRDefault="000D288E" w:rsidP="00E8007D">
            <w:pPr>
              <w:rPr>
                <w:rFonts w:eastAsia="Calibri"/>
                <w:b/>
                <w:color w:val="FFFFFF" w:themeColor="background1"/>
                <w:highlight w:val="yellow"/>
              </w:rPr>
            </w:pPr>
            <w:r w:rsidRPr="00E8007D">
              <w:rPr>
                <w:rFonts w:eastAsia="Calibri"/>
                <w:b/>
                <w:color w:val="FFFFFF" w:themeColor="background1"/>
              </w:rPr>
              <w:t>2012/13 Actual</w:t>
            </w:r>
          </w:p>
        </w:tc>
        <w:tc>
          <w:tcPr>
            <w:tcW w:w="1260" w:type="dxa"/>
            <w:shd w:val="clear" w:color="auto" w:fill="2D4541" w:themeFill="accent2"/>
            <w:vAlign w:val="center"/>
          </w:tcPr>
          <w:p w14:paraId="3E894128" w14:textId="77777777" w:rsidR="000D288E" w:rsidRPr="00E8007D" w:rsidRDefault="000D288E" w:rsidP="00E8007D">
            <w:pPr>
              <w:rPr>
                <w:rFonts w:eastAsia="Calibri"/>
                <w:b/>
                <w:color w:val="FFFFFF" w:themeColor="background1"/>
                <w:highlight w:val="yellow"/>
              </w:rPr>
            </w:pPr>
            <w:r w:rsidRPr="00E8007D">
              <w:rPr>
                <w:rFonts w:eastAsia="Calibri"/>
                <w:b/>
                <w:color w:val="FFFFFF" w:themeColor="background1"/>
              </w:rPr>
              <w:t xml:space="preserve">2013/14 Actual </w:t>
            </w:r>
          </w:p>
        </w:tc>
        <w:tc>
          <w:tcPr>
            <w:tcW w:w="1440" w:type="dxa"/>
            <w:shd w:val="clear" w:color="auto" w:fill="2D4541" w:themeFill="accent2"/>
            <w:vAlign w:val="center"/>
            <w:hideMark/>
          </w:tcPr>
          <w:p w14:paraId="2D009573" w14:textId="59A4181E" w:rsidR="000D288E" w:rsidRPr="00E8007D" w:rsidRDefault="00467353" w:rsidP="00E8007D">
            <w:pPr>
              <w:rPr>
                <w:rFonts w:eastAsia="Calibri"/>
                <w:b/>
                <w:color w:val="FFFFFF" w:themeColor="background1"/>
              </w:rPr>
            </w:pPr>
            <w:r w:rsidRPr="00E8007D">
              <w:rPr>
                <w:rFonts w:eastAsia="Calibri"/>
                <w:b/>
                <w:color w:val="FFFFFF" w:themeColor="background1"/>
                <w:szCs w:val="22"/>
              </w:rPr>
              <w:t>2014/15</w:t>
            </w:r>
            <w:bookmarkStart w:id="665" w:name="_Toc426617630"/>
            <w:r w:rsidR="00E8007D">
              <w:rPr>
                <w:rFonts w:eastAsia="Calibri"/>
                <w:b/>
                <w:color w:val="FFFFFF" w:themeColor="background1"/>
              </w:rPr>
              <w:br/>
            </w:r>
            <w:r w:rsidRPr="00E8007D">
              <w:rPr>
                <w:rFonts w:eastAsia="Calibri"/>
                <w:b/>
                <w:color w:val="FFFFFF" w:themeColor="background1"/>
                <w:szCs w:val="22"/>
              </w:rPr>
              <w:t>Actual</w:t>
            </w:r>
            <w:bookmarkEnd w:id="665"/>
            <w:r w:rsidRPr="00E8007D">
              <w:rPr>
                <w:rFonts w:eastAsia="Calibri"/>
                <w:b/>
                <w:color w:val="FFFFFF" w:themeColor="background1"/>
                <w:szCs w:val="22"/>
              </w:rPr>
              <w:t xml:space="preserve"> </w:t>
            </w:r>
          </w:p>
        </w:tc>
        <w:tc>
          <w:tcPr>
            <w:tcW w:w="1203" w:type="dxa"/>
            <w:shd w:val="clear" w:color="auto" w:fill="2D4541" w:themeFill="accent2"/>
            <w:vAlign w:val="center"/>
            <w:hideMark/>
          </w:tcPr>
          <w:p w14:paraId="586A16CE" w14:textId="725A1CBC" w:rsidR="000D288E" w:rsidRPr="00E8007D" w:rsidRDefault="00E8007D" w:rsidP="00E8007D">
            <w:pPr>
              <w:rPr>
                <w:rFonts w:eastAsia="Calibri"/>
                <w:b/>
                <w:color w:val="FFFFFF" w:themeColor="background1"/>
              </w:rPr>
            </w:pPr>
            <w:r>
              <w:rPr>
                <w:rFonts w:eastAsia="Calibri"/>
                <w:b/>
                <w:color w:val="FFFFFF" w:themeColor="background1"/>
              </w:rPr>
              <w:t>2014/15</w:t>
            </w:r>
            <w:r>
              <w:rPr>
                <w:rFonts w:eastAsia="Calibri"/>
                <w:b/>
                <w:color w:val="FFFFFF" w:themeColor="background1"/>
              </w:rPr>
              <w:br/>
            </w:r>
            <w:r w:rsidR="000D288E" w:rsidRPr="00E8007D">
              <w:rPr>
                <w:rFonts w:eastAsia="Calibri"/>
                <w:b/>
                <w:color w:val="FFFFFF" w:themeColor="background1"/>
              </w:rPr>
              <w:t>Target</w:t>
            </w:r>
          </w:p>
        </w:tc>
      </w:tr>
      <w:tr w:rsidR="001324B2" w:rsidRPr="000D288E" w14:paraId="7E25201F" w14:textId="77777777" w:rsidTr="00467353">
        <w:trPr>
          <w:trHeight w:val="761"/>
        </w:trPr>
        <w:tc>
          <w:tcPr>
            <w:tcW w:w="2808" w:type="dxa"/>
            <w:vAlign w:val="center"/>
          </w:tcPr>
          <w:p w14:paraId="20FB6456" w14:textId="77777777" w:rsidR="001324B2" w:rsidRPr="000D288E" w:rsidRDefault="001324B2" w:rsidP="001324B2">
            <w:pPr>
              <w:keepLines w:val="0"/>
              <w:spacing w:before="120" w:after="120" w:line="240" w:lineRule="auto"/>
              <w:rPr>
                <w:rFonts w:eastAsia="Calibri" w:cs="Arial"/>
                <w:bCs/>
              </w:rPr>
            </w:pPr>
            <w:r w:rsidRPr="000D288E">
              <w:rPr>
                <w:rFonts w:eastAsia="Calibri" w:cs="Arial"/>
                <w:bCs/>
              </w:rPr>
              <w:t>Average cost to process a Memorandum of Agreement</w:t>
            </w:r>
          </w:p>
        </w:tc>
        <w:tc>
          <w:tcPr>
            <w:tcW w:w="1260" w:type="dxa"/>
          </w:tcPr>
          <w:p w14:paraId="67450D55" w14:textId="0202A466" w:rsidR="001324B2" w:rsidRPr="000D288E" w:rsidRDefault="001324B2" w:rsidP="001324B2">
            <w:pPr>
              <w:keepLines w:val="0"/>
              <w:spacing w:before="120" w:after="120" w:line="240" w:lineRule="auto"/>
              <w:jc w:val="center"/>
              <w:rPr>
                <w:rFonts w:eastAsia="Calibri" w:cs="Arial"/>
                <w:bCs/>
                <w:color w:val="000000"/>
                <w:highlight w:val="yellow"/>
              </w:rPr>
            </w:pPr>
            <w:r w:rsidRPr="00832899">
              <w:t>$381</w:t>
            </w:r>
          </w:p>
        </w:tc>
        <w:tc>
          <w:tcPr>
            <w:tcW w:w="1260" w:type="dxa"/>
            <w:shd w:val="clear" w:color="auto" w:fill="auto"/>
          </w:tcPr>
          <w:p w14:paraId="5F1D6AC4" w14:textId="7DB27066" w:rsidR="001324B2" w:rsidRPr="000D288E" w:rsidRDefault="001324B2" w:rsidP="001324B2">
            <w:pPr>
              <w:keepLines w:val="0"/>
              <w:spacing w:before="120" w:after="120" w:line="240" w:lineRule="auto"/>
              <w:jc w:val="center"/>
              <w:rPr>
                <w:rFonts w:eastAsia="Calibri" w:cs="Arial"/>
                <w:bCs/>
                <w:color w:val="000000"/>
                <w:highlight w:val="yellow"/>
              </w:rPr>
            </w:pPr>
            <w:r w:rsidRPr="00832899">
              <w:t>$373</w:t>
            </w:r>
          </w:p>
        </w:tc>
        <w:tc>
          <w:tcPr>
            <w:tcW w:w="1260" w:type="dxa"/>
            <w:shd w:val="clear" w:color="auto" w:fill="auto"/>
          </w:tcPr>
          <w:p w14:paraId="0695C8D5" w14:textId="22FD81BF" w:rsidR="001324B2" w:rsidRPr="000D288E" w:rsidRDefault="001324B2" w:rsidP="001324B2">
            <w:pPr>
              <w:keepLines w:val="0"/>
              <w:spacing w:before="120" w:after="120" w:line="240" w:lineRule="auto"/>
              <w:jc w:val="center"/>
              <w:rPr>
                <w:rFonts w:eastAsia="Calibri" w:cs="Arial"/>
                <w:bCs/>
                <w:color w:val="000000"/>
              </w:rPr>
            </w:pPr>
            <w:r w:rsidRPr="00832899">
              <w:t>$389</w:t>
            </w:r>
          </w:p>
        </w:tc>
        <w:tc>
          <w:tcPr>
            <w:tcW w:w="1440" w:type="dxa"/>
            <w:shd w:val="clear" w:color="auto" w:fill="EAE2B9"/>
          </w:tcPr>
          <w:p w14:paraId="3B464EDF" w14:textId="7D504FAF" w:rsidR="001324B2" w:rsidRPr="000D288E" w:rsidRDefault="001324B2" w:rsidP="001324B2">
            <w:pPr>
              <w:keepLines w:val="0"/>
              <w:spacing w:before="120" w:after="120" w:line="240" w:lineRule="auto"/>
              <w:jc w:val="center"/>
              <w:rPr>
                <w:rFonts w:eastAsia="Calibri" w:cs="Arial"/>
                <w:bCs/>
                <w:color w:val="000000"/>
              </w:rPr>
            </w:pPr>
            <w:r w:rsidRPr="00832899">
              <w:t>$342</w:t>
            </w:r>
          </w:p>
        </w:tc>
        <w:tc>
          <w:tcPr>
            <w:tcW w:w="1203" w:type="dxa"/>
            <w:shd w:val="clear" w:color="auto" w:fill="BAD0CD" w:themeFill="accent5" w:themeFillShade="E6"/>
          </w:tcPr>
          <w:p w14:paraId="134CA365" w14:textId="6A2A6112" w:rsidR="001324B2" w:rsidRPr="000D288E" w:rsidRDefault="001324B2" w:rsidP="001324B2">
            <w:pPr>
              <w:keepLines w:val="0"/>
              <w:spacing w:before="120" w:after="120" w:line="240" w:lineRule="auto"/>
              <w:jc w:val="center"/>
              <w:rPr>
                <w:rFonts w:eastAsia="Calibri" w:cs="Arial"/>
                <w:bCs/>
                <w:color w:val="000000"/>
              </w:rPr>
            </w:pPr>
            <w:r w:rsidRPr="00832899">
              <w:t>$401</w:t>
            </w:r>
          </w:p>
        </w:tc>
      </w:tr>
    </w:tbl>
    <w:p w14:paraId="6CC758E4" w14:textId="31ACA34B" w:rsidR="007E09FA" w:rsidRDefault="007E09FA" w:rsidP="002C6BAB">
      <w:pPr>
        <w:rPr>
          <w:rStyle w:val="Strong"/>
        </w:rPr>
      </w:pPr>
    </w:p>
    <w:p w14:paraId="600F38AF" w14:textId="77777777" w:rsidR="000D288E" w:rsidRPr="002C6BAB" w:rsidRDefault="000D288E" w:rsidP="002C6BAB">
      <w:pPr>
        <w:rPr>
          <w:rStyle w:val="Strong"/>
        </w:rPr>
      </w:pPr>
      <w:r w:rsidRPr="002C6BAB">
        <w:rPr>
          <w:rStyle w:val="Strong"/>
        </w:rPr>
        <w:t>Description</w:t>
      </w:r>
    </w:p>
    <w:p w14:paraId="72D3E774" w14:textId="77777777" w:rsidR="001324B2" w:rsidRPr="001324B2" w:rsidRDefault="001324B2" w:rsidP="007D395C">
      <w:bookmarkStart w:id="666" w:name="_Analysis_7"/>
      <w:bookmarkEnd w:id="666"/>
      <w:r w:rsidRPr="001324B2">
        <w:rPr>
          <w:rFonts w:cs="Arial"/>
        </w:rPr>
        <w:t>Subject to the provisions of section 76 of the Act,</w:t>
      </w:r>
      <w:r w:rsidRPr="001324B2">
        <w:rPr>
          <w:rFonts w:cs="Arial"/>
          <w:i/>
        </w:rPr>
        <w:t xml:space="preserve"> </w:t>
      </w:r>
      <w:r w:rsidRPr="001324B2">
        <w:rPr>
          <w:rFonts w:cs="Arial"/>
        </w:rPr>
        <w:t>WorkCover WA is responsible</w:t>
      </w:r>
      <w:r w:rsidRPr="001324B2">
        <w:rPr>
          <w:rFonts w:cs="Arial"/>
          <w:i/>
        </w:rPr>
        <w:t xml:space="preserve"> </w:t>
      </w:r>
      <w:r w:rsidRPr="001324B2">
        <w:rPr>
          <w:rFonts w:cs="Arial"/>
        </w:rPr>
        <w:t xml:space="preserve">for registering Memoranda of Agreement (MoAs), </w:t>
      </w:r>
      <w:r w:rsidRPr="001324B2">
        <w:t>where parties agree to settle a claim in the workers’ compensation scheme, either through redemption of weekly entitlements and medical expenses, and/or through an assessment of a worker’s impairment.</w:t>
      </w:r>
    </w:p>
    <w:p w14:paraId="46634AF2" w14:textId="77777777" w:rsidR="001324B2" w:rsidRPr="001324B2" w:rsidRDefault="001324B2" w:rsidP="007D395C">
      <w:r w:rsidRPr="001324B2">
        <w:t xml:space="preserve">Registering MoAs involves an assessment of the accuracy of the documentation provided by the parties, as well as compliance with the Act. </w:t>
      </w:r>
    </w:p>
    <w:p w14:paraId="6A3EFEDA" w14:textId="77777777" w:rsidR="001324B2" w:rsidRPr="001324B2" w:rsidRDefault="001324B2" w:rsidP="007D395C">
      <w:r w:rsidRPr="001324B2">
        <w:t xml:space="preserve">Each MoA registered is recorded in the </w:t>
      </w:r>
      <w:r w:rsidRPr="001324B2">
        <w:rPr>
          <w:lang w:val="en-US"/>
        </w:rPr>
        <w:t xml:space="preserve">Memoranda of Agreements </w:t>
      </w:r>
      <w:r w:rsidRPr="001324B2">
        <w:t>database which forms part of DCMS. The number of MoAs registered within the reference period is then extracted directly from this system via the MoA Registered Report.</w:t>
      </w:r>
    </w:p>
    <w:p w14:paraId="0DC3E257" w14:textId="77777777" w:rsidR="001324B2" w:rsidRPr="001324B2" w:rsidRDefault="001324B2" w:rsidP="007D395C">
      <w:pPr>
        <w:rPr>
          <w:rFonts w:cs="Arial"/>
        </w:rPr>
      </w:pPr>
      <w:r w:rsidRPr="001324B2">
        <w:t xml:space="preserve">The denominator used to derive the target for this KPI </w:t>
      </w:r>
      <w:r w:rsidRPr="001324B2">
        <w:rPr>
          <w:rFonts w:cs="Arial"/>
        </w:rPr>
        <w:t xml:space="preserve">was set based on the previous year’s estimated actual and the continued increase in the number of MoAs being presented.  </w:t>
      </w:r>
    </w:p>
    <w:p w14:paraId="2ECEE1B9" w14:textId="1AC2E9EB" w:rsidR="00664937" w:rsidRDefault="001324B2" w:rsidP="007D395C">
      <w:pPr>
        <w:rPr>
          <w:lang w:val="en-US"/>
        </w:rPr>
      </w:pPr>
      <w:r w:rsidRPr="001324B2">
        <w:rPr>
          <w:lang w:val="en-US"/>
        </w:rPr>
        <w:t>The processing of MoAs has been undertaken in previous years. However, due to significant changes in the dispute resolution system on 1 December 2011, and changes in the cost allocation model, it is not feasible to provide comparisons with previous years beyond 2011/12 for this indicator.</w:t>
      </w:r>
    </w:p>
    <w:p w14:paraId="42949D09" w14:textId="77777777" w:rsidR="00664937" w:rsidRDefault="00664937">
      <w:pPr>
        <w:keepLines w:val="0"/>
        <w:spacing w:after="0" w:line="240" w:lineRule="auto"/>
        <w:rPr>
          <w:lang w:val="en-US"/>
        </w:rPr>
      </w:pPr>
      <w:r>
        <w:rPr>
          <w:lang w:val="en-US"/>
        </w:rPr>
        <w:br w:type="page"/>
      </w:r>
    </w:p>
    <w:p w14:paraId="50710468" w14:textId="77777777" w:rsidR="001324B2" w:rsidRPr="001324B2" w:rsidRDefault="001324B2" w:rsidP="007D395C">
      <w:pPr>
        <w:rPr>
          <w:lang w:val="en-US"/>
        </w:rPr>
      </w:pPr>
    </w:p>
    <w:p w14:paraId="007DCC08" w14:textId="77777777" w:rsidR="000D288E" w:rsidRPr="002C6BAB" w:rsidRDefault="000D288E" w:rsidP="002C6BAB">
      <w:pPr>
        <w:rPr>
          <w:rStyle w:val="Strong"/>
          <w:rFonts w:eastAsia="Calibri"/>
        </w:rPr>
      </w:pPr>
      <w:r w:rsidRPr="002C6BAB">
        <w:rPr>
          <w:rStyle w:val="Strong"/>
        </w:rPr>
        <w:t>Analysis</w:t>
      </w:r>
      <w:r w:rsidRPr="002C6BAB">
        <w:rPr>
          <w:rStyle w:val="Strong"/>
          <w:rFonts w:eastAsia="Calibri"/>
        </w:rPr>
        <w:t xml:space="preserve"> </w:t>
      </w:r>
    </w:p>
    <w:p w14:paraId="0C358F1A" w14:textId="33A7D9AE" w:rsidR="001324B2" w:rsidRPr="00C863D9" w:rsidRDefault="001324B2" w:rsidP="007D395C">
      <w:r w:rsidRPr="00C863D9">
        <w:t>The average cost to process a Memorandum of Agreement (MoA) for 2013/14 is $34</w:t>
      </w:r>
      <w:r>
        <w:t>2</w:t>
      </w:r>
      <w:r w:rsidRPr="00C863D9">
        <w:t>. This is a 14.</w:t>
      </w:r>
      <w:r>
        <w:t>7</w:t>
      </w:r>
      <w:r w:rsidRPr="00C863D9">
        <w:t xml:space="preserve"> </w:t>
      </w:r>
      <w:r w:rsidR="00123F56">
        <w:t>per cent</w:t>
      </w:r>
      <w:r w:rsidRPr="00C863D9">
        <w:t xml:space="preserve"> reduction on the expected target and a </w:t>
      </w:r>
      <w:r>
        <w:t>12.1</w:t>
      </w:r>
      <w:r w:rsidRPr="00C863D9">
        <w:t xml:space="preserve"> </w:t>
      </w:r>
      <w:r w:rsidR="00123F56">
        <w:t>per cent</w:t>
      </w:r>
      <w:r w:rsidRPr="00C863D9">
        <w:t xml:space="preserve"> reduction on the previous year.</w:t>
      </w:r>
    </w:p>
    <w:p w14:paraId="38BEE293" w14:textId="7FBB6F7A" w:rsidR="00A66207" w:rsidRPr="000245F9" w:rsidRDefault="001324B2" w:rsidP="007D395C">
      <w:r w:rsidRPr="000245F9">
        <w:t>The variance to the target and the previous year is mostly due to an under spend as a result of some unfilled positions through vacancies and long term leave.</w:t>
      </w:r>
    </w:p>
    <w:p w14:paraId="3BBA8820" w14:textId="46ADF0A5" w:rsidR="001324B2" w:rsidRPr="000245F9" w:rsidRDefault="001324B2" w:rsidP="007D395C">
      <w:r w:rsidRPr="000245F9">
        <w:rPr>
          <w:lang w:val="en-GB"/>
        </w:rPr>
        <w:t>The average cost of providing this service has</w:t>
      </w:r>
      <w:r w:rsidR="00E43B3C">
        <w:rPr>
          <w:lang w:val="en-GB"/>
        </w:rPr>
        <w:t xml:space="preserve"> reduced in 2014/15 due to the A</w:t>
      </w:r>
      <w:r w:rsidRPr="000245F9">
        <w:rPr>
          <w:lang w:val="en-GB"/>
        </w:rPr>
        <w:t xml:space="preserve">gency being able to maintain the level of service </w:t>
      </w:r>
      <w:r>
        <w:rPr>
          <w:lang w:val="en-GB"/>
        </w:rPr>
        <w:t xml:space="preserve">provided </w:t>
      </w:r>
      <w:r w:rsidRPr="000245F9">
        <w:rPr>
          <w:lang w:val="en-GB"/>
        </w:rPr>
        <w:t>with reduced resources.</w:t>
      </w:r>
    </w:p>
    <w:p w14:paraId="09725C71" w14:textId="6AA34CBA" w:rsidR="000D288E" w:rsidRDefault="001324B2" w:rsidP="007D395C">
      <w:pPr>
        <w:rPr>
          <w:rStyle w:val="Emphasis"/>
          <w:rFonts w:eastAsia="Calibri"/>
        </w:rPr>
      </w:pPr>
      <w:r w:rsidRPr="001324B2">
        <w:rPr>
          <w:rStyle w:val="Emphasis"/>
          <w:rFonts w:eastAsia="Calibri"/>
        </w:rPr>
        <w:t>Figure 9. The graph below shows the cost</w:t>
      </w:r>
      <w:r w:rsidR="00133F2E">
        <w:rPr>
          <w:rStyle w:val="Emphasis"/>
          <w:rFonts w:eastAsia="Calibri"/>
        </w:rPr>
        <w:t xml:space="preserve"> trend over the past four years</w:t>
      </w:r>
    </w:p>
    <w:p w14:paraId="19F592C7" w14:textId="2B4556CB" w:rsidR="00F47458" w:rsidRDefault="00664937" w:rsidP="00380D7A">
      <w:pPr>
        <w:tabs>
          <w:tab w:val="left" w:pos="1725"/>
        </w:tabs>
        <w:sectPr w:rsidR="00F47458" w:rsidSect="00184DF0">
          <w:headerReference w:type="first" r:id="rId42"/>
          <w:pgSz w:w="11906" w:h="16838"/>
          <w:pgMar w:top="1440" w:right="1440" w:bottom="1440" w:left="1440" w:header="709" w:footer="0" w:gutter="0"/>
          <w:cols w:space="708"/>
          <w:docGrid w:linePitch="360"/>
        </w:sectPr>
      </w:pPr>
      <w:r>
        <w:rPr>
          <w:noProof/>
          <w:lang w:eastAsia="en-AU"/>
        </w:rPr>
        <w:drawing>
          <wp:anchor distT="0" distB="0" distL="114300" distR="114300" simplePos="0" relativeHeight="251734016" behindDoc="0" locked="0" layoutInCell="1" allowOverlap="1" wp14:anchorId="2AFC8003" wp14:editId="69A4D0F8">
            <wp:simplePos x="0" y="0"/>
            <wp:positionH relativeFrom="column">
              <wp:posOffset>684380</wp:posOffset>
            </wp:positionH>
            <wp:positionV relativeFrom="page">
              <wp:posOffset>7576342</wp:posOffset>
            </wp:positionV>
            <wp:extent cx="4995013" cy="2212505"/>
            <wp:effectExtent l="0" t="0" r="0" b="0"/>
            <wp:wrapSquare wrapText="bothSides"/>
            <wp:docPr id="34" name="Picture 34" descr="This is a image of boxes to act as a page filler" title="Page-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filler.jpg"/>
                    <pic:cNvPicPr/>
                  </pic:nvPicPr>
                  <pic:blipFill rotWithShape="1">
                    <a:blip r:embed="rId43" cstate="print">
                      <a:extLst>
                        <a:ext uri="{28A0092B-C50C-407E-A947-70E740481C1C}">
                          <a14:useLocalDpi xmlns:a14="http://schemas.microsoft.com/office/drawing/2010/main" val="0"/>
                        </a:ext>
                      </a:extLst>
                    </a:blip>
                    <a:srcRect t="39269" b="29401"/>
                    <a:stretch/>
                  </pic:blipFill>
                  <pic:spPr bwMode="auto">
                    <a:xfrm>
                      <a:off x="0" y="0"/>
                      <a:ext cx="4995013" cy="221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4B2" w:rsidRPr="00BC14B8">
        <w:rPr>
          <w:noProof/>
          <w:shd w:val="clear" w:color="auto" w:fill="2D4541" w:themeFill="accent2"/>
          <w:lang w:eastAsia="en-AU"/>
        </w:rPr>
        <w:drawing>
          <wp:anchor distT="0" distB="0" distL="114300" distR="114300" simplePos="0" relativeHeight="251697152" behindDoc="0" locked="0" layoutInCell="1" allowOverlap="1" wp14:anchorId="04CCF5C0" wp14:editId="5294A8C6">
            <wp:simplePos x="914400" y="2000250"/>
            <wp:positionH relativeFrom="column">
              <wp:align>left</wp:align>
            </wp:positionH>
            <wp:positionV relativeFrom="paragraph">
              <wp:align>top</wp:align>
            </wp:positionV>
            <wp:extent cx="5731510" cy="2784475"/>
            <wp:effectExtent l="0" t="0" r="2540" b="0"/>
            <wp:wrapSquare wrapText="bothSides"/>
            <wp:docPr id="7" name="Chart 5" title="Figure 9 Average cost to complete a Memorandum of Agre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380D7A">
        <w:br w:type="textWrapping" w:clear="all"/>
      </w:r>
    </w:p>
    <w:p w14:paraId="1D19F6C0" w14:textId="45161F7F" w:rsidR="007529A8" w:rsidRPr="00F47458" w:rsidRDefault="00F47458" w:rsidP="00F47458">
      <w:pPr>
        <w:pStyle w:val="Heading1nonumber"/>
        <w:rPr>
          <w:color w:val="808080" w:themeColor="background1" w:themeShade="80"/>
          <w:sz w:val="40"/>
        </w:rPr>
      </w:pPr>
      <w:bookmarkStart w:id="667" w:name="_Toc430091345"/>
      <w:r w:rsidRPr="00F47458">
        <w:rPr>
          <w:color w:val="808080" w:themeColor="background1" w:themeShade="80"/>
          <w:sz w:val="40"/>
        </w:rPr>
        <w:lastRenderedPageBreak/>
        <w:t>Section 7: Financial Statements and Notes</w:t>
      </w:r>
      <w:bookmarkEnd w:id="667"/>
    </w:p>
    <w:p w14:paraId="1FC52856" w14:textId="0D02267F" w:rsidR="0090428F" w:rsidRDefault="00F47458" w:rsidP="00F47458">
      <w:pPr>
        <w:pStyle w:val="Heading1nonumber"/>
      </w:pPr>
      <w:bookmarkStart w:id="668" w:name="_Toc430091346"/>
      <w:r w:rsidRPr="00F47458">
        <w:t>Financial Statements</w:t>
      </w:r>
      <w:bookmarkEnd w:id="668"/>
    </w:p>
    <w:p w14:paraId="03A0B224" w14:textId="77777777" w:rsidR="0008753A" w:rsidRDefault="0008753A" w:rsidP="0008753A">
      <w:pPr>
        <w:pStyle w:val="Heading2nonumber"/>
      </w:pPr>
      <w:bookmarkStart w:id="669" w:name="_Toc430091347"/>
      <w:r>
        <w:rPr>
          <w:spacing w:val="-14"/>
        </w:rPr>
        <w:t>C</w:t>
      </w:r>
      <w:r>
        <w:rPr>
          <w:spacing w:val="-4"/>
        </w:rPr>
        <w:t>e</w:t>
      </w:r>
      <w:r>
        <w:rPr>
          <w:spacing w:val="2"/>
        </w:rPr>
        <w:t>r</w:t>
      </w:r>
      <w:r>
        <w:rPr>
          <w:spacing w:val="-4"/>
        </w:rPr>
        <w:t>t</w:t>
      </w:r>
      <w:r>
        <w:rPr>
          <w:spacing w:val="2"/>
        </w:rPr>
        <w:t>i</w:t>
      </w:r>
      <w:r>
        <w:t>f</w:t>
      </w:r>
      <w:r>
        <w:rPr>
          <w:spacing w:val="-7"/>
        </w:rPr>
        <w:t>i</w:t>
      </w:r>
      <w:r>
        <w:rPr>
          <w:spacing w:val="-18"/>
        </w:rPr>
        <w:t>c</w:t>
      </w:r>
      <w:r>
        <w:rPr>
          <w:spacing w:val="-6"/>
        </w:rPr>
        <w:t>a</w:t>
      </w:r>
      <w:r>
        <w:rPr>
          <w:spacing w:val="-4"/>
        </w:rPr>
        <w:t>t</w:t>
      </w:r>
      <w:r>
        <w:rPr>
          <w:spacing w:val="-7"/>
        </w:rPr>
        <w:t>i</w:t>
      </w:r>
      <w:r>
        <w:rPr>
          <w:spacing w:val="-9"/>
        </w:rPr>
        <w:t>o</w:t>
      </w:r>
      <w:r>
        <w:t>n</w:t>
      </w:r>
      <w:r>
        <w:rPr>
          <w:spacing w:val="-18"/>
        </w:rPr>
        <w:t xml:space="preserve"> </w:t>
      </w:r>
      <w:r>
        <w:rPr>
          <w:spacing w:val="-6"/>
        </w:rPr>
        <w:t>o</w:t>
      </w:r>
      <w:r>
        <w:t>f</w:t>
      </w:r>
      <w:r>
        <w:rPr>
          <w:spacing w:val="-18"/>
        </w:rPr>
        <w:t xml:space="preserve"> </w:t>
      </w:r>
      <w:r>
        <w:rPr>
          <w:spacing w:val="-8"/>
        </w:rPr>
        <w:t>F</w:t>
      </w:r>
      <w:r>
        <w:rPr>
          <w:spacing w:val="-6"/>
        </w:rPr>
        <w:t>i</w:t>
      </w:r>
      <w:r>
        <w:rPr>
          <w:spacing w:val="-8"/>
        </w:rPr>
        <w:t>na</w:t>
      </w:r>
      <w:r>
        <w:rPr>
          <w:spacing w:val="-9"/>
        </w:rPr>
        <w:t>n</w:t>
      </w:r>
      <w:r>
        <w:rPr>
          <w:spacing w:val="-14"/>
        </w:rPr>
        <w:t>c</w:t>
      </w:r>
      <w:r>
        <w:rPr>
          <w:spacing w:val="-8"/>
        </w:rPr>
        <w:t>i</w:t>
      </w:r>
      <w:r>
        <w:rPr>
          <w:spacing w:val="-6"/>
        </w:rPr>
        <w:t>a</w:t>
      </w:r>
      <w:r>
        <w:t>l</w:t>
      </w:r>
      <w:r>
        <w:rPr>
          <w:spacing w:val="-18"/>
        </w:rPr>
        <w:t xml:space="preserve"> </w:t>
      </w:r>
      <w:r>
        <w:rPr>
          <w:spacing w:val="-12"/>
        </w:rPr>
        <w:t>S</w:t>
      </w:r>
      <w:r>
        <w:rPr>
          <w:spacing w:val="-9"/>
        </w:rPr>
        <w:t>t</w:t>
      </w:r>
      <w:r>
        <w:rPr>
          <w:spacing w:val="-6"/>
        </w:rPr>
        <w:t>a</w:t>
      </w:r>
      <w:r>
        <w:rPr>
          <w:spacing w:val="-9"/>
        </w:rPr>
        <w:t>te</w:t>
      </w:r>
      <w:r>
        <w:rPr>
          <w:spacing w:val="-8"/>
        </w:rPr>
        <w:t>m</w:t>
      </w:r>
      <w:r>
        <w:rPr>
          <w:spacing w:val="-10"/>
        </w:rPr>
        <w:t>e</w:t>
      </w:r>
      <w:r>
        <w:rPr>
          <w:spacing w:val="-8"/>
        </w:rPr>
        <w:t>n</w:t>
      </w:r>
      <w:r>
        <w:rPr>
          <w:spacing w:val="-4"/>
        </w:rPr>
        <w:t>t</w:t>
      </w:r>
      <w:r>
        <w:t>s</w:t>
      </w:r>
      <w:bookmarkEnd w:id="669"/>
    </w:p>
    <w:p w14:paraId="4CEEC00E" w14:textId="77777777" w:rsidR="0008753A" w:rsidRPr="0008753A" w:rsidRDefault="0008753A" w:rsidP="0008753A">
      <w:r w:rsidRPr="0008753A">
        <w:t>The accompanying financial statements of WorkCover Western Australia Authority have been prepared in compliance with the provisions of the Financial Management Act 2006 from proper accounts and records to present fairly the financial transactions for the financial year ended 30 June 2015 and the financial position as at 30 June 2015.</w:t>
      </w:r>
    </w:p>
    <w:p w14:paraId="54276F65" w14:textId="3F76D737" w:rsidR="00C53689" w:rsidRDefault="0008753A" w:rsidP="0008753A">
      <w:r w:rsidRPr="0008753A">
        <w:t>At the date of signing we are not aware of any circumstances which would render the particulars included in the financial statements misleading or inaccurate.</w:t>
      </w:r>
    </w:p>
    <w:p w14:paraId="67087ECA" w14:textId="77777777" w:rsidR="001B41BA" w:rsidRDefault="001B41BA" w:rsidP="001B41BA">
      <w:r>
        <w:rPr>
          <w:noProof/>
          <w:lang w:eastAsia="en-AU"/>
        </w:rPr>
        <w:drawing>
          <wp:inline distT="0" distB="0" distL="0" distR="0" wp14:anchorId="5BE17E24" wp14:editId="74B120A3">
            <wp:extent cx="1573317" cy="412493"/>
            <wp:effectExtent l="0" t="0" r="0" b="0"/>
            <wp:docPr id="4" name="Picture 1" descr="Chairman WorkCover WA Board, Greg Joyc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 Joyce sig.jpg"/>
                    <pic:cNvPicPr/>
                  </pic:nvPicPr>
                  <pic:blipFill>
                    <a:blip r:embed="rId13" cstate="print"/>
                    <a:srcRect l="3573"/>
                    <a:stretch>
                      <a:fillRect/>
                    </a:stretch>
                  </pic:blipFill>
                  <pic:spPr>
                    <a:xfrm>
                      <a:off x="0" y="0"/>
                      <a:ext cx="1580267" cy="414315"/>
                    </a:xfrm>
                    <a:prstGeom prst="rect">
                      <a:avLst/>
                    </a:prstGeom>
                  </pic:spPr>
                </pic:pic>
              </a:graphicData>
            </a:graphic>
          </wp:inline>
        </w:drawing>
      </w:r>
    </w:p>
    <w:p w14:paraId="4BF4EE23" w14:textId="77777777" w:rsidR="001B41BA" w:rsidRDefault="001B41BA" w:rsidP="001B41BA">
      <w:r>
        <w:t>Greg Joyce</w:t>
      </w:r>
      <w:r>
        <w:br/>
        <w:t>Chairman</w:t>
      </w:r>
      <w:r>
        <w:br/>
        <w:t>WorkCover WA</w:t>
      </w:r>
      <w:r>
        <w:br/>
      </w:r>
      <w:r w:rsidRPr="00383DFE">
        <w:t xml:space="preserve">28 August 2015 </w:t>
      </w:r>
    </w:p>
    <w:p w14:paraId="0E609DFE" w14:textId="77777777" w:rsidR="001B41BA" w:rsidRDefault="001B41BA" w:rsidP="001B41BA">
      <w:r>
        <w:rPr>
          <w:noProof/>
          <w:lang w:eastAsia="en-AU"/>
        </w:rPr>
        <w:drawing>
          <wp:anchor distT="0" distB="0" distL="114300" distR="114300" simplePos="0" relativeHeight="251745280" behindDoc="0" locked="0" layoutInCell="1" allowOverlap="1" wp14:anchorId="4A3E0D31" wp14:editId="498CF3EE">
            <wp:simplePos x="0" y="0"/>
            <wp:positionH relativeFrom="column">
              <wp:posOffset>-372745</wp:posOffset>
            </wp:positionH>
            <wp:positionV relativeFrom="paragraph">
              <wp:posOffset>233680</wp:posOffset>
            </wp:positionV>
            <wp:extent cx="1743075" cy="647700"/>
            <wp:effectExtent l="0" t="0" r="9525" b="0"/>
            <wp:wrapSquare wrapText="bothSides"/>
            <wp:docPr id="28" name="Picture 28" descr="Michelle Reynolds, CEO WorkCover WA Signature &#10;" title="WorkCover WA CEO Sing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le Reynolds Signature.jpg"/>
                    <pic:cNvPicPr/>
                  </pic:nvPicPr>
                  <pic:blipFill>
                    <a:blip r:embed="rId14">
                      <a:extLst>
                        <a:ext uri="{28A0092B-C50C-407E-A947-70E740481C1C}">
                          <a14:useLocalDpi xmlns:a14="http://schemas.microsoft.com/office/drawing/2010/main" val="0"/>
                        </a:ext>
                      </a:extLst>
                    </a:blip>
                    <a:stretch>
                      <a:fillRect/>
                    </a:stretch>
                  </pic:blipFill>
                  <pic:spPr>
                    <a:xfrm>
                      <a:off x="0" y="0"/>
                      <a:ext cx="1743075" cy="647700"/>
                    </a:xfrm>
                    <a:prstGeom prst="rect">
                      <a:avLst/>
                    </a:prstGeom>
                  </pic:spPr>
                </pic:pic>
              </a:graphicData>
            </a:graphic>
            <wp14:sizeRelH relativeFrom="page">
              <wp14:pctWidth>0</wp14:pctWidth>
            </wp14:sizeRelH>
            <wp14:sizeRelV relativeFrom="page">
              <wp14:pctHeight>0</wp14:pctHeight>
            </wp14:sizeRelV>
          </wp:anchor>
        </w:drawing>
      </w:r>
    </w:p>
    <w:p w14:paraId="2B99D49E" w14:textId="77777777" w:rsidR="001B41BA" w:rsidRDefault="001B41BA" w:rsidP="001B41BA"/>
    <w:p w14:paraId="477E85D8" w14:textId="77777777" w:rsidR="001B41BA" w:rsidRDefault="001B41BA" w:rsidP="001B41BA">
      <w:r>
        <w:t>Michelle Reynolds</w:t>
      </w:r>
      <w:r>
        <w:br/>
        <w:t>Chief Executive Officer</w:t>
      </w:r>
      <w:r>
        <w:br/>
        <w:t>WorkCover WA</w:t>
      </w:r>
      <w:r>
        <w:br/>
      </w:r>
      <w:r w:rsidRPr="00383DFE">
        <w:t>28 August 2015</w:t>
      </w:r>
    </w:p>
    <w:p w14:paraId="1BE770D2" w14:textId="58A9E8FD" w:rsidR="0008753A" w:rsidRDefault="0008753A" w:rsidP="0008753A">
      <w:pPr>
        <w:rPr>
          <w:rFonts w:cs="Arial"/>
          <w:color w:val="000000"/>
        </w:rPr>
      </w:pPr>
      <w:r>
        <w:rPr>
          <w:noProof/>
          <w:lang w:eastAsia="en-AU"/>
        </w:rPr>
        <w:drawing>
          <wp:inline distT="0" distB="0" distL="0" distR="0" wp14:anchorId="49A2456B" wp14:editId="714E0325">
            <wp:extent cx="1190625" cy="531495"/>
            <wp:effectExtent l="0" t="0" r="952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0625" cy="531495"/>
                    </a:xfrm>
                    <a:prstGeom prst="rect">
                      <a:avLst/>
                    </a:prstGeom>
                    <a:noFill/>
                    <a:ln>
                      <a:noFill/>
                    </a:ln>
                  </pic:spPr>
                </pic:pic>
              </a:graphicData>
            </a:graphic>
          </wp:inline>
        </w:drawing>
      </w:r>
      <w:r>
        <w:br/>
      </w:r>
      <w:r>
        <w:br/>
      </w:r>
      <w:r>
        <w:rPr>
          <w:rFonts w:cs="Arial"/>
          <w:color w:val="000000"/>
        </w:rPr>
        <w:t>John Hull</w:t>
      </w:r>
      <w:r>
        <w:rPr>
          <w:rFonts w:cs="Arial"/>
          <w:color w:val="000000"/>
        </w:rPr>
        <w:br/>
      </w:r>
      <w:r w:rsidRPr="0008753A">
        <w:rPr>
          <w:rFonts w:cs="Arial"/>
          <w:color w:val="000000"/>
        </w:rPr>
        <w:t xml:space="preserve">Chief </w:t>
      </w:r>
      <w:r>
        <w:rPr>
          <w:rFonts w:cs="Arial"/>
          <w:color w:val="000000"/>
        </w:rPr>
        <w:t>Finance Officer</w:t>
      </w:r>
      <w:r>
        <w:rPr>
          <w:rFonts w:cs="Arial"/>
          <w:color w:val="000000"/>
        </w:rPr>
        <w:br/>
      </w:r>
      <w:r w:rsidRPr="0008753A">
        <w:rPr>
          <w:rFonts w:cs="Arial"/>
          <w:color w:val="000000"/>
        </w:rPr>
        <w:t>WorkCo</w:t>
      </w:r>
      <w:r>
        <w:rPr>
          <w:rFonts w:cs="Arial"/>
          <w:color w:val="000000"/>
        </w:rPr>
        <w:t>ver Western Australia Authority</w:t>
      </w:r>
      <w:r>
        <w:rPr>
          <w:rFonts w:cs="Arial"/>
          <w:color w:val="000000"/>
        </w:rPr>
        <w:br/>
      </w:r>
      <w:r w:rsidRPr="0008753A">
        <w:rPr>
          <w:rFonts w:cs="Arial"/>
          <w:color w:val="000000"/>
        </w:rPr>
        <w:t>28 August 2015</w:t>
      </w:r>
    </w:p>
    <w:p w14:paraId="1FCD415A" w14:textId="77777777" w:rsidR="00C53689" w:rsidRDefault="00C53689" w:rsidP="0008753A">
      <w:pPr>
        <w:rPr>
          <w:rFonts w:cs="Arial"/>
          <w:color w:val="000000"/>
        </w:rPr>
      </w:pPr>
    </w:p>
    <w:p w14:paraId="2050DF9B" w14:textId="77777777" w:rsidR="00C53689" w:rsidRPr="0008753A" w:rsidRDefault="00C53689" w:rsidP="0008753A">
      <w:pPr>
        <w:rPr>
          <w:rFonts w:cs="Arial"/>
          <w:color w:val="000000"/>
        </w:rPr>
      </w:pPr>
    </w:p>
    <w:p w14:paraId="3EE77865" w14:textId="77777777" w:rsidR="00C53689" w:rsidRDefault="00C53689" w:rsidP="00C53689">
      <w:pPr>
        <w:pStyle w:val="Heading1nonumber"/>
      </w:pPr>
      <w:bookmarkStart w:id="670" w:name="_Toc430091348"/>
      <w:r>
        <w:rPr>
          <w:spacing w:val="-13"/>
        </w:rPr>
        <w:t>Independen</w:t>
      </w:r>
      <w:r>
        <w:t>t</w:t>
      </w:r>
      <w:r>
        <w:rPr>
          <w:spacing w:val="-38"/>
        </w:rPr>
        <w:t xml:space="preserve"> </w:t>
      </w:r>
      <w:r>
        <w:t>Audit</w:t>
      </w:r>
      <w:r>
        <w:rPr>
          <w:spacing w:val="-38"/>
        </w:rPr>
        <w:t xml:space="preserve"> </w:t>
      </w:r>
      <w:r>
        <w:t>Opinion</w:t>
      </w:r>
      <w:bookmarkEnd w:id="670"/>
      <w:r>
        <w:t xml:space="preserve"> </w:t>
      </w:r>
    </w:p>
    <w:p w14:paraId="1F728105" w14:textId="77777777" w:rsidR="00D6691F" w:rsidRPr="00DA1E18" w:rsidRDefault="00D6691F" w:rsidP="00D6691F">
      <w:pPr>
        <w:rPr>
          <w:rStyle w:val="Strong"/>
        </w:rPr>
      </w:pPr>
      <w:r w:rsidRPr="00DA1E18">
        <w:rPr>
          <w:rStyle w:val="Strong"/>
        </w:rPr>
        <w:t>To the Parliament of Western Australia</w:t>
      </w:r>
    </w:p>
    <w:p w14:paraId="06CC5E28" w14:textId="77777777" w:rsidR="00D6691F" w:rsidRPr="00DA1E18" w:rsidRDefault="00D6691F" w:rsidP="00D6691F">
      <w:pPr>
        <w:rPr>
          <w:rStyle w:val="Strong"/>
        </w:rPr>
      </w:pPr>
      <w:r w:rsidRPr="00DA1E18">
        <w:rPr>
          <w:rStyle w:val="Strong"/>
        </w:rPr>
        <w:t>WORKCOVER WESTERN AUSTRALIA AUTHORITY</w:t>
      </w:r>
    </w:p>
    <w:p w14:paraId="6944E6FE" w14:textId="77777777" w:rsidR="00D6691F" w:rsidRPr="00DA1E18" w:rsidRDefault="00D6691F" w:rsidP="00D6691F">
      <w:pPr>
        <w:rPr>
          <w:rStyle w:val="Strong"/>
        </w:rPr>
      </w:pPr>
      <w:r w:rsidRPr="00DA1E18">
        <w:rPr>
          <w:rStyle w:val="Strong"/>
        </w:rPr>
        <w:t>Report on the Financial Statements</w:t>
      </w:r>
    </w:p>
    <w:p w14:paraId="2ADC5A94" w14:textId="2B527983" w:rsidR="00D6691F" w:rsidRDefault="00D6691F" w:rsidP="00D6691F">
      <w:r>
        <w:t>I have audited the accounts and financial statements of the WorkCover Western Australia Authority.</w:t>
      </w:r>
    </w:p>
    <w:p w14:paraId="5C4DDF55" w14:textId="7E55E078" w:rsidR="00D6691F" w:rsidRDefault="00D6691F" w:rsidP="00D6691F">
      <w:r>
        <w:t>The financial statements comprise the Statement of Financial Position as at 30 June 2015, the Statement of Comprehensive Income, Statement of Changes in Equity and Statement of Cash Flows for the year then ended, and Notes comprising a summary of significant accounting policies and other explanatory information.</w:t>
      </w:r>
    </w:p>
    <w:p w14:paraId="327D9C31" w14:textId="441A0E46" w:rsidR="00D6691F" w:rsidRPr="00DA1E18" w:rsidRDefault="00D6691F" w:rsidP="00D6691F">
      <w:pPr>
        <w:rPr>
          <w:rStyle w:val="Emphasis"/>
        </w:rPr>
      </w:pPr>
      <w:r w:rsidRPr="00DA1E18">
        <w:rPr>
          <w:rStyle w:val="Emphasis"/>
        </w:rPr>
        <w:t>Authority’s Responsibility for the Financial Statements</w:t>
      </w:r>
    </w:p>
    <w:p w14:paraId="60C50442" w14:textId="3F1FD6FE" w:rsidR="00D6691F" w:rsidRDefault="00D6691F" w:rsidP="00D6691F">
      <w:r>
        <w:t>The Authority is responsible for keeping proper accounts, and the preparation and fair presentation of the financial statements in accordance with Australian Accounting Standards and the Treasurer’s Instructions, and for such internal control as the Authority determines is necessary to enable the preparation of financial statements that are free from material misstatement, whether due to fraud or error.</w:t>
      </w:r>
    </w:p>
    <w:p w14:paraId="01415051" w14:textId="77777777" w:rsidR="00D6691F" w:rsidRPr="00DA1E18" w:rsidRDefault="00D6691F" w:rsidP="00D6691F">
      <w:pPr>
        <w:rPr>
          <w:rStyle w:val="Emphasis"/>
        </w:rPr>
      </w:pPr>
      <w:r w:rsidRPr="00DA1E18">
        <w:rPr>
          <w:rStyle w:val="Emphasis"/>
        </w:rPr>
        <w:t>Auditor’s Responsibility</w:t>
      </w:r>
    </w:p>
    <w:p w14:paraId="570437AF" w14:textId="20EDA9B1" w:rsidR="00D6691F" w:rsidRDefault="00D6691F" w:rsidP="00D6691F">
      <w:r>
        <w:t>As required by the Auditor General Act 2006, my responsibility is to express an opinion on the financial statements based on my audit. The audit was conducted in accordance with Australian Auditing Standards. Those Standards require compliance with relevant ethical requirements relating to audit engagements and that the audit be planned and performed to obtain reasonable assurance about whether the financial statements are free from material misstatement.</w:t>
      </w:r>
    </w:p>
    <w:p w14:paraId="00E56815" w14:textId="0231B66E" w:rsidR="00D6691F" w:rsidRDefault="00D6691F" w:rsidP="00BC72B4">
      <w:r>
        <w:t>An audit 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control relevant to the Authority’s preparation and fair presentation of the financial statements in order to design audit procedures that are appropriate in the circumstances. An audit also includes evaluating the appropriateness of the accounting policies used and the reasonableness of accounting estimates made by the Authority, as well as evaluating the overall presentation of the financial statements.</w:t>
      </w:r>
    </w:p>
    <w:p w14:paraId="70D8DE0B" w14:textId="7BBFB809" w:rsidR="00D6691F" w:rsidRDefault="00D6691F" w:rsidP="00BC72B4">
      <w:r>
        <w:lastRenderedPageBreak/>
        <w:t>I believe that the audit evidence obtained is sufficient and appropriate to provide a basis for my audit opinion.</w:t>
      </w:r>
    </w:p>
    <w:p w14:paraId="4ACB459B" w14:textId="77777777" w:rsidR="00D6691F" w:rsidRPr="00DA1E18" w:rsidRDefault="00D6691F" w:rsidP="00BC72B4">
      <w:pPr>
        <w:rPr>
          <w:rStyle w:val="Emphasis"/>
        </w:rPr>
      </w:pPr>
      <w:r w:rsidRPr="00DA1E18">
        <w:rPr>
          <w:rStyle w:val="Emphasis"/>
        </w:rPr>
        <w:t>Opinion</w:t>
      </w:r>
    </w:p>
    <w:p w14:paraId="2349B5CC" w14:textId="77777777" w:rsidR="00BC72B4" w:rsidRDefault="00D6691F" w:rsidP="00BC72B4">
      <w:r>
        <w:t>In my opinion, the financial statements are based on proper accounts and present fairly, in all material respects, the financial position of the WorkCover Western Australia Authority at 30 June 2015 and its financial performance and cash flows for the year then ended. They are in accordance with Australian Accounting Standards and the Treasurer’s Instructions.</w:t>
      </w:r>
    </w:p>
    <w:p w14:paraId="0FA9F98C" w14:textId="77777777" w:rsidR="00BC72B4" w:rsidRPr="00DA1E18" w:rsidRDefault="00BC72B4" w:rsidP="00BC72B4">
      <w:pPr>
        <w:rPr>
          <w:rStyle w:val="Strong"/>
        </w:rPr>
      </w:pPr>
      <w:r w:rsidRPr="00DA1E18">
        <w:rPr>
          <w:rStyle w:val="Strong"/>
        </w:rPr>
        <w:t>Report on Controls</w:t>
      </w:r>
    </w:p>
    <w:p w14:paraId="05093C37" w14:textId="43FD0E13" w:rsidR="00BC72B4" w:rsidRDefault="00BC72B4" w:rsidP="00BC72B4">
      <w:r>
        <w:t>I have audited the controls exercised by the WorkCover Western Australia Authority during the year ended 30 June 2015.</w:t>
      </w:r>
    </w:p>
    <w:p w14:paraId="6899E568" w14:textId="215FFF4A" w:rsidR="00BC72B4" w:rsidRDefault="00BC72B4" w:rsidP="00BC72B4">
      <w:r>
        <w:t>Controls exercised by the WorkCover Western Australia Authority are those policies and procedures established by the Authority to ensure that the receipt, expenditure and investment of money, the acquisition and disposal of property, and the incurring of liabilities have been in accordance with legislative provisions.</w:t>
      </w:r>
    </w:p>
    <w:p w14:paraId="7302C82E" w14:textId="77777777" w:rsidR="00BC72B4" w:rsidRPr="00DA1E18" w:rsidRDefault="00BC72B4" w:rsidP="00BC72B4">
      <w:pPr>
        <w:rPr>
          <w:rStyle w:val="Emphasis"/>
        </w:rPr>
      </w:pPr>
      <w:r w:rsidRPr="00DA1E18">
        <w:rPr>
          <w:rStyle w:val="Emphasis"/>
        </w:rPr>
        <w:t>Authority’s Responsibility for Controls</w:t>
      </w:r>
    </w:p>
    <w:p w14:paraId="0B359C57" w14:textId="1AD6BFC3" w:rsidR="00BC72B4" w:rsidRDefault="00BC72B4" w:rsidP="00BC72B4">
      <w:r>
        <w:t xml:space="preserve">The Authority is responsible for maintaining an adequate system of internal control to ensure that the receipt, expenditure and investment of money, the acquisition and disposal of public and other property, and the incurring of liabilities are in accordance with the </w:t>
      </w:r>
      <w:r w:rsidRPr="00BC72B4">
        <w:rPr>
          <w:i/>
        </w:rPr>
        <w:t>Financial Management Act 2006</w:t>
      </w:r>
      <w:r>
        <w:t xml:space="preserve"> and the Treasurer’s Instructions, and other relevant written law.</w:t>
      </w:r>
    </w:p>
    <w:p w14:paraId="22BB6ACF" w14:textId="77777777" w:rsidR="00BC72B4" w:rsidRPr="00DA1E18" w:rsidRDefault="00BC72B4" w:rsidP="00BC72B4">
      <w:pPr>
        <w:rPr>
          <w:rStyle w:val="Emphasis"/>
        </w:rPr>
      </w:pPr>
      <w:r w:rsidRPr="00DA1E18">
        <w:rPr>
          <w:rStyle w:val="Emphasis"/>
        </w:rPr>
        <w:t>Auditor’s Responsibility</w:t>
      </w:r>
    </w:p>
    <w:p w14:paraId="3768BC6E" w14:textId="77777777" w:rsidR="00BC72B4" w:rsidRDefault="00BC72B4" w:rsidP="00BC72B4">
      <w:r>
        <w:t xml:space="preserve">As required by the </w:t>
      </w:r>
      <w:r w:rsidRPr="00DA1E18">
        <w:rPr>
          <w:rStyle w:val="Emphasis"/>
        </w:rPr>
        <w:t>Auditor General Act 2006</w:t>
      </w:r>
      <w:r>
        <w:t xml:space="preserve">, my responsibility is to express an opinion on the controls exercised by the WorkCover Western Australia Authority based on my audit conducted in accordance with Australian Auditing and Assurance Standards. </w:t>
      </w:r>
    </w:p>
    <w:p w14:paraId="2EA5D05C" w14:textId="48119D74" w:rsidR="00BC72B4" w:rsidRDefault="00BC72B4" w:rsidP="00BC72B4">
      <w:r>
        <w:t>An audit involves performing procedures to obtain audit evidence about the adequacy of controls to ensure that the Authority complies with the legislative provisions. The procedures selected depend on the auditor’s judgement an d include an evaluation of the design and implementation of relevant controls.</w:t>
      </w:r>
    </w:p>
    <w:p w14:paraId="236B7ADE" w14:textId="7074442F" w:rsidR="00BC72B4" w:rsidRDefault="00BC72B4" w:rsidP="00BC72B4">
      <w:r>
        <w:t>I believe that the audit evidence obtained is sufficient and appropriate to provide a basis for my audit opinion.</w:t>
      </w:r>
    </w:p>
    <w:p w14:paraId="6D555297" w14:textId="77777777" w:rsidR="00BC72B4" w:rsidRPr="00DA1E18" w:rsidRDefault="00BC72B4" w:rsidP="00BC72B4">
      <w:pPr>
        <w:rPr>
          <w:rStyle w:val="Emphasis"/>
        </w:rPr>
      </w:pPr>
      <w:r w:rsidRPr="00DA1E18">
        <w:rPr>
          <w:rStyle w:val="Emphasis"/>
        </w:rPr>
        <w:t>Opinion</w:t>
      </w:r>
    </w:p>
    <w:p w14:paraId="63110D47" w14:textId="2A123634" w:rsidR="00BC72B4" w:rsidRDefault="00BC72B4" w:rsidP="00BC72B4">
      <w:r>
        <w:lastRenderedPageBreak/>
        <w:t xml:space="preserve">In my opinion, the controls exercised by the WorkCover </w:t>
      </w:r>
      <w:r w:rsidR="008E638C">
        <w:t xml:space="preserve">Western Australia Authority are </w:t>
      </w:r>
      <w:r>
        <w:t>sufficiently adequate to provide reasonable assurance th</w:t>
      </w:r>
      <w:r w:rsidR="008E638C">
        <w:t xml:space="preserve">at the receipt, expenditure and </w:t>
      </w:r>
      <w:r>
        <w:t>investment of money, the acquisition and disposal of property, and th</w:t>
      </w:r>
      <w:r w:rsidR="008E638C">
        <w:t xml:space="preserve">e incurring of liabilities have </w:t>
      </w:r>
      <w:r>
        <w:t>been in accordance with legislative provisions during the year ended 30 June 2015.</w:t>
      </w:r>
    </w:p>
    <w:p w14:paraId="20375727" w14:textId="77777777" w:rsidR="00BC72B4" w:rsidRPr="00DA1E18" w:rsidRDefault="00BC72B4" w:rsidP="00BC72B4">
      <w:pPr>
        <w:rPr>
          <w:rStyle w:val="Strong"/>
        </w:rPr>
      </w:pPr>
      <w:r w:rsidRPr="00DA1E18">
        <w:rPr>
          <w:rStyle w:val="Strong"/>
        </w:rPr>
        <w:t>Report on the Key Performance Indicators</w:t>
      </w:r>
    </w:p>
    <w:p w14:paraId="44C1909E" w14:textId="544CE3E9" w:rsidR="00BC72B4" w:rsidRDefault="00BC72B4" w:rsidP="00BC72B4">
      <w:r>
        <w:t xml:space="preserve">I have audited the key performance indicators of the WorkCover </w:t>
      </w:r>
      <w:r w:rsidR="00534494">
        <w:t xml:space="preserve">Western Australia Authority for </w:t>
      </w:r>
      <w:r>
        <w:t>the year ended 30 June 2015.</w:t>
      </w:r>
    </w:p>
    <w:p w14:paraId="3650351A" w14:textId="6A54168E" w:rsidR="00BC72B4" w:rsidRDefault="00BC72B4" w:rsidP="00BC72B4">
      <w:r>
        <w:t xml:space="preserve">The key performance indicators are the key effectiveness indicators and the </w:t>
      </w:r>
      <w:r w:rsidR="00534494">
        <w:t xml:space="preserve">key efficiency </w:t>
      </w:r>
      <w:r>
        <w:t>indicators that provide information on outcome achievement and service provision.</w:t>
      </w:r>
    </w:p>
    <w:p w14:paraId="3E11EE60" w14:textId="77777777" w:rsidR="00BC72B4" w:rsidRPr="00DA1E18" w:rsidRDefault="00BC72B4" w:rsidP="00BC72B4">
      <w:pPr>
        <w:rPr>
          <w:rStyle w:val="Emphasis"/>
        </w:rPr>
      </w:pPr>
      <w:r w:rsidRPr="00DA1E18">
        <w:rPr>
          <w:rStyle w:val="Emphasis"/>
        </w:rPr>
        <w:t>Authority’s Responsibility for the Key Performance Indicators</w:t>
      </w:r>
    </w:p>
    <w:p w14:paraId="609AD81B" w14:textId="3BCD2838" w:rsidR="00BC72B4" w:rsidRDefault="00BC72B4" w:rsidP="00BC72B4">
      <w:r>
        <w:t>The Authority is responsible for the preparation and fair pres</w:t>
      </w:r>
      <w:r w:rsidR="00534494">
        <w:t xml:space="preserve">entation of the key performance </w:t>
      </w:r>
      <w:r>
        <w:t>indicators in accordance with the Financial Manageme</w:t>
      </w:r>
      <w:r w:rsidR="00534494">
        <w:t xml:space="preserve">nt Act 2006 and the Treasurer’s </w:t>
      </w:r>
      <w:r>
        <w:t>Instructions and for such controls as the Authority determines n</w:t>
      </w:r>
      <w:r w:rsidR="00534494">
        <w:t xml:space="preserve">ecessary to ensure that the key </w:t>
      </w:r>
      <w:r>
        <w:t>performance indicators fairly represent indicated performance.</w:t>
      </w:r>
    </w:p>
    <w:p w14:paraId="2F615DF3" w14:textId="77777777" w:rsidR="00BC72B4" w:rsidRPr="00DA1E18" w:rsidRDefault="00BC72B4" w:rsidP="00BC72B4">
      <w:pPr>
        <w:rPr>
          <w:rStyle w:val="Emphasis"/>
        </w:rPr>
      </w:pPr>
      <w:r w:rsidRPr="00DA1E18">
        <w:rPr>
          <w:rStyle w:val="Emphasis"/>
        </w:rPr>
        <w:t>Auditor’s Responsibility</w:t>
      </w:r>
    </w:p>
    <w:p w14:paraId="16A30A7F" w14:textId="77777777" w:rsidR="00534494" w:rsidRDefault="00BC72B4" w:rsidP="00BC72B4">
      <w:r>
        <w:t xml:space="preserve">As required by the </w:t>
      </w:r>
      <w:r w:rsidRPr="00534494">
        <w:rPr>
          <w:i/>
        </w:rPr>
        <w:t>Auditor General Act 2006</w:t>
      </w:r>
      <w:r>
        <w:t xml:space="preserve">, my responsibility </w:t>
      </w:r>
      <w:r w:rsidR="00534494">
        <w:t xml:space="preserve">is to express an opinion on the </w:t>
      </w:r>
      <w:r>
        <w:t>key performance indicators based on my audit conducted in acco</w:t>
      </w:r>
      <w:r w:rsidR="00534494">
        <w:t xml:space="preserve">rdance with Australian Auditing </w:t>
      </w:r>
      <w:r>
        <w:t>and Assurance Standards.</w:t>
      </w:r>
    </w:p>
    <w:p w14:paraId="0CCA5BC5" w14:textId="77777777" w:rsidR="00534494" w:rsidRDefault="00534494" w:rsidP="00534494">
      <w:r w:rsidRPr="00534494">
        <w:t>An audit involves performing procedures to obtain audit evidence about the key performance</w:t>
      </w:r>
      <w:r>
        <w:t xml:space="preserve"> indicators. The procedures selected depend on the auditor’s judgement, including the assessment of the risks of material misstatement of the key performance indicators. In making these risk assessments the auditor considers internal control relevant to the Authority’s preparation and fair presentation of the key performance indicators in order to design audit procedures that are appropriate in the circumstances. An audit also includes evaluating the relevance and appropriateness of the key performance indicators for measuring the extent of outcome achievement and service provision. </w:t>
      </w:r>
    </w:p>
    <w:p w14:paraId="4F701DBE" w14:textId="4A2F396E" w:rsidR="00534494" w:rsidRDefault="00534494" w:rsidP="00534494">
      <w:r>
        <w:t>I believe that the audit evidence obtained is sufficient and appropriate to provide a basis for my audit opinion.</w:t>
      </w:r>
    </w:p>
    <w:p w14:paraId="1B31E4DB" w14:textId="77777777" w:rsidR="00534494" w:rsidRPr="00DA1E18" w:rsidRDefault="00534494" w:rsidP="00534494">
      <w:pPr>
        <w:rPr>
          <w:rStyle w:val="Emphasis"/>
        </w:rPr>
      </w:pPr>
      <w:r w:rsidRPr="00DA1E18">
        <w:rPr>
          <w:rStyle w:val="Emphasis"/>
        </w:rPr>
        <w:t>Opinion</w:t>
      </w:r>
    </w:p>
    <w:p w14:paraId="70D7C73F" w14:textId="34290D18" w:rsidR="00534494" w:rsidRDefault="00534494" w:rsidP="00534494">
      <w:r>
        <w:lastRenderedPageBreak/>
        <w:t>In my opinion, the key performance indicators of the WorkCover Western Australia Authority are relevant and appropriate to assist users to assess the Authority’s performance and fairly represent indicated performance for the year ended 30 June 2015.</w:t>
      </w:r>
    </w:p>
    <w:p w14:paraId="2103AD68" w14:textId="77777777" w:rsidR="00534494" w:rsidRPr="00DA1E18" w:rsidRDefault="00534494" w:rsidP="00534494">
      <w:pPr>
        <w:rPr>
          <w:rStyle w:val="Strong"/>
        </w:rPr>
      </w:pPr>
      <w:r w:rsidRPr="00DA1E18">
        <w:rPr>
          <w:rStyle w:val="Strong"/>
        </w:rPr>
        <w:t>Independence</w:t>
      </w:r>
    </w:p>
    <w:p w14:paraId="1309AC42" w14:textId="77777777" w:rsidR="00534494" w:rsidRDefault="00534494" w:rsidP="00534494">
      <w:r>
        <w:t>In conducting this audit, I have complied with the independence requirements of the Auditor General Act 2006 and Australian Auditing and Assurance Standards, and other relevant ethical requirements.</w:t>
      </w:r>
    </w:p>
    <w:p w14:paraId="72E99800" w14:textId="5735B66A" w:rsidR="00534494" w:rsidRPr="00DA1E18" w:rsidRDefault="00534494" w:rsidP="00534494">
      <w:pPr>
        <w:rPr>
          <w:rStyle w:val="Strong"/>
        </w:rPr>
      </w:pPr>
      <w:r w:rsidRPr="00DA1E18">
        <w:rPr>
          <w:rStyle w:val="Strong"/>
        </w:rPr>
        <w:t>Matters Relating to the Electronic Publication of the Audited Financial Statements and Key Performance Indicators</w:t>
      </w:r>
    </w:p>
    <w:p w14:paraId="4B9E900E" w14:textId="77777777" w:rsidR="00534494" w:rsidRDefault="00534494" w:rsidP="00534494">
      <w:r>
        <w:t xml:space="preserve">This auditor’s report relates to the </w:t>
      </w:r>
      <w:r>
        <w:softHyphen/>
        <w:t xml:space="preserve">financial statements and key performance indicators of the WorkCover Western Australia Authority for the year ended 30 June 2015 included on the Authority’s website. The Authority’s management is responsible for the integrity of the Authority’s website. This audit does not provide assurance on the integrity of the Authority’s website. The auditor’s report refers only to the </w:t>
      </w:r>
      <w:r>
        <w:softHyphen/>
        <w:t>financial statements and key performance indicators described above. It does not provide an opinion on any other information which may have been hyperlinked to/from these financial statements or key performance indicators. If users of the financial statements and key performance indicators are concerned with the inherent risks arising from publication on a website, they are advised to refer to the hard copy of the audited financial statements and key performance indicators to confirm the information contained in this website version of the financial statements and key performance indicators.</w:t>
      </w:r>
    </w:p>
    <w:p w14:paraId="4BC816C0" w14:textId="77777777" w:rsidR="00534494" w:rsidRDefault="00534494" w:rsidP="00534494">
      <w:r>
        <w:rPr>
          <w:noProof/>
          <w:lang w:eastAsia="en-AU"/>
        </w:rPr>
        <w:drawing>
          <wp:inline distT="0" distB="0" distL="0" distR="0" wp14:anchorId="287116A8" wp14:editId="4D8A400D">
            <wp:extent cx="1839433" cy="742577"/>
            <wp:effectExtent l="0" t="0" r="889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9447" cy="742583"/>
                    </a:xfrm>
                    <a:prstGeom prst="rect">
                      <a:avLst/>
                    </a:prstGeom>
                    <a:noFill/>
                    <a:ln>
                      <a:noFill/>
                    </a:ln>
                  </pic:spPr>
                </pic:pic>
              </a:graphicData>
            </a:graphic>
          </wp:inline>
        </w:drawing>
      </w:r>
    </w:p>
    <w:p w14:paraId="45F0CE48" w14:textId="77777777" w:rsidR="002476D1" w:rsidRDefault="00534494" w:rsidP="00534494">
      <w:pPr>
        <w:rPr>
          <w:lang w:eastAsia="en-AU"/>
        </w:rPr>
      </w:pPr>
      <w:r>
        <w:rPr>
          <w:lang w:eastAsia="en-AU"/>
        </w:rPr>
        <w:t>GLEN CLARKE</w:t>
      </w:r>
      <w:r>
        <w:rPr>
          <w:lang w:eastAsia="en-AU"/>
        </w:rPr>
        <w:br/>
        <w:t>DEPUTY AUDITOR GENERAL</w:t>
      </w:r>
      <w:r>
        <w:rPr>
          <w:lang w:eastAsia="en-AU"/>
        </w:rPr>
        <w:br/>
        <w:t>Delegate of the Auditor General for Western Australia</w:t>
      </w:r>
      <w:r>
        <w:rPr>
          <w:lang w:eastAsia="en-AU"/>
        </w:rPr>
        <w:br/>
        <w:t>Perth, Western Australia</w:t>
      </w:r>
      <w:r>
        <w:rPr>
          <w:lang w:eastAsia="en-AU"/>
        </w:rPr>
        <w:br/>
        <w:t>28 August 2015</w:t>
      </w:r>
    </w:p>
    <w:p w14:paraId="7F60F760" w14:textId="77777777" w:rsidR="002476D1" w:rsidRDefault="002476D1">
      <w:pPr>
        <w:keepLines w:val="0"/>
        <w:spacing w:after="0" w:line="240" w:lineRule="auto"/>
        <w:rPr>
          <w:lang w:eastAsia="en-AU"/>
        </w:rPr>
      </w:pPr>
      <w:r>
        <w:rPr>
          <w:lang w:eastAsia="en-AU"/>
        </w:rPr>
        <w:br w:type="page"/>
      </w:r>
    </w:p>
    <w:p w14:paraId="45FF275E" w14:textId="77777777" w:rsidR="002476D1" w:rsidRDefault="002476D1" w:rsidP="002476D1">
      <w:pPr>
        <w:pStyle w:val="Heading1nonumber"/>
        <w:rPr>
          <w:color w:val="000000"/>
        </w:rPr>
      </w:pPr>
      <w:bookmarkStart w:id="671" w:name="_Toc430091349"/>
      <w:r>
        <w:rPr>
          <w:spacing w:val="-12"/>
        </w:rPr>
        <w:lastRenderedPageBreak/>
        <w:t>S</w:t>
      </w:r>
      <w:r>
        <w:t>t</w:t>
      </w:r>
      <w:r>
        <w:rPr>
          <w:spacing w:val="-6"/>
        </w:rPr>
        <w:t>a</w:t>
      </w:r>
      <w:r>
        <w:t>te</w:t>
      </w:r>
      <w:r>
        <w:rPr>
          <w:spacing w:val="-8"/>
        </w:rPr>
        <w:t>m</w:t>
      </w:r>
      <w:r>
        <w:rPr>
          <w:spacing w:val="-10"/>
        </w:rPr>
        <w:t>e</w:t>
      </w:r>
      <w:r>
        <w:rPr>
          <w:spacing w:val="-8"/>
        </w:rPr>
        <w:t>n</w:t>
      </w:r>
      <w:r>
        <w:t>t</w:t>
      </w:r>
      <w:r>
        <w:rPr>
          <w:spacing w:val="-18"/>
        </w:rPr>
        <w:t xml:space="preserve"> </w:t>
      </w:r>
      <w:r>
        <w:rPr>
          <w:spacing w:val="-6"/>
        </w:rPr>
        <w:t>o</w:t>
      </w:r>
      <w:r>
        <w:t>f</w:t>
      </w:r>
      <w:r>
        <w:rPr>
          <w:spacing w:val="-18"/>
        </w:rPr>
        <w:t xml:space="preserve"> </w:t>
      </w:r>
      <w:r>
        <w:rPr>
          <w:spacing w:val="-14"/>
        </w:rPr>
        <w:t>C</w:t>
      </w:r>
      <w:r>
        <w:t>o</w:t>
      </w:r>
      <w:r>
        <w:rPr>
          <w:spacing w:val="-7"/>
        </w:rPr>
        <w:t>m</w:t>
      </w:r>
      <w:r>
        <w:rPr>
          <w:spacing w:val="-3"/>
        </w:rPr>
        <w:t>p</w:t>
      </w:r>
      <w:r>
        <w:rPr>
          <w:spacing w:val="-15"/>
        </w:rPr>
        <w:t>r</w:t>
      </w:r>
      <w:r>
        <w:rPr>
          <w:spacing w:val="-10"/>
        </w:rPr>
        <w:t>e</w:t>
      </w:r>
      <w:r>
        <w:rPr>
          <w:spacing w:val="-8"/>
        </w:rPr>
        <w:t>h</w:t>
      </w:r>
      <w:r>
        <w:rPr>
          <w:spacing w:val="-10"/>
        </w:rPr>
        <w:t>e</w:t>
      </w:r>
      <w:r>
        <w:rPr>
          <w:spacing w:val="-8"/>
        </w:rPr>
        <w:t>n</w:t>
      </w:r>
      <w:r>
        <w:rPr>
          <w:spacing w:val="-6"/>
        </w:rPr>
        <w:t>s</w:t>
      </w:r>
      <w:r>
        <w:rPr>
          <w:spacing w:val="-7"/>
        </w:rPr>
        <w:t>i</w:t>
      </w:r>
      <w:r>
        <w:rPr>
          <w:spacing w:val="-19"/>
        </w:rPr>
        <w:t>v</w:t>
      </w:r>
      <w:r>
        <w:t>e</w:t>
      </w:r>
      <w:r>
        <w:rPr>
          <w:spacing w:val="-18"/>
        </w:rPr>
        <w:t xml:space="preserve"> </w:t>
      </w:r>
      <w:r>
        <w:rPr>
          <w:spacing w:val="-6"/>
        </w:rPr>
        <w:t>I</w:t>
      </w:r>
      <w:r>
        <w:t>n</w:t>
      </w:r>
      <w:r>
        <w:rPr>
          <w:spacing w:val="-19"/>
        </w:rPr>
        <w:t>c</w:t>
      </w:r>
      <w:r>
        <w:t>o</w:t>
      </w:r>
      <w:r>
        <w:rPr>
          <w:spacing w:val="-8"/>
        </w:rPr>
        <w:t>m</w:t>
      </w:r>
      <w:r>
        <w:t>e</w:t>
      </w:r>
      <w:bookmarkEnd w:id="671"/>
    </w:p>
    <w:p w14:paraId="689626F9" w14:textId="77777777" w:rsidR="002476D1" w:rsidRDefault="002476D1" w:rsidP="002476D1">
      <w:pPr>
        <w:pStyle w:val="Heading2nonumber"/>
        <w:rPr>
          <w:color w:val="000000"/>
        </w:rPr>
      </w:pPr>
      <w:bookmarkStart w:id="672" w:name="_Toc430091350"/>
      <w:r>
        <w:rPr>
          <w:spacing w:val="-8"/>
        </w:rPr>
        <w:t>F</w:t>
      </w:r>
      <w:r>
        <w:rPr>
          <w:spacing w:val="-3"/>
        </w:rPr>
        <w:t>o</w:t>
      </w:r>
      <w:r>
        <w:t>r</w:t>
      </w:r>
      <w:r>
        <w:rPr>
          <w:spacing w:val="-15"/>
        </w:rPr>
        <w:t xml:space="preserve"> </w:t>
      </w:r>
      <w:r>
        <w:rPr>
          <w:spacing w:val="-5"/>
        </w:rPr>
        <w:t>t</w:t>
      </w:r>
      <w:r>
        <w:rPr>
          <w:spacing w:val="-6"/>
        </w:rPr>
        <w:t>h</w:t>
      </w:r>
      <w:r>
        <w:t>e</w:t>
      </w:r>
      <w:r>
        <w:rPr>
          <w:spacing w:val="-15"/>
        </w:rPr>
        <w:t xml:space="preserve"> y</w:t>
      </w:r>
      <w:r>
        <w:rPr>
          <w:spacing w:val="-7"/>
        </w:rPr>
        <w:t>e</w:t>
      </w:r>
      <w:r>
        <w:rPr>
          <w:spacing w:val="-2"/>
        </w:rPr>
        <w:t>a</w:t>
      </w:r>
      <w:r>
        <w:t>r</w:t>
      </w:r>
      <w:r>
        <w:rPr>
          <w:spacing w:val="-15"/>
        </w:rPr>
        <w:t xml:space="preserve"> </w:t>
      </w:r>
      <w:r>
        <w:rPr>
          <w:spacing w:val="-7"/>
        </w:rPr>
        <w:t>e</w:t>
      </w:r>
      <w:r>
        <w:rPr>
          <w:spacing w:val="-6"/>
        </w:rPr>
        <w:t>n</w:t>
      </w:r>
      <w:r>
        <w:rPr>
          <w:spacing w:val="-7"/>
        </w:rPr>
        <w:t>de</w:t>
      </w:r>
      <w:r>
        <w:t>d</w:t>
      </w:r>
      <w:r>
        <w:rPr>
          <w:spacing w:val="-15"/>
        </w:rPr>
        <w:t xml:space="preserve"> </w:t>
      </w:r>
      <w:r>
        <w:t>30</w:t>
      </w:r>
      <w:r>
        <w:rPr>
          <w:spacing w:val="-14"/>
        </w:rPr>
        <w:t xml:space="preserve"> </w:t>
      </w:r>
      <w:r>
        <w:rPr>
          <w:spacing w:val="-8"/>
        </w:rPr>
        <w:t>J</w:t>
      </w:r>
      <w:r>
        <w:rPr>
          <w:spacing w:val="-7"/>
        </w:rPr>
        <w:t>u</w:t>
      </w:r>
      <w:r>
        <w:rPr>
          <w:spacing w:val="-6"/>
        </w:rPr>
        <w:t>n</w:t>
      </w:r>
      <w:r>
        <w:t>e</w:t>
      </w:r>
      <w:r>
        <w:rPr>
          <w:spacing w:val="-16"/>
        </w:rPr>
        <w:t xml:space="preserve"> </w:t>
      </w:r>
      <w:r>
        <w:rPr>
          <w:spacing w:val="-1"/>
        </w:rPr>
        <w:t>2</w:t>
      </w:r>
      <w:r>
        <w:rPr>
          <w:spacing w:val="-14"/>
        </w:rPr>
        <w:t>0</w:t>
      </w:r>
      <w:r>
        <w:rPr>
          <w:spacing w:val="-22"/>
        </w:rPr>
        <w:t>1</w:t>
      </w:r>
      <w:r>
        <w:t>5</w:t>
      </w:r>
      <w:bookmarkEnd w:id="672"/>
    </w:p>
    <w:tbl>
      <w:tblPr>
        <w:tblW w:w="0" w:type="auto"/>
        <w:tblLayout w:type="fixed"/>
        <w:tblCellMar>
          <w:left w:w="0" w:type="dxa"/>
          <w:right w:w="0" w:type="dxa"/>
        </w:tblCellMar>
        <w:tblLook w:val="0000" w:firstRow="0" w:lastRow="0" w:firstColumn="0" w:lastColumn="0" w:noHBand="0" w:noVBand="0"/>
      </w:tblPr>
      <w:tblGrid>
        <w:gridCol w:w="5149"/>
        <w:gridCol w:w="947"/>
        <w:gridCol w:w="1134"/>
        <w:gridCol w:w="1275"/>
      </w:tblGrid>
      <w:tr w:rsidR="00F83126" w:rsidRPr="00F83126" w14:paraId="1C77F7F6" w14:textId="77777777" w:rsidTr="005C5D72">
        <w:trPr>
          <w:trHeight w:hRule="exact" w:val="403"/>
        </w:trPr>
        <w:tc>
          <w:tcPr>
            <w:tcW w:w="5149" w:type="dxa"/>
          </w:tcPr>
          <w:p w14:paraId="67385B43" w14:textId="77777777" w:rsidR="00F83126" w:rsidRPr="00F83126" w:rsidRDefault="00F83126" w:rsidP="00F83126">
            <w:pPr>
              <w:spacing w:after="0"/>
              <w:rPr>
                <w:rFonts w:cs="Arial"/>
              </w:rPr>
            </w:pPr>
          </w:p>
        </w:tc>
        <w:tc>
          <w:tcPr>
            <w:tcW w:w="947" w:type="dxa"/>
          </w:tcPr>
          <w:p w14:paraId="7811FDBE" w14:textId="4170622C" w:rsidR="00F83126" w:rsidRPr="00F83126" w:rsidRDefault="00F83126" w:rsidP="00953DE9">
            <w:pPr>
              <w:spacing w:after="0"/>
              <w:jc w:val="right"/>
            </w:pPr>
            <w:r>
              <w:t>Note</w:t>
            </w:r>
          </w:p>
        </w:tc>
        <w:tc>
          <w:tcPr>
            <w:tcW w:w="1134" w:type="dxa"/>
          </w:tcPr>
          <w:p w14:paraId="65404B25" w14:textId="0F73089B" w:rsidR="00F83126" w:rsidRPr="00F83126" w:rsidRDefault="00F83126" w:rsidP="00953DE9">
            <w:pPr>
              <w:spacing w:after="0"/>
              <w:jc w:val="right"/>
            </w:pPr>
            <w:r>
              <w:t>2015</w:t>
            </w:r>
          </w:p>
        </w:tc>
        <w:tc>
          <w:tcPr>
            <w:tcW w:w="1275" w:type="dxa"/>
          </w:tcPr>
          <w:p w14:paraId="6E8FC4A6" w14:textId="4B1DD4E3" w:rsidR="00F83126" w:rsidRPr="00F83126" w:rsidRDefault="00F83126" w:rsidP="00953DE9">
            <w:pPr>
              <w:spacing w:after="0"/>
              <w:jc w:val="right"/>
            </w:pPr>
            <w:r>
              <w:t>2014</w:t>
            </w:r>
          </w:p>
        </w:tc>
      </w:tr>
      <w:tr w:rsidR="00F83126" w:rsidRPr="00F83126" w14:paraId="0898B4F8" w14:textId="77777777" w:rsidTr="005C5D72">
        <w:trPr>
          <w:trHeight w:hRule="exact" w:val="990"/>
        </w:trPr>
        <w:tc>
          <w:tcPr>
            <w:tcW w:w="5149" w:type="dxa"/>
          </w:tcPr>
          <w:p w14:paraId="167D6907" w14:textId="77777777" w:rsidR="00F83126" w:rsidRPr="00F83126" w:rsidRDefault="00F83126" w:rsidP="00F83126">
            <w:pPr>
              <w:spacing w:after="0"/>
              <w:rPr>
                <w:rFonts w:cs="Arial"/>
              </w:rPr>
            </w:pPr>
          </w:p>
          <w:p w14:paraId="2F8089D4" w14:textId="77777777" w:rsidR="00953DE9" w:rsidRPr="00DA1E18" w:rsidRDefault="00F83126" w:rsidP="00953DE9">
            <w:pPr>
              <w:spacing w:after="0"/>
              <w:rPr>
                <w:rStyle w:val="Strong"/>
              </w:rPr>
            </w:pPr>
            <w:r w:rsidRPr="00DA1E18">
              <w:rPr>
                <w:rStyle w:val="Strong"/>
              </w:rPr>
              <w:t>Income</w:t>
            </w:r>
          </w:p>
          <w:p w14:paraId="595F98E7" w14:textId="01777F47" w:rsidR="00953DE9" w:rsidRPr="00DA1E18" w:rsidRDefault="00953DE9" w:rsidP="00953DE9">
            <w:pPr>
              <w:spacing w:after="0"/>
              <w:rPr>
                <w:rStyle w:val="Emphasis"/>
              </w:rPr>
            </w:pPr>
            <w:r w:rsidRPr="00DA1E18">
              <w:rPr>
                <w:rStyle w:val="Emphasis"/>
              </w:rPr>
              <w:t>Revenue</w:t>
            </w:r>
          </w:p>
          <w:p w14:paraId="6432EF35" w14:textId="77777777" w:rsidR="00F83126" w:rsidRPr="00F83126" w:rsidRDefault="00F83126" w:rsidP="00F83126">
            <w:pPr>
              <w:spacing w:after="0"/>
              <w:rPr>
                <w:rFonts w:cs="Arial"/>
              </w:rPr>
            </w:pPr>
          </w:p>
        </w:tc>
        <w:tc>
          <w:tcPr>
            <w:tcW w:w="947" w:type="dxa"/>
          </w:tcPr>
          <w:p w14:paraId="110FB0E7" w14:textId="77777777" w:rsidR="00F83126" w:rsidRPr="00F83126" w:rsidRDefault="00F83126" w:rsidP="00953DE9">
            <w:pPr>
              <w:spacing w:after="0"/>
              <w:jc w:val="right"/>
            </w:pPr>
          </w:p>
        </w:tc>
        <w:tc>
          <w:tcPr>
            <w:tcW w:w="1134" w:type="dxa"/>
          </w:tcPr>
          <w:p w14:paraId="22024FEF" w14:textId="77777777" w:rsidR="00F83126" w:rsidRPr="00F83126" w:rsidRDefault="00F83126" w:rsidP="00953DE9">
            <w:pPr>
              <w:spacing w:after="0"/>
              <w:jc w:val="right"/>
            </w:pPr>
            <w:r w:rsidRPr="00F83126">
              <w:t>$000</w:t>
            </w:r>
          </w:p>
        </w:tc>
        <w:tc>
          <w:tcPr>
            <w:tcW w:w="1275" w:type="dxa"/>
          </w:tcPr>
          <w:p w14:paraId="4DC13846" w14:textId="77777777" w:rsidR="00F83126" w:rsidRPr="00F83126" w:rsidRDefault="00F83126" w:rsidP="00953DE9">
            <w:pPr>
              <w:spacing w:after="0"/>
              <w:jc w:val="right"/>
            </w:pPr>
            <w:r w:rsidRPr="00F83126">
              <w:t>$000</w:t>
            </w:r>
          </w:p>
        </w:tc>
      </w:tr>
      <w:tr w:rsidR="00F83126" w:rsidRPr="00F83126" w14:paraId="32D0BFA8" w14:textId="77777777" w:rsidTr="005C5D72">
        <w:trPr>
          <w:trHeight w:hRule="exact" w:val="848"/>
        </w:trPr>
        <w:tc>
          <w:tcPr>
            <w:tcW w:w="5149" w:type="dxa"/>
          </w:tcPr>
          <w:p w14:paraId="3C32FBB6" w14:textId="77777777" w:rsidR="00F83126" w:rsidRDefault="00F83126" w:rsidP="00F83126">
            <w:pPr>
              <w:spacing w:after="0"/>
              <w:rPr>
                <w:rFonts w:cs="Arial"/>
              </w:rPr>
            </w:pPr>
            <w:r w:rsidRPr="00F83126">
              <w:rPr>
                <w:rFonts w:cs="Arial"/>
              </w:rPr>
              <w:t xml:space="preserve">Insurer contributions </w:t>
            </w:r>
          </w:p>
          <w:p w14:paraId="297E8ABE" w14:textId="0AEF4871" w:rsidR="00F83126" w:rsidRPr="00F83126" w:rsidRDefault="00F83126" w:rsidP="00F83126">
            <w:pPr>
              <w:spacing w:after="0"/>
              <w:rPr>
                <w:rFonts w:cs="Arial"/>
              </w:rPr>
            </w:pPr>
            <w:r w:rsidRPr="00F83126">
              <w:rPr>
                <w:rFonts w:cs="Arial"/>
              </w:rPr>
              <w:t>Interest revenue</w:t>
            </w:r>
          </w:p>
        </w:tc>
        <w:tc>
          <w:tcPr>
            <w:tcW w:w="947" w:type="dxa"/>
          </w:tcPr>
          <w:p w14:paraId="18BAC9EE" w14:textId="77777777" w:rsidR="00F83126" w:rsidRDefault="00F83126" w:rsidP="00953DE9">
            <w:pPr>
              <w:spacing w:after="0"/>
              <w:jc w:val="right"/>
            </w:pPr>
          </w:p>
          <w:p w14:paraId="17AEC0DA" w14:textId="77777777" w:rsidR="00F83126" w:rsidRPr="00F83126" w:rsidRDefault="00F83126" w:rsidP="00953DE9">
            <w:pPr>
              <w:spacing w:after="0"/>
              <w:jc w:val="right"/>
            </w:pPr>
            <w:r w:rsidRPr="00F83126">
              <w:t>7</w:t>
            </w:r>
          </w:p>
        </w:tc>
        <w:tc>
          <w:tcPr>
            <w:tcW w:w="1134" w:type="dxa"/>
            <w:shd w:val="clear" w:color="auto" w:fill="F5EDC1" w:themeFill="accent4"/>
          </w:tcPr>
          <w:p w14:paraId="202EAD2C" w14:textId="77777777" w:rsidR="00F83126" w:rsidRDefault="00953DE9" w:rsidP="00953DE9">
            <w:pPr>
              <w:spacing w:after="0"/>
              <w:jc w:val="right"/>
            </w:pPr>
            <w:r>
              <w:t>21,491</w:t>
            </w:r>
          </w:p>
          <w:p w14:paraId="26292198" w14:textId="39B6388B" w:rsidR="00953DE9" w:rsidRPr="00F83126" w:rsidRDefault="00953DE9" w:rsidP="00953DE9">
            <w:pPr>
              <w:spacing w:after="0"/>
              <w:jc w:val="right"/>
            </w:pPr>
            <w:r>
              <w:t>2,763</w:t>
            </w:r>
          </w:p>
        </w:tc>
        <w:tc>
          <w:tcPr>
            <w:tcW w:w="1275" w:type="dxa"/>
            <w:shd w:val="clear" w:color="auto" w:fill="D4E2E0" w:themeFill="accent5"/>
          </w:tcPr>
          <w:p w14:paraId="12FA991E" w14:textId="0B19EED8" w:rsidR="00F83126" w:rsidRDefault="00953DE9" w:rsidP="00953DE9">
            <w:pPr>
              <w:spacing w:after="0"/>
              <w:jc w:val="right"/>
            </w:pPr>
            <w:r>
              <w:t>21,509</w:t>
            </w:r>
          </w:p>
          <w:p w14:paraId="2D7C5862" w14:textId="1EA3F1E2" w:rsidR="00F83126" w:rsidRPr="00F83126" w:rsidRDefault="00953DE9" w:rsidP="00953DE9">
            <w:pPr>
              <w:jc w:val="right"/>
            </w:pPr>
            <w:r>
              <w:t>2,427</w:t>
            </w:r>
          </w:p>
        </w:tc>
      </w:tr>
      <w:tr w:rsidR="00F83126" w:rsidRPr="00F83126" w14:paraId="7D2A1D83" w14:textId="77777777" w:rsidTr="005C5D72">
        <w:trPr>
          <w:trHeight w:hRule="exact" w:val="569"/>
        </w:trPr>
        <w:tc>
          <w:tcPr>
            <w:tcW w:w="5149" w:type="dxa"/>
          </w:tcPr>
          <w:p w14:paraId="0D556CDF" w14:textId="77777777" w:rsidR="00F83126" w:rsidRPr="00F83126" w:rsidRDefault="00F83126" w:rsidP="00F83126">
            <w:pPr>
              <w:spacing w:after="0"/>
              <w:rPr>
                <w:rFonts w:cs="Arial"/>
              </w:rPr>
            </w:pPr>
            <w:r w:rsidRPr="00F83126">
              <w:rPr>
                <w:rFonts w:cs="Arial"/>
              </w:rPr>
              <w:t>Other revenue</w:t>
            </w:r>
          </w:p>
        </w:tc>
        <w:tc>
          <w:tcPr>
            <w:tcW w:w="947" w:type="dxa"/>
          </w:tcPr>
          <w:p w14:paraId="213E5C83" w14:textId="77777777" w:rsidR="00F83126" w:rsidRPr="00F83126" w:rsidRDefault="00F83126" w:rsidP="00953DE9">
            <w:pPr>
              <w:spacing w:after="0"/>
              <w:jc w:val="right"/>
            </w:pPr>
            <w:r w:rsidRPr="00F83126">
              <w:t>8</w:t>
            </w:r>
          </w:p>
        </w:tc>
        <w:tc>
          <w:tcPr>
            <w:tcW w:w="1134" w:type="dxa"/>
            <w:shd w:val="clear" w:color="auto" w:fill="F5EDC1" w:themeFill="accent4"/>
          </w:tcPr>
          <w:p w14:paraId="706FDB96" w14:textId="12832639" w:rsidR="00F83126" w:rsidRPr="00F83126" w:rsidRDefault="00953DE9" w:rsidP="00953DE9">
            <w:pPr>
              <w:spacing w:after="0"/>
              <w:jc w:val="right"/>
            </w:pPr>
            <w:r>
              <w:t>1,104</w:t>
            </w:r>
          </w:p>
        </w:tc>
        <w:tc>
          <w:tcPr>
            <w:tcW w:w="1275" w:type="dxa"/>
            <w:shd w:val="clear" w:color="auto" w:fill="D4E2E0" w:themeFill="accent5"/>
          </w:tcPr>
          <w:p w14:paraId="0E480D12" w14:textId="4C5E183F" w:rsidR="00F83126" w:rsidRPr="00F83126" w:rsidRDefault="00953DE9" w:rsidP="00953DE9">
            <w:pPr>
              <w:spacing w:after="0"/>
              <w:jc w:val="right"/>
            </w:pPr>
            <w:r>
              <w:t>780</w:t>
            </w:r>
          </w:p>
        </w:tc>
      </w:tr>
      <w:tr w:rsidR="00F83126" w:rsidRPr="00F83126" w14:paraId="1CDC6195" w14:textId="77777777" w:rsidTr="005C5D72">
        <w:trPr>
          <w:trHeight w:hRule="exact" w:val="563"/>
        </w:trPr>
        <w:tc>
          <w:tcPr>
            <w:tcW w:w="5149" w:type="dxa"/>
          </w:tcPr>
          <w:p w14:paraId="53BB30B6" w14:textId="77777777" w:rsidR="00F83126" w:rsidRPr="00F83126" w:rsidRDefault="00F83126" w:rsidP="00F83126">
            <w:pPr>
              <w:spacing w:after="0"/>
              <w:rPr>
                <w:rFonts w:cs="Arial"/>
              </w:rPr>
            </w:pPr>
            <w:r w:rsidRPr="00F83126">
              <w:rPr>
                <w:rFonts w:cs="Arial"/>
              </w:rPr>
              <w:t>Employers' Indemnity Supplementation Fund</w:t>
            </w:r>
          </w:p>
        </w:tc>
        <w:tc>
          <w:tcPr>
            <w:tcW w:w="947" w:type="dxa"/>
          </w:tcPr>
          <w:p w14:paraId="4F489533" w14:textId="77777777" w:rsidR="00F83126" w:rsidRPr="00F83126" w:rsidRDefault="00F83126" w:rsidP="00953DE9">
            <w:pPr>
              <w:spacing w:after="0"/>
              <w:jc w:val="right"/>
            </w:pPr>
            <w:r w:rsidRPr="00F83126">
              <w:t>9</w:t>
            </w:r>
          </w:p>
        </w:tc>
        <w:tc>
          <w:tcPr>
            <w:tcW w:w="1134" w:type="dxa"/>
            <w:shd w:val="clear" w:color="auto" w:fill="F5EDC1" w:themeFill="accent4"/>
          </w:tcPr>
          <w:p w14:paraId="2E90B2A0" w14:textId="50D503ED" w:rsidR="00F83126" w:rsidRPr="00F83126" w:rsidRDefault="00953DE9" w:rsidP="00953DE9">
            <w:pPr>
              <w:spacing w:after="0"/>
              <w:jc w:val="right"/>
            </w:pPr>
            <w:r>
              <w:t>9,496</w:t>
            </w:r>
          </w:p>
        </w:tc>
        <w:tc>
          <w:tcPr>
            <w:tcW w:w="1275" w:type="dxa"/>
            <w:shd w:val="clear" w:color="auto" w:fill="D4E2E0" w:themeFill="accent5"/>
          </w:tcPr>
          <w:p w14:paraId="00216996" w14:textId="1704692D" w:rsidR="00F83126" w:rsidRPr="00F83126" w:rsidRDefault="00953DE9" w:rsidP="00953DE9">
            <w:pPr>
              <w:spacing w:after="0"/>
              <w:jc w:val="right"/>
            </w:pPr>
            <w:r>
              <w:t>10,005</w:t>
            </w:r>
          </w:p>
        </w:tc>
      </w:tr>
      <w:tr w:rsidR="00F83126" w:rsidRPr="00F83126" w14:paraId="5DF40249" w14:textId="77777777" w:rsidTr="005C5D72">
        <w:trPr>
          <w:trHeight w:hRule="exact" w:val="271"/>
        </w:trPr>
        <w:tc>
          <w:tcPr>
            <w:tcW w:w="5149" w:type="dxa"/>
          </w:tcPr>
          <w:p w14:paraId="4D984C8C" w14:textId="77777777" w:rsidR="00F83126" w:rsidRPr="00DA1E18" w:rsidRDefault="00F83126" w:rsidP="00F83126">
            <w:pPr>
              <w:spacing w:after="0"/>
              <w:rPr>
                <w:rStyle w:val="Strong"/>
              </w:rPr>
            </w:pPr>
            <w:r w:rsidRPr="00DA1E18">
              <w:rPr>
                <w:rStyle w:val="Strong"/>
              </w:rPr>
              <w:t>Total Revenue</w:t>
            </w:r>
          </w:p>
        </w:tc>
        <w:tc>
          <w:tcPr>
            <w:tcW w:w="947" w:type="dxa"/>
          </w:tcPr>
          <w:p w14:paraId="66BD80A8" w14:textId="77777777" w:rsidR="00F83126" w:rsidRPr="00F83126" w:rsidRDefault="00F83126" w:rsidP="00953DE9">
            <w:pPr>
              <w:spacing w:after="0"/>
              <w:jc w:val="right"/>
            </w:pPr>
          </w:p>
        </w:tc>
        <w:tc>
          <w:tcPr>
            <w:tcW w:w="1134" w:type="dxa"/>
            <w:tcBorders>
              <w:bottom w:val="single" w:sz="4" w:space="0" w:color="auto"/>
            </w:tcBorders>
            <w:shd w:val="clear" w:color="auto" w:fill="F5EDC1" w:themeFill="accent4"/>
          </w:tcPr>
          <w:p w14:paraId="0EFD9928" w14:textId="1F43A12A" w:rsidR="00F83126" w:rsidRPr="00F83126" w:rsidRDefault="00953DE9" w:rsidP="00953DE9">
            <w:pPr>
              <w:spacing w:after="0"/>
              <w:jc w:val="right"/>
            </w:pPr>
            <w:r>
              <w:t>34,854</w:t>
            </w:r>
          </w:p>
        </w:tc>
        <w:tc>
          <w:tcPr>
            <w:tcW w:w="1275" w:type="dxa"/>
            <w:tcBorders>
              <w:bottom w:val="single" w:sz="4" w:space="0" w:color="auto"/>
            </w:tcBorders>
            <w:shd w:val="clear" w:color="auto" w:fill="D4E2E0" w:themeFill="accent5"/>
          </w:tcPr>
          <w:p w14:paraId="31E94B21" w14:textId="008A9C7B" w:rsidR="00F83126" w:rsidRPr="00F83126" w:rsidRDefault="00953DE9" w:rsidP="00953DE9">
            <w:pPr>
              <w:spacing w:after="0"/>
              <w:jc w:val="right"/>
            </w:pPr>
            <w:r>
              <w:t>34,721</w:t>
            </w:r>
          </w:p>
        </w:tc>
      </w:tr>
      <w:tr w:rsidR="00F83126" w:rsidRPr="00F83126" w14:paraId="55F252EE" w14:textId="77777777" w:rsidTr="005C5D72">
        <w:trPr>
          <w:trHeight w:hRule="exact" w:val="860"/>
        </w:trPr>
        <w:tc>
          <w:tcPr>
            <w:tcW w:w="5149" w:type="dxa"/>
          </w:tcPr>
          <w:p w14:paraId="7508876D" w14:textId="77777777" w:rsidR="00F83126" w:rsidRPr="00DA1E18" w:rsidRDefault="00F83126" w:rsidP="00F83126">
            <w:pPr>
              <w:spacing w:after="0"/>
              <w:rPr>
                <w:rStyle w:val="Emphasis"/>
              </w:rPr>
            </w:pPr>
            <w:r w:rsidRPr="00DA1E18">
              <w:rPr>
                <w:rStyle w:val="Emphasis"/>
              </w:rPr>
              <w:t>Gains</w:t>
            </w:r>
          </w:p>
          <w:p w14:paraId="634069CA" w14:textId="77777777" w:rsidR="00F83126" w:rsidRPr="00F83126" w:rsidRDefault="00F83126" w:rsidP="00F83126">
            <w:pPr>
              <w:spacing w:after="0"/>
              <w:rPr>
                <w:rFonts w:cs="Arial"/>
              </w:rPr>
            </w:pPr>
            <w:r w:rsidRPr="00F83126">
              <w:rPr>
                <w:rFonts w:cs="Arial"/>
              </w:rPr>
              <w:t>Decrease in claims liability</w:t>
            </w:r>
          </w:p>
        </w:tc>
        <w:tc>
          <w:tcPr>
            <w:tcW w:w="947" w:type="dxa"/>
          </w:tcPr>
          <w:p w14:paraId="39275AB3" w14:textId="77777777" w:rsidR="00F83126" w:rsidRPr="00F83126" w:rsidRDefault="00F83126" w:rsidP="00953DE9">
            <w:pPr>
              <w:spacing w:after="0"/>
              <w:jc w:val="right"/>
            </w:pPr>
          </w:p>
          <w:p w14:paraId="35CF6995" w14:textId="77777777" w:rsidR="00F83126" w:rsidRPr="00F83126" w:rsidRDefault="00F83126" w:rsidP="00953DE9">
            <w:pPr>
              <w:spacing w:after="0"/>
              <w:jc w:val="right"/>
            </w:pPr>
            <w:r w:rsidRPr="00F83126">
              <w:t>27,30</w:t>
            </w:r>
          </w:p>
        </w:tc>
        <w:tc>
          <w:tcPr>
            <w:tcW w:w="1134" w:type="dxa"/>
            <w:tcBorders>
              <w:top w:val="single" w:sz="4" w:space="0" w:color="auto"/>
            </w:tcBorders>
            <w:shd w:val="clear" w:color="auto" w:fill="F5EDC1" w:themeFill="accent4"/>
          </w:tcPr>
          <w:p w14:paraId="3B6041B4" w14:textId="77777777" w:rsidR="00953DE9" w:rsidRDefault="00953DE9" w:rsidP="00953DE9">
            <w:pPr>
              <w:spacing w:after="0"/>
              <w:jc w:val="right"/>
            </w:pPr>
          </w:p>
          <w:p w14:paraId="711249D3" w14:textId="76C57A58" w:rsidR="00F83126" w:rsidRPr="00F83126" w:rsidRDefault="00953DE9" w:rsidP="00953DE9">
            <w:pPr>
              <w:spacing w:after="0"/>
              <w:jc w:val="right"/>
            </w:pPr>
            <w:r>
              <w:t>4,425</w:t>
            </w:r>
          </w:p>
        </w:tc>
        <w:tc>
          <w:tcPr>
            <w:tcW w:w="1275" w:type="dxa"/>
            <w:tcBorders>
              <w:top w:val="single" w:sz="4" w:space="0" w:color="auto"/>
            </w:tcBorders>
            <w:shd w:val="clear" w:color="auto" w:fill="D4E2E0" w:themeFill="accent5"/>
          </w:tcPr>
          <w:p w14:paraId="64DC1183" w14:textId="77777777" w:rsidR="00953DE9" w:rsidRDefault="00953DE9" w:rsidP="00953DE9">
            <w:pPr>
              <w:spacing w:after="0"/>
              <w:jc w:val="right"/>
            </w:pPr>
          </w:p>
          <w:p w14:paraId="65A7158B" w14:textId="10F367A6" w:rsidR="00F83126" w:rsidRPr="00F83126" w:rsidRDefault="00953DE9" w:rsidP="00953DE9">
            <w:pPr>
              <w:spacing w:after="0"/>
              <w:jc w:val="right"/>
            </w:pPr>
            <w:r>
              <w:t>-</w:t>
            </w:r>
          </w:p>
        </w:tc>
      </w:tr>
      <w:tr w:rsidR="00F83126" w:rsidRPr="00F83126" w14:paraId="36931B22" w14:textId="77777777" w:rsidTr="005C5D72">
        <w:trPr>
          <w:trHeight w:hRule="exact" w:val="401"/>
        </w:trPr>
        <w:tc>
          <w:tcPr>
            <w:tcW w:w="5149" w:type="dxa"/>
          </w:tcPr>
          <w:p w14:paraId="4C6461B5" w14:textId="77777777" w:rsidR="00F83126" w:rsidRPr="00F83126" w:rsidRDefault="00F83126" w:rsidP="00F83126">
            <w:pPr>
              <w:spacing w:after="0"/>
              <w:rPr>
                <w:rFonts w:cs="Arial"/>
              </w:rPr>
            </w:pPr>
            <w:r w:rsidRPr="00F83126">
              <w:rPr>
                <w:rFonts w:cs="Arial"/>
              </w:rPr>
              <w:t>Total Gains</w:t>
            </w:r>
          </w:p>
        </w:tc>
        <w:tc>
          <w:tcPr>
            <w:tcW w:w="947" w:type="dxa"/>
          </w:tcPr>
          <w:p w14:paraId="42053026" w14:textId="77777777" w:rsidR="00F83126" w:rsidRPr="00F83126" w:rsidRDefault="00F83126" w:rsidP="00953DE9">
            <w:pPr>
              <w:spacing w:after="0"/>
              <w:jc w:val="right"/>
            </w:pPr>
          </w:p>
        </w:tc>
        <w:tc>
          <w:tcPr>
            <w:tcW w:w="1134" w:type="dxa"/>
            <w:tcBorders>
              <w:bottom w:val="single" w:sz="4" w:space="0" w:color="auto"/>
            </w:tcBorders>
            <w:shd w:val="clear" w:color="auto" w:fill="F5EDC1" w:themeFill="accent4"/>
          </w:tcPr>
          <w:p w14:paraId="5C150203" w14:textId="6998AFFF" w:rsidR="00F83126" w:rsidRPr="00DA1E18" w:rsidRDefault="00953DE9" w:rsidP="00953DE9">
            <w:pPr>
              <w:spacing w:after="0"/>
              <w:jc w:val="right"/>
              <w:rPr>
                <w:rStyle w:val="Strong"/>
              </w:rPr>
            </w:pPr>
            <w:r w:rsidRPr="00DA1E18">
              <w:rPr>
                <w:rStyle w:val="Strong"/>
              </w:rPr>
              <w:t>4,425</w:t>
            </w:r>
          </w:p>
        </w:tc>
        <w:tc>
          <w:tcPr>
            <w:tcW w:w="1275" w:type="dxa"/>
            <w:tcBorders>
              <w:bottom w:val="single" w:sz="4" w:space="0" w:color="auto"/>
            </w:tcBorders>
            <w:shd w:val="clear" w:color="auto" w:fill="D4E2E0" w:themeFill="accent5"/>
          </w:tcPr>
          <w:p w14:paraId="2CFB0F9F" w14:textId="21A4A893" w:rsidR="00F83126" w:rsidRPr="00F83126" w:rsidRDefault="00953DE9" w:rsidP="00953DE9">
            <w:pPr>
              <w:spacing w:after="0"/>
              <w:jc w:val="right"/>
            </w:pPr>
            <w:r>
              <w:t>-</w:t>
            </w:r>
          </w:p>
        </w:tc>
      </w:tr>
      <w:tr w:rsidR="00F83126" w:rsidRPr="00F83126" w14:paraId="0D052769" w14:textId="77777777" w:rsidTr="005C5D72">
        <w:trPr>
          <w:trHeight w:hRule="exact" w:val="445"/>
        </w:trPr>
        <w:tc>
          <w:tcPr>
            <w:tcW w:w="5149" w:type="dxa"/>
          </w:tcPr>
          <w:p w14:paraId="4484AF0F" w14:textId="77777777" w:rsidR="00F83126" w:rsidRPr="00DA1E18" w:rsidRDefault="00F83126" w:rsidP="00F83126">
            <w:pPr>
              <w:spacing w:after="0"/>
              <w:rPr>
                <w:rStyle w:val="Strong"/>
              </w:rPr>
            </w:pPr>
            <w:r w:rsidRPr="00DA1E18">
              <w:rPr>
                <w:rStyle w:val="Strong"/>
              </w:rPr>
              <w:t>Total Income</w:t>
            </w:r>
          </w:p>
        </w:tc>
        <w:tc>
          <w:tcPr>
            <w:tcW w:w="947" w:type="dxa"/>
          </w:tcPr>
          <w:p w14:paraId="313CA5C5" w14:textId="77777777" w:rsidR="00F83126" w:rsidRPr="00F83126" w:rsidRDefault="00F83126" w:rsidP="00953DE9">
            <w:pPr>
              <w:spacing w:after="0"/>
              <w:jc w:val="right"/>
            </w:pPr>
          </w:p>
        </w:tc>
        <w:tc>
          <w:tcPr>
            <w:tcW w:w="1134" w:type="dxa"/>
            <w:tcBorders>
              <w:top w:val="single" w:sz="4" w:space="0" w:color="auto"/>
              <w:bottom w:val="single" w:sz="4" w:space="0" w:color="auto"/>
            </w:tcBorders>
            <w:shd w:val="clear" w:color="auto" w:fill="F5EDC1" w:themeFill="accent4"/>
          </w:tcPr>
          <w:p w14:paraId="7EB04FCD" w14:textId="44E3C833" w:rsidR="00F83126" w:rsidRPr="00DA1E18" w:rsidRDefault="00953DE9" w:rsidP="00953DE9">
            <w:pPr>
              <w:spacing w:after="0"/>
              <w:jc w:val="right"/>
              <w:rPr>
                <w:rStyle w:val="Strong"/>
              </w:rPr>
            </w:pPr>
            <w:r w:rsidRPr="00DA1E18">
              <w:rPr>
                <w:rStyle w:val="Strong"/>
              </w:rPr>
              <w:t>39,279</w:t>
            </w:r>
          </w:p>
        </w:tc>
        <w:tc>
          <w:tcPr>
            <w:tcW w:w="1275" w:type="dxa"/>
            <w:tcBorders>
              <w:top w:val="single" w:sz="4" w:space="0" w:color="auto"/>
              <w:bottom w:val="single" w:sz="4" w:space="0" w:color="auto"/>
            </w:tcBorders>
            <w:shd w:val="clear" w:color="auto" w:fill="D4E2E0" w:themeFill="accent5"/>
          </w:tcPr>
          <w:p w14:paraId="4CF2787D" w14:textId="71841A3A" w:rsidR="00F83126" w:rsidRPr="00DA1E18" w:rsidRDefault="00953DE9" w:rsidP="00953DE9">
            <w:pPr>
              <w:spacing w:after="0"/>
              <w:jc w:val="right"/>
              <w:rPr>
                <w:rStyle w:val="Strong"/>
              </w:rPr>
            </w:pPr>
            <w:r w:rsidRPr="00DA1E18">
              <w:rPr>
                <w:rStyle w:val="Strong"/>
              </w:rPr>
              <w:t>34,721</w:t>
            </w:r>
          </w:p>
        </w:tc>
      </w:tr>
      <w:tr w:rsidR="00F83126" w:rsidRPr="00F83126" w14:paraId="57EBF736" w14:textId="77777777" w:rsidTr="005C5D72">
        <w:trPr>
          <w:trHeight w:hRule="exact" w:val="1115"/>
        </w:trPr>
        <w:tc>
          <w:tcPr>
            <w:tcW w:w="5149" w:type="dxa"/>
          </w:tcPr>
          <w:p w14:paraId="19C58C03" w14:textId="77777777" w:rsidR="00F83126" w:rsidRPr="00F83126" w:rsidRDefault="00F83126" w:rsidP="00F83126">
            <w:pPr>
              <w:spacing w:after="0"/>
              <w:rPr>
                <w:rFonts w:cs="Arial"/>
              </w:rPr>
            </w:pPr>
            <w:r w:rsidRPr="00F83126">
              <w:rPr>
                <w:rFonts w:cs="Arial"/>
                <w:b/>
                <w:bCs/>
              </w:rPr>
              <w:t>Expenses</w:t>
            </w:r>
          </w:p>
          <w:p w14:paraId="4A9910A7" w14:textId="77777777" w:rsidR="00F83126" w:rsidRPr="00DA1E18" w:rsidRDefault="00F83126" w:rsidP="00F83126">
            <w:pPr>
              <w:spacing w:after="0"/>
              <w:rPr>
                <w:rStyle w:val="Emphasis"/>
              </w:rPr>
            </w:pPr>
            <w:r w:rsidRPr="00DA1E18">
              <w:rPr>
                <w:rStyle w:val="Emphasis"/>
              </w:rPr>
              <w:t>Expenses</w:t>
            </w:r>
          </w:p>
          <w:p w14:paraId="6D20AE08" w14:textId="77777777" w:rsidR="00F83126" w:rsidRPr="00F83126" w:rsidRDefault="00F83126" w:rsidP="00F83126">
            <w:pPr>
              <w:spacing w:after="0"/>
              <w:rPr>
                <w:rFonts w:cs="Arial"/>
              </w:rPr>
            </w:pPr>
            <w:r w:rsidRPr="00F83126">
              <w:rPr>
                <w:rFonts w:cs="Arial"/>
              </w:rPr>
              <w:t>Employee benefits expense</w:t>
            </w:r>
          </w:p>
        </w:tc>
        <w:tc>
          <w:tcPr>
            <w:tcW w:w="947" w:type="dxa"/>
          </w:tcPr>
          <w:p w14:paraId="19C1612B" w14:textId="77777777" w:rsidR="00F83126" w:rsidRPr="00F83126" w:rsidRDefault="00F83126" w:rsidP="00953DE9">
            <w:pPr>
              <w:spacing w:after="0"/>
              <w:jc w:val="right"/>
            </w:pPr>
          </w:p>
          <w:p w14:paraId="2AB976A1" w14:textId="77777777" w:rsidR="00F83126" w:rsidRPr="00F83126" w:rsidRDefault="00F83126" w:rsidP="00953DE9">
            <w:pPr>
              <w:spacing w:after="0"/>
              <w:jc w:val="right"/>
            </w:pPr>
          </w:p>
          <w:p w14:paraId="2808C752" w14:textId="77777777" w:rsidR="00F83126" w:rsidRPr="00F83126" w:rsidRDefault="00F83126" w:rsidP="00953DE9">
            <w:pPr>
              <w:spacing w:after="0"/>
              <w:jc w:val="right"/>
            </w:pPr>
            <w:r w:rsidRPr="00F83126">
              <w:t>12</w:t>
            </w:r>
          </w:p>
        </w:tc>
        <w:tc>
          <w:tcPr>
            <w:tcW w:w="1134" w:type="dxa"/>
            <w:tcBorders>
              <w:top w:val="single" w:sz="4" w:space="0" w:color="auto"/>
            </w:tcBorders>
            <w:shd w:val="clear" w:color="auto" w:fill="F5EDC1" w:themeFill="accent4"/>
          </w:tcPr>
          <w:p w14:paraId="73EF0AC5" w14:textId="77777777" w:rsidR="00F83126" w:rsidRDefault="00F83126" w:rsidP="00953DE9">
            <w:pPr>
              <w:spacing w:after="0"/>
              <w:jc w:val="right"/>
            </w:pPr>
          </w:p>
          <w:p w14:paraId="3CEAAAAA" w14:textId="77777777" w:rsidR="00953DE9" w:rsidRDefault="00953DE9" w:rsidP="00953DE9">
            <w:pPr>
              <w:spacing w:after="0"/>
            </w:pPr>
          </w:p>
          <w:p w14:paraId="73D35D8B" w14:textId="11A20989" w:rsidR="00953DE9" w:rsidRPr="00F83126" w:rsidRDefault="00953DE9" w:rsidP="00953DE9">
            <w:pPr>
              <w:spacing w:after="0"/>
              <w:jc w:val="right"/>
            </w:pPr>
            <w:r>
              <w:t>13,959</w:t>
            </w:r>
          </w:p>
        </w:tc>
        <w:tc>
          <w:tcPr>
            <w:tcW w:w="1275" w:type="dxa"/>
            <w:tcBorders>
              <w:top w:val="single" w:sz="4" w:space="0" w:color="auto"/>
            </w:tcBorders>
            <w:shd w:val="clear" w:color="auto" w:fill="D4E2E0" w:themeFill="accent5"/>
          </w:tcPr>
          <w:p w14:paraId="10549514" w14:textId="77777777" w:rsidR="00F83126" w:rsidRDefault="00F83126" w:rsidP="00953DE9">
            <w:pPr>
              <w:spacing w:after="0"/>
              <w:jc w:val="right"/>
            </w:pPr>
          </w:p>
          <w:p w14:paraId="3553BEF2" w14:textId="77777777" w:rsidR="00953DE9" w:rsidRDefault="00953DE9" w:rsidP="00953DE9">
            <w:pPr>
              <w:spacing w:after="0"/>
            </w:pPr>
          </w:p>
          <w:p w14:paraId="0EB885A6" w14:textId="68D10D33" w:rsidR="00953DE9" w:rsidRPr="00F83126" w:rsidRDefault="00953DE9" w:rsidP="00953DE9">
            <w:pPr>
              <w:spacing w:after="0"/>
              <w:jc w:val="right"/>
            </w:pPr>
            <w:r>
              <w:t>14,052</w:t>
            </w:r>
          </w:p>
        </w:tc>
      </w:tr>
      <w:tr w:rsidR="00F83126" w:rsidRPr="00F83126" w14:paraId="58F5ED38" w14:textId="77777777" w:rsidTr="005C5D72">
        <w:trPr>
          <w:trHeight w:hRule="exact" w:val="566"/>
        </w:trPr>
        <w:tc>
          <w:tcPr>
            <w:tcW w:w="5149" w:type="dxa"/>
          </w:tcPr>
          <w:p w14:paraId="1277BE84" w14:textId="77777777" w:rsidR="00F83126" w:rsidRPr="00F83126" w:rsidRDefault="00F83126" w:rsidP="00F83126">
            <w:pPr>
              <w:spacing w:after="0"/>
              <w:rPr>
                <w:rFonts w:cs="Arial"/>
              </w:rPr>
            </w:pPr>
            <w:r w:rsidRPr="00F83126">
              <w:rPr>
                <w:rFonts w:cs="Arial"/>
              </w:rPr>
              <w:t>Supplies and services</w:t>
            </w:r>
          </w:p>
        </w:tc>
        <w:tc>
          <w:tcPr>
            <w:tcW w:w="947" w:type="dxa"/>
          </w:tcPr>
          <w:p w14:paraId="16D49703" w14:textId="77777777" w:rsidR="00F83126" w:rsidRPr="00F83126" w:rsidRDefault="00F83126" w:rsidP="00953DE9">
            <w:pPr>
              <w:spacing w:after="0"/>
              <w:jc w:val="right"/>
            </w:pPr>
            <w:r w:rsidRPr="00F83126">
              <w:t>13</w:t>
            </w:r>
          </w:p>
        </w:tc>
        <w:tc>
          <w:tcPr>
            <w:tcW w:w="1134" w:type="dxa"/>
            <w:shd w:val="clear" w:color="auto" w:fill="F5EDC1" w:themeFill="accent4"/>
          </w:tcPr>
          <w:p w14:paraId="74B20562" w14:textId="00CF9A5D" w:rsidR="00F83126" w:rsidRPr="00F83126" w:rsidRDefault="00F60FCB" w:rsidP="00953DE9">
            <w:pPr>
              <w:spacing w:after="0"/>
              <w:jc w:val="right"/>
            </w:pPr>
            <w:r>
              <w:t>3,315</w:t>
            </w:r>
          </w:p>
        </w:tc>
        <w:tc>
          <w:tcPr>
            <w:tcW w:w="1275" w:type="dxa"/>
            <w:shd w:val="clear" w:color="auto" w:fill="D4E2E0" w:themeFill="accent5"/>
          </w:tcPr>
          <w:p w14:paraId="6C8582C0" w14:textId="37618920" w:rsidR="00F83126" w:rsidRPr="00F83126" w:rsidRDefault="00F60FCB" w:rsidP="00953DE9">
            <w:pPr>
              <w:spacing w:after="0"/>
              <w:jc w:val="right"/>
            </w:pPr>
            <w:r>
              <w:t>2,908</w:t>
            </w:r>
          </w:p>
        </w:tc>
      </w:tr>
      <w:tr w:rsidR="00F83126" w:rsidRPr="00F83126" w14:paraId="1FAC9AA8" w14:textId="77777777" w:rsidTr="005C5D72">
        <w:trPr>
          <w:trHeight w:hRule="exact" w:val="561"/>
        </w:trPr>
        <w:tc>
          <w:tcPr>
            <w:tcW w:w="5149" w:type="dxa"/>
          </w:tcPr>
          <w:p w14:paraId="6D9A65B7" w14:textId="77777777" w:rsidR="00F83126" w:rsidRPr="00F83126" w:rsidRDefault="00F83126" w:rsidP="00F83126">
            <w:pPr>
              <w:spacing w:after="0"/>
              <w:rPr>
                <w:rFonts w:cs="Arial"/>
              </w:rPr>
            </w:pPr>
            <w:r w:rsidRPr="00F83126">
              <w:rPr>
                <w:rFonts w:cs="Arial"/>
              </w:rPr>
              <w:t>Depreciation and amortisation expense</w:t>
            </w:r>
          </w:p>
        </w:tc>
        <w:tc>
          <w:tcPr>
            <w:tcW w:w="947" w:type="dxa"/>
          </w:tcPr>
          <w:p w14:paraId="573D1EA8" w14:textId="77777777" w:rsidR="00F83126" w:rsidRPr="00F83126" w:rsidRDefault="00F83126" w:rsidP="00953DE9">
            <w:pPr>
              <w:spacing w:after="0"/>
              <w:jc w:val="right"/>
            </w:pPr>
            <w:r w:rsidRPr="00F83126">
              <w:t>14</w:t>
            </w:r>
          </w:p>
        </w:tc>
        <w:tc>
          <w:tcPr>
            <w:tcW w:w="1134" w:type="dxa"/>
            <w:shd w:val="clear" w:color="auto" w:fill="F5EDC1" w:themeFill="accent4"/>
          </w:tcPr>
          <w:p w14:paraId="5ECDF290" w14:textId="33D651F7" w:rsidR="00F83126" w:rsidRPr="00F83126" w:rsidRDefault="00F60FCB" w:rsidP="00953DE9">
            <w:pPr>
              <w:spacing w:after="0"/>
              <w:jc w:val="right"/>
            </w:pPr>
            <w:r>
              <w:t>1,058</w:t>
            </w:r>
          </w:p>
        </w:tc>
        <w:tc>
          <w:tcPr>
            <w:tcW w:w="1275" w:type="dxa"/>
            <w:shd w:val="clear" w:color="auto" w:fill="D4E2E0" w:themeFill="accent5"/>
          </w:tcPr>
          <w:p w14:paraId="1DDF6EDB" w14:textId="40133EA8" w:rsidR="00F83126" w:rsidRPr="00F83126" w:rsidRDefault="00F60FCB" w:rsidP="00953DE9">
            <w:pPr>
              <w:spacing w:after="0"/>
              <w:jc w:val="right"/>
            </w:pPr>
            <w:r>
              <w:t>884</w:t>
            </w:r>
          </w:p>
        </w:tc>
      </w:tr>
      <w:tr w:rsidR="00F83126" w:rsidRPr="00F83126" w14:paraId="1C14C2EF" w14:textId="77777777" w:rsidTr="005C5D72">
        <w:trPr>
          <w:trHeight w:hRule="exact" w:val="569"/>
        </w:trPr>
        <w:tc>
          <w:tcPr>
            <w:tcW w:w="5149" w:type="dxa"/>
          </w:tcPr>
          <w:p w14:paraId="3BB5E35E" w14:textId="77777777" w:rsidR="00F83126" w:rsidRPr="00F83126" w:rsidRDefault="00F83126" w:rsidP="00F83126">
            <w:pPr>
              <w:spacing w:after="0"/>
              <w:rPr>
                <w:rFonts w:cs="Arial"/>
              </w:rPr>
            </w:pPr>
            <w:r w:rsidRPr="00F83126">
              <w:rPr>
                <w:rFonts w:cs="Arial"/>
              </w:rPr>
              <w:t>Accommodation   expenses</w:t>
            </w:r>
          </w:p>
        </w:tc>
        <w:tc>
          <w:tcPr>
            <w:tcW w:w="947" w:type="dxa"/>
          </w:tcPr>
          <w:p w14:paraId="4BE059CD" w14:textId="77777777" w:rsidR="00F83126" w:rsidRPr="00F83126" w:rsidRDefault="00F83126" w:rsidP="00953DE9">
            <w:pPr>
              <w:spacing w:after="0"/>
              <w:jc w:val="right"/>
            </w:pPr>
            <w:r w:rsidRPr="00F83126">
              <w:t>15</w:t>
            </w:r>
          </w:p>
        </w:tc>
        <w:tc>
          <w:tcPr>
            <w:tcW w:w="1134" w:type="dxa"/>
            <w:shd w:val="clear" w:color="auto" w:fill="F5EDC1" w:themeFill="accent4"/>
          </w:tcPr>
          <w:p w14:paraId="78E1E057" w14:textId="3D578946" w:rsidR="00F83126" w:rsidRPr="00F83126" w:rsidRDefault="00F60FCB" w:rsidP="00953DE9">
            <w:pPr>
              <w:spacing w:after="0"/>
              <w:jc w:val="right"/>
            </w:pPr>
            <w:r>
              <w:t>674</w:t>
            </w:r>
          </w:p>
        </w:tc>
        <w:tc>
          <w:tcPr>
            <w:tcW w:w="1275" w:type="dxa"/>
            <w:shd w:val="clear" w:color="auto" w:fill="D4E2E0" w:themeFill="accent5"/>
          </w:tcPr>
          <w:p w14:paraId="0C6865C4" w14:textId="623A1EE4" w:rsidR="00F83126" w:rsidRPr="00F83126" w:rsidRDefault="00F60FCB" w:rsidP="00953DE9">
            <w:pPr>
              <w:spacing w:after="0"/>
              <w:jc w:val="right"/>
            </w:pPr>
            <w:r>
              <w:t>587</w:t>
            </w:r>
          </w:p>
        </w:tc>
      </w:tr>
      <w:tr w:rsidR="00F83126" w:rsidRPr="00F83126" w14:paraId="768E4819" w14:textId="77777777" w:rsidTr="005C5D72">
        <w:trPr>
          <w:trHeight w:hRule="exact" w:val="562"/>
        </w:trPr>
        <w:tc>
          <w:tcPr>
            <w:tcW w:w="5149" w:type="dxa"/>
          </w:tcPr>
          <w:p w14:paraId="6386FD2D" w14:textId="77777777" w:rsidR="00F83126" w:rsidRPr="00F83126" w:rsidRDefault="00F83126" w:rsidP="00F83126">
            <w:pPr>
              <w:spacing w:after="0"/>
              <w:rPr>
                <w:rFonts w:cs="Arial"/>
              </w:rPr>
            </w:pPr>
            <w:r w:rsidRPr="00F83126">
              <w:rPr>
                <w:rFonts w:cs="Arial"/>
              </w:rPr>
              <w:t>Claims expense</w:t>
            </w:r>
          </w:p>
        </w:tc>
        <w:tc>
          <w:tcPr>
            <w:tcW w:w="947" w:type="dxa"/>
          </w:tcPr>
          <w:p w14:paraId="4CAB8395" w14:textId="77777777" w:rsidR="00F83126" w:rsidRPr="00F83126" w:rsidRDefault="00F83126" w:rsidP="00953DE9">
            <w:pPr>
              <w:spacing w:after="0"/>
              <w:jc w:val="right"/>
            </w:pPr>
            <w:r w:rsidRPr="00F83126">
              <w:t>10</w:t>
            </w:r>
          </w:p>
        </w:tc>
        <w:tc>
          <w:tcPr>
            <w:tcW w:w="1134" w:type="dxa"/>
            <w:shd w:val="clear" w:color="auto" w:fill="F5EDC1" w:themeFill="accent4"/>
          </w:tcPr>
          <w:p w14:paraId="6AE3DBF8" w14:textId="6ABFF036" w:rsidR="00F83126" w:rsidRPr="00F83126" w:rsidRDefault="00F60FCB" w:rsidP="00953DE9">
            <w:pPr>
              <w:spacing w:after="0"/>
              <w:jc w:val="right"/>
            </w:pPr>
            <w:r>
              <w:t>1,263</w:t>
            </w:r>
          </w:p>
        </w:tc>
        <w:tc>
          <w:tcPr>
            <w:tcW w:w="1275" w:type="dxa"/>
            <w:shd w:val="clear" w:color="auto" w:fill="D4E2E0" w:themeFill="accent5"/>
          </w:tcPr>
          <w:p w14:paraId="427AA810" w14:textId="606F2A39" w:rsidR="00F83126" w:rsidRPr="00F83126" w:rsidRDefault="00F60FCB" w:rsidP="00953DE9">
            <w:pPr>
              <w:spacing w:after="0"/>
              <w:jc w:val="right"/>
            </w:pPr>
            <w:r>
              <w:t>7,840</w:t>
            </w:r>
          </w:p>
        </w:tc>
      </w:tr>
      <w:tr w:rsidR="00F83126" w:rsidRPr="00F83126" w14:paraId="689A800C" w14:textId="77777777" w:rsidTr="005C5D72">
        <w:trPr>
          <w:trHeight w:hRule="exact" w:val="557"/>
        </w:trPr>
        <w:tc>
          <w:tcPr>
            <w:tcW w:w="5149" w:type="dxa"/>
          </w:tcPr>
          <w:p w14:paraId="4B70E290" w14:textId="77777777" w:rsidR="00F83126" w:rsidRPr="00F83126" w:rsidRDefault="00F83126" w:rsidP="00F83126">
            <w:pPr>
              <w:spacing w:after="0"/>
              <w:rPr>
                <w:rFonts w:cs="Arial"/>
              </w:rPr>
            </w:pPr>
            <w:r w:rsidRPr="00F83126">
              <w:rPr>
                <w:rFonts w:cs="Arial"/>
              </w:rPr>
              <w:t>Loss on disposal of non-current assets</w:t>
            </w:r>
          </w:p>
        </w:tc>
        <w:tc>
          <w:tcPr>
            <w:tcW w:w="947" w:type="dxa"/>
          </w:tcPr>
          <w:p w14:paraId="44B09557" w14:textId="77777777" w:rsidR="00F83126" w:rsidRPr="00F83126" w:rsidRDefault="00F83126" w:rsidP="00953DE9">
            <w:pPr>
              <w:spacing w:after="0"/>
              <w:jc w:val="right"/>
            </w:pPr>
            <w:r w:rsidRPr="00F83126">
              <w:t>11</w:t>
            </w:r>
          </w:p>
        </w:tc>
        <w:tc>
          <w:tcPr>
            <w:tcW w:w="1134" w:type="dxa"/>
            <w:shd w:val="clear" w:color="auto" w:fill="F5EDC1" w:themeFill="accent4"/>
          </w:tcPr>
          <w:p w14:paraId="455DFB14" w14:textId="23B3A80C" w:rsidR="00F83126" w:rsidRPr="00F83126" w:rsidRDefault="00F60FCB" w:rsidP="00953DE9">
            <w:pPr>
              <w:spacing w:after="0"/>
              <w:jc w:val="right"/>
            </w:pPr>
            <w:r>
              <w:t>12</w:t>
            </w:r>
          </w:p>
        </w:tc>
        <w:tc>
          <w:tcPr>
            <w:tcW w:w="1275" w:type="dxa"/>
            <w:shd w:val="clear" w:color="auto" w:fill="D4E2E0" w:themeFill="accent5"/>
          </w:tcPr>
          <w:p w14:paraId="41760B40" w14:textId="3E4297F2" w:rsidR="00F83126" w:rsidRPr="00F83126" w:rsidRDefault="00F60FCB" w:rsidP="00953DE9">
            <w:pPr>
              <w:spacing w:after="0"/>
              <w:jc w:val="right"/>
            </w:pPr>
            <w:r>
              <w:t>30</w:t>
            </w:r>
          </w:p>
        </w:tc>
      </w:tr>
      <w:tr w:rsidR="00F83126" w:rsidRPr="00F83126" w14:paraId="625E495E" w14:textId="77777777" w:rsidTr="005C5D72">
        <w:trPr>
          <w:trHeight w:hRule="exact" w:val="581"/>
        </w:trPr>
        <w:tc>
          <w:tcPr>
            <w:tcW w:w="5149" w:type="dxa"/>
          </w:tcPr>
          <w:p w14:paraId="0A2F387C" w14:textId="77777777" w:rsidR="00F83126" w:rsidRPr="00F83126" w:rsidRDefault="00F83126" w:rsidP="00F83126">
            <w:pPr>
              <w:spacing w:after="0"/>
              <w:rPr>
                <w:rFonts w:cs="Arial"/>
              </w:rPr>
            </w:pPr>
            <w:r w:rsidRPr="00F83126">
              <w:rPr>
                <w:rFonts w:cs="Arial"/>
              </w:rPr>
              <w:t>Other expenses</w:t>
            </w:r>
          </w:p>
        </w:tc>
        <w:tc>
          <w:tcPr>
            <w:tcW w:w="947" w:type="dxa"/>
          </w:tcPr>
          <w:p w14:paraId="5096A4A5" w14:textId="77777777" w:rsidR="00F83126" w:rsidRPr="00F83126" w:rsidRDefault="00F83126" w:rsidP="00953DE9">
            <w:pPr>
              <w:spacing w:after="0"/>
              <w:jc w:val="right"/>
            </w:pPr>
            <w:r w:rsidRPr="00F83126">
              <w:t>16</w:t>
            </w:r>
          </w:p>
        </w:tc>
        <w:tc>
          <w:tcPr>
            <w:tcW w:w="1134" w:type="dxa"/>
            <w:shd w:val="clear" w:color="auto" w:fill="F5EDC1" w:themeFill="accent4"/>
          </w:tcPr>
          <w:p w14:paraId="3E371F3D" w14:textId="1BCBF29D" w:rsidR="00F83126" w:rsidRPr="00F83126" w:rsidRDefault="00F60FCB" w:rsidP="00953DE9">
            <w:pPr>
              <w:spacing w:after="0"/>
              <w:jc w:val="right"/>
            </w:pPr>
            <w:r>
              <w:t>1,285</w:t>
            </w:r>
          </w:p>
        </w:tc>
        <w:tc>
          <w:tcPr>
            <w:tcW w:w="1275" w:type="dxa"/>
            <w:shd w:val="clear" w:color="auto" w:fill="D4E2E0" w:themeFill="accent5"/>
          </w:tcPr>
          <w:p w14:paraId="63B64412" w14:textId="7A272063" w:rsidR="00F83126" w:rsidRPr="00F83126" w:rsidRDefault="00F60FCB" w:rsidP="00953DE9">
            <w:pPr>
              <w:spacing w:after="0"/>
              <w:jc w:val="right"/>
            </w:pPr>
            <w:r>
              <w:t>1,486</w:t>
            </w:r>
          </w:p>
        </w:tc>
      </w:tr>
      <w:tr w:rsidR="00F83126" w:rsidRPr="00F83126" w14:paraId="78C22793" w14:textId="77777777" w:rsidTr="005C5D72">
        <w:trPr>
          <w:trHeight w:hRule="exact" w:val="292"/>
        </w:trPr>
        <w:tc>
          <w:tcPr>
            <w:tcW w:w="5149" w:type="dxa"/>
          </w:tcPr>
          <w:p w14:paraId="56318B64" w14:textId="77777777" w:rsidR="00F83126" w:rsidRPr="00DA1E18" w:rsidRDefault="00F83126" w:rsidP="00F83126">
            <w:pPr>
              <w:spacing w:after="0"/>
              <w:rPr>
                <w:rStyle w:val="Strong"/>
              </w:rPr>
            </w:pPr>
            <w:r w:rsidRPr="00DA1E18">
              <w:rPr>
                <w:rStyle w:val="Strong"/>
              </w:rPr>
              <w:t>Total Expenses</w:t>
            </w:r>
          </w:p>
        </w:tc>
        <w:tc>
          <w:tcPr>
            <w:tcW w:w="947" w:type="dxa"/>
          </w:tcPr>
          <w:p w14:paraId="45BD58EA" w14:textId="77777777" w:rsidR="00F83126" w:rsidRPr="00DA1E18" w:rsidRDefault="00F83126" w:rsidP="00953DE9">
            <w:pPr>
              <w:spacing w:after="0"/>
              <w:jc w:val="right"/>
              <w:rPr>
                <w:rStyle w:val="Strong"/>
              </w:rPr>
            </w:pPr>
          </w:p>
        </w:tc>
        <w:tc>
          <w:tcPr>
            <w:tcW w:w="1134" w:type="dxa"/>
            <w:tcBorders>
              <w:bottom w:val="single" w:sz="4" w:space="0" w:color="auto"/>
            </w:tcBorders>
            <w:shd w:val="clear" w:color="auto" w:fill="F5EDC1" w:themeFill="accent4"/>
          </w:tcPr>
          <w:p w14:paraId="0C08DDD5" w14:textId="4A126E60" w:rsidR="00F83126" w:rsidRPr="00DA1E18" w:rsidRDefault="00F60FCB" w:rsidP="00953DE9">
            <w:pPr>
              <w:spacing w:after="0"/>
              <w:jc w:val="right"/>
              <w:rPr>
                <w:rStyle w:val="Strong"/>
              </w:rPr>
            </w:pPr>
            <w:r w:rsidRPr="00DA1E18">
              <w:rPr>
                <w:rStyle w:val="Strong"/>
              </w:rPr>
              <w:t>21,566</w:t>
            </w:r>
          </w:p>
        </w:tc>
        <w:tc>
          <w:tcPr>
            <w:tcW w:w="1275" w:type="dxa"/>
            <w:tcBorders>
              <w:bottom w:val="single" w:sz="4" w:space="0" w:color="auto"/>
            </w:tcBorders>
            <w:shd w:val="clear" w:color="auto" w:fill="D4E2E0" w:themeFill="accent5"/>
          </w:tcPr>
          <w:p w14:paraId="4B32D92B" w14:textId="40212ED1" w:rsidR="00F83126" w:rsidRPr="00DA1E18" w:rsidRDefault="00F60FCB" w:rsidP="00953DE9">
            <w:pPr>
              <w:spacing w:after="0"/>
              <w:jc w:val="right"/>
              <w:rPr>
                <w:rStyle w:val="Strong"/>
              </w:rPr>
            </w:pPr>
            <w:r w:rsidRPr="00DA1E18">
              <w:rPr>
                <w:rStyle w:val="Strong"/>
              </w:rPr>
              <w:t>27,787</w:t>
            </w:r>
          </w:p>
        </w:tc>
      </w:tr>
      <w:tr w:rsidR="00F83126" w:rsidRPr="00F83126" w14:paraId="205DCE90" w14:textId="77777777" w:rsidTr="005C5D72">
        <w:trPr>
          <w:trHeight w:hRule="exact" w:val="986"/>
        </w:trPr>
        <w:tc>
          <w:tcPr>
            <w:tcW w:w="5149" w:type="dxa"/>
          </w:tcPr>
          <w:p w14:paraId="2F646C91" w14:textId="77777777" w:rsidR="005C5D72" w:rsidRDefault="005C5D72" w:rsidP="00F83126">
            <w:pPr>
              <w:spacing w:after="0"/>
              <w:rPr>
                <w:rFonts w:cs="Arial"/>
              </w:rPr>
            </w:pPr>
          </w:p>
          <w:p w14:paraId="4B753441" w14:textId="77777777" w:rsidR="00F83126" w:rsidRPr="00F83126" w:rsidRDefault="00F83126" w:rsidP="00F83126">
            <w:pPr>
              <w:spacing w:after="0"/>
              <w:rPr>
                <w:rFonts w:cs="Arial"/>
              </w:rPr>
            </w:pPr>
            <w:r w:rsidRPr="00F83126">
              <w:rPr>
                <w:rFonts w:cs="Arial"/>
              </w:rPr>
              <w:t>Profit before grants and subsidies from State Government</w:t>
            </w:r>
          </w:p>
        </w:tc>
        <w:tc>
          <w:tcPr>
            <w:tcW w:w="947" w:type="dxa"/>
          </w:tcPr>
          <w:p w14:paraId="6A627335" w14:textId="77777777" w:rsidR="00F83126" w:rsidRPr="00F83126" w:rsidRDefault="00F83126" w:rsidP="00953DE9">
            <w:pPr>
              <w:spacing w:after="0"/>
              <w:jc w:val="right"/>
            </w:pPr>
          </w:p>
        </w:tc>
        <w:tc>
          <w:tcPr>
            <w:tcW w:w="1134" w:type="dxa"/>
            <w:tcBorders>
              <w:top w:val="single" w:sz="4" w:space="0" w:color="auto"/>
            </w:tcBorders>
            <w:shd w:val="clear" w:color="auto" w:fill="F5EDC1" w:themeFill="accent4"/>
          </w:tcPr>
          <w:p w14:paraId="3AA5C401" w14:textId="77777777" w:rsidR="005C5D72" w:rsidRDefault="005C5D72" w:rsidP="00953DE9">
            <w:pPr>
              <w:spacing w:after="0"/>
              <w:jc w:val="right"/>
            </w:pPr>
          </w:p>
          <w:p w14:paraId="5DEAB109" w14:textId="77777777" w:rsidR="00F83126" w:rsidRPr="00F83126" w:rsidRDefault="00F83126" w:rsidP="00953DE9">
            <w:pPr>
              <w:spacing w:after="0"/>
              <w:jc w:val="right"/>
            </w:pPr>
            <w:r w:rsidRPr="00F83126">
              <w:t>17,713</w:t>
            </w:r>
          </w:p>
        </w:tc>
        <w:tc>
          <w:tcPr>
            <w:tcW w:w="1275" w:type="dxa"/>
            <w:tcBorders>
              <w:top w:val="single" w:sz="4" w:space="0" w:color="auto"/>
            </w:tcBorders>
            <w:shd w:val="clear" w:color="auto" w:fill="D4E2E0" w:themeFill="accent5"/>
          </w:tcPr>
          <w:p w14:paraId="045D1F3A" w14:textId="77777777" w:rsidR="005C5D72" w:rsidRDefault="005C5D72" w:rsidP="00953DE9">
            <w:pPr>
              <w:spacing w:after="0"/>
              <w:jc w:val="right"/>
            </w:pPr>
          </w:p>
          <w:p w14:paraId="0F969EFB" w14:textId="77777777" w:rsidR="00F83126" w:rsidRPr="00F83126" w:rsidRDefault="00F83126" w:rsidP="00953DE9">
            <w:pPr>
              <w:spacing w:after="0"/>
              <w:jc w:val="right"/>
            </w:pPr>
            <w:r w:rsidRPr="00F83126">
              <w:t>6,934</w:t>
            </w:r>
          </w:p>
        </w:tc>
      </w:tr>
      <w:tr w:rsidR="00F83126" w:rsidRPr="00F83126" w14:paraId="6D906A7C" w14:textId="77777777" w:rsidTr="005C5D72">
        <w:trPr>
          <w:trHeight w:hRule="exact" w:val="560"/>
        </w:trPr>
        <w:tc>
          <w:tcPr>
            <w:tcW w:w="5149" w:type="dxa"/>
          </w:tcPr>
          <w:p w14:paraId="49CA39D0" w14:textId="77777777" w:rsidR="00F83126" w:rsidRPr="00F83126" w:rsidRDefault="00F83126" w:rsidP="00F83126">
            <w:pPr>
              <w:spacing w:after="0"/>
              <w:rPr>
                <w:rFonts w:cs="Arial"/>
              </w:rPr>
            </w:pPr>
            <w:r w:rsidRPr="00F83126">
              <w:rPr>
                <w:rFonts w:cs="Arial"/>
              </w:rPr>
              <w:t>Services received free of charge</w:t>
            </w:r>
          </w:p>
        </w:tc>
        <w:tc>
          <w:tcPr>
            <w:tcW w:w="947" w:type="dxa"/>
          </w:tcPr>
          <w:p w14:paraId="6E18AFAF" w14:textId="77777777" w:rsidR="00F83126" w:rsidRPr="00F83126" w:rsidRDefault="00F83126" w:rsidP="00953DE9">
            <w:pPr>
              <w:spacing w:after="0"/>
              <w:jc w:val="right"/>
            </w:pPr>
            <w:r w:rsidRPr="00F83126">
              <w:t>17</w:t>
            </w:r>
          </w:p>
        </w:tc>
        <w:tc>
          <w:tcPr>
            <w:tcW w:w="1134" w:type="dxa"/>
            <w:shd w:val="clear" w:color="auto" w:fill="F5EDC1" w:themeFill="accent4"/>
          </w:tcPr>
          <w:p w14:paraId="4418C595" w14:textId="77777777" w:rsidR="00F83126" w:rsidRPr="00F83126" w:rsidRDefault="00F83126" w:rsidP="00953DE9">
            <w:pPr>
              <w:spacing w:after="0"/>
              <w:jc w:val="right"/>
            </w:pPr>
            <w:r w:rsidRPr="00F83126">
              <w:t>211</w:t>
            </w:r>
          </w:p>
        </w:tc>
        <w:tc>
          <w:tcPr>
            <w:tcW w:w="1275" w:type="dxa"/>
            <w:shd w:val="clear" w:color="auto" w:fill="D4E2E0" w:themeFill="accent5"/>
          </w:tcPr>
          <w:p w14:paraId="0560CC75" w14:textId="77777777" w:rsidR="00F83126" w:rsidRPr="00F83126" w:rsidRDefault="00F83126" w:rsidP="00953DE9">
            <w:pPr>
              <w:spacing w:after="0"/>
              <w:jc w:val="right"/>
            </w:pPr>
            <w:r w:rsidRPr="00F83126">
              <w:t>230</w:t>
            </w:r>
          </w:p>
        </w:tc>
      </w:tr>
      <w:tr w:rsidR="00F83126" w:rsidRPr="00F83126" w14:paraId="322A9A78" w14:textId="77777777" w:rsidTr="005C5D72">
        <w:trPr>
          <w:trHeight w:hRule="exact" w:val="443"/>
        </w:trPr>
        <w:tc>
          <w:tcPr>
            <w:tcW w:w="5149" w:type="dxa"/>
          </w:tcPr>
          <w:p w14:paraId="585209E9" w14:textId="77777777" w:rsidR="00F83126" w:rsidRPr="00DA1E18" w:rsidRDefault="00F83126" w:rsidP="00F83126">
            <w:pPr>
              <w:spacing w:after="0"/>
              <w:rPr>
                <w:rStyle w:val="Strong"/>
              </w:rPr>
            </w:pPr>
            <w:r w:rsidRPr="00DA1E18">
              <w:rPr>
                <w:rStyle w:val="Strong"/>
              </w:rPr>
              <w:t>Profit for the period</w:t>
            </w:r>
          </w:p>
        </w:tc>
        <w:tc>
          <w:tcPr>
            <w:tcW w:w="947" w:type="dxa"/>
          </w:tcPr>
          <w:p w14:paraId="5E531B04" w14:textId="77777777" w:rsidR="00F83126" w:rsidRPr="00DA1E18" w:rsidRDefault="00F83126" w:rsidP="00953DE9">
            <w:pPr>
              <w:spacing w:after="0"/>
              <w:jc w:val="right"/>
              <w:rPr>
                <w:rStyle w:val="Strong"/>
              </w:rPr>
            </w:pPr>
          </w:p>
        </w:tc>
        <w:tc>
          <w:tcPr>
            <w:tcW w:w="1134" w:type="dxa"/>
            <w:tcBorders>
              <w:bottom w:val="single" w:sz="4" w:space="0" w:color="auto"/>
            </w:tcBorders>
            <w:shd w:val="clear" w:color="auto" w:fill="F5EDC1" w:themeFill="accent4"/>
          </w:tcPr>
          <w:p w14:paraId="35404D75" w14:textId="77777777" w:rsidR="00F83126" w:rsidRPr="00DA1E18" w:rsidRDefault="00F83126" w:rsidP="00953DE9">
            <w:pPr>
              <w:spacing w:after="0"/>
              <w:jc w:val="right"/>
              <w:rPr>
                <w:rStyle w:val="Strong"/>
              </w:rPr>
            </w:pPr>
            <w:r w:rsidRPr="00DA1E18">
              <w:rPr>
                <w:rStyle w:val="Strong"/>
              </w:rPr>
              <w:t>17,924</w:t>
            </w:r>
          </w:p>
        </w:tc>
        <w:tc>
          <w:tcPr>
            <w:tcW w:w="1275" w:type="dxa"/>
            <w:tcBorders>
              <w:bottom w:val="single" w:sz="4" w:space="0" w:color="auto"/>
            </w:tcBorders>
            <w:shd w:val="clear" w:color="auto" w:fill="D4E2E0" w:themeFill="accent5"/>
          </w:tcPr>
          <w:p w14:paraId="7EE855A5" w14:textId="77777777" w:rsidR="00F83126" w:rsidRPr="00DA1E18" w:rsidRDefault="00F83126" w:rsidP="00953DE9">
            <w:pPr>
              <w:spacing w:after="0"/>
              <w:jc w:val="right"/>
              <w:rPr>
                <w:rStyle w:val="Strong"/>
              </w:rPr>
            </w:pPr>
            <w:r w:rsidRPr="00DA1E18">
              <w:rPr>
                <w:rStyle w:val="Strong"/>
              </w:rPr>
              <w:t>7,164</w:t>
            </w:r>
          </w:p>
        </w:tc>
      </w:tr>
      <w:tr w:rsidR="00F83126" w:rsidRPr="00F83126" w14:paraId="182EA246" w14:textId="77777777" w:rsidTr="005C5D72">
        <w:trPr>
          <w:trHeight w:hRule="exact" w:val="1154"/>
        </w:trPr>
        <w:tc>
          <w:tcPr>
            <w:tcW w:w="5149" w:type="dxa"/>
          </w:tcPr>
          <w:p w14:paraId="2774CD47" w14:textId="0FA02646" w:rsidR="00F83126" w:rsidRPr="00DA1E18" w:rsidRDefault="00434DE9" w:rsidP="00F83126">
            <w:pPr>
              <w:spacing w:after="0"/>
              <w:rPr>
                <w:rStyle w:val="Strong"/>
              </w:rPr>
            </w:pPr>
            <w:r w:rsidRPr="00DA1E18">
              <w:rPr>
                <w:rStyle w:val="Strong"/>
              </w:rPr>
              <w:lastRenderedPageBreak/>
              <w:t>Other comprehensive i</w:t>
            </w:r>
            <w:r w:rsidR="00F83126" w:rsidRPr="00DA1E18">
              <w:rPr>
                <w:rStyle w:val="Strong"/>
              </w:rPr>
              <w:t>ncome</w:t>
            </w:r>
          </w:p>
          <w:p w14:paraId="18075980" w14:textId="7BB94D32" w:rsidR="00F83126" w:rsidRPr="00DA1E18" w:rsidRDefault="00F83126" w:rsidP="00F83126">
            <w:pPr>
              <w:spacing w:after="0"/>
              <w:rPr>
                <w:rStyle w:val="Emphasis"/>
              </w:rPr>
            </w:pPr>
            <w:r w:rsidRPr="00DA1E18">
              <w:rPr>
                <w:rStyle w:val="Emphasis"/>
              </w:rPr>
              <w:t>Items not reclassified subsequently to profit or loss</w:t>
            </w:r>
          </w:p>
        </w:tc>
        <w:tc>
          <w:tcPr>
            <w:tcW w:w="947" w:type="dxa"/>
          </w:tcPr>
          <w:p w14:paraId="6D014895" w14:textId="77777777" w:rsidR="00F83126" w:rsidRPr="00F83126" w:rsidRDefault="00F83126" w:rsidP="00953DE9">
            <w:pPr>
              <w:spacing w:after="0"/>
              <w:jc w:val="right"/>
            </w:pPr>
          </w:p>
          <w:p w14:paraId="654A6819" w14:textId="77777777" w:rsidR="00F83126" w:rsidRPr="00F83126" w:rsidRDefault="00F83126" w:rsidP="00953DE9">
            <w:pPr>
              <w:spacing w:after="0"/>
              <w:jc w:val="right"/>
            </w:pPr>
          </w:p>
          <w:p w14:paraId="72887D8A" w14:textId="77777777" w:rsidR="00F83126" w:rsidRPr="00F83126" w:rsidRDefault="00F83126" w:rsidP="00953DE9">
            <w:pPr>
              <w:spacing w:after="0"/>
              <w:jc w:val="right"/>
            </w:pPr>
          </w:p>
          <w:p w14:paraId="79451E00" w14:textId="664A5A65" w:rsidR="00F83126" w:rsidRPr="00F83126" w:rsidRDefault="00F83126" w:rsidP="00953DE9">
            <w:pPr>
              <w:spacing w:after="0"/>
              <w:jc w:val="right"/>
            </w:pPr>
          </w:p>
        </w:tc>
        <w:tc>
          <w:tcPr>
            <w:tcW w:w="1134" w:type="dxa"/>
            <w:tcBorders>
              <w:top w:val="single" w:sz="4" w:space="0" w:color="auto"/>
            </w:tcBorders>
            <w:shd w:val="clear" w:color="auto" w:fill="F5EDC1" w:themeFill="accent4"/>
          </w:tcPr>
          <w:p w14:paraId="6B9CE467" w14:textId="77777777" w:rsidR="00F83126" w:rsidRPr="00F83126" w:rsidRDefault="00F83126" w:rsidP="00953DE9">
            <w:pPr>
              <w:spacing w:after="0"/>
              <w:jc w:val="right"/>
            </w:pPr>
          </w:p>
        </w:tc>
        <w:tc>
          <w:tcPr>
            <w:tcW w:w="1275" w:type="dxa"/>
            <w:tcBorders>
              <w:top w:val="single" w:sz="4" w:space="0" w:color="auto"/>
            </w:tcBorders>
            <w:shd w:val="clear" w:color="auto" w:fill="D4E2E0" w:themeFill="accent5"/>
          </w:tcPr>
          <w:p w14:paraId="7CF32DBD" w14:textId="77777777" w:rsidR="00F83126" w:rsidRPr="00F83126" w:rsidRDefault="00F83126" w:rsidP="00953DE9">
            <w:pPr>
              <w:spacing w:after="0"/>
              <w:jc w:val="right"/>
            </w:pPr>
          </w:p>
        </w:tc>
      </w:tr>
      <w:tr w:rsidR="00C65889" w:rsidRPr="00F83126" w14:paraId="1BE6E8A7" w14:textId="77777777" w:rsidTr="005C5D72">
        <w:trPr>
          <w:trHeight w:hRule="exact" w:val="447"/>
        </w:trPr>
        <w:tc>
          <w:tcPr>
            <w:tcW w:w="5149" w:type="dxa"/>
          </w:tcPr>
          <w:p w14:paraId="61E8374F" w14:textId="6CAAE65D" w:rsidR="00C65889" w:rsidRPr="00F83126" w:rsidRDefault="00C65889" w:rsidP="00F83126">
            <w:pPr>
              <w:spacing w:after="0"/>
              <w:rPr>
                <w:rFonts w:cs="Arial"/>
                <w:b/>
                <w:bCs/>
              </w:rPr>
            </w:pPr>
            <w:r w:rsidRPr="00F83126">
              <w:rPr>
                <w:rFonts w:cs="Arial"/>
              </w:rPr>
              <w:t>Remeasurements of defined benefit liability</w:t>
            </w:r>
          </w:p>
        </w:tc>
        <w:tc>
          <w:tcPr>
            <w:tcW w:w="947" w:type="dxa"/>
          </w:tcPr>
          <w:p w14:paraId="249EB894" w14:textId="4D7AD139" w:rsidR="00C65889" w:rsidRPr="00F83126" w:rsidRDefault="00C65889" w:rsidP="00953DE9">
            <w:pPr>
              <w:spacing w:after="0"/>
              <w:jc w:val="right"/>
            </w:pPr>
            <w:r w:rsidRPr="00F83126">
              <w:t>27</w:t>
            </w:r>
          </w:p>
        </w:tc>
        <w:tc>
          <w:tcPr>
            <w:tcW w:w="1134" w:type="dxa"/>
            <w:shd w:val="clear" w:color="auto" w:fill="F5EDC1" w:themeFill="accent4"/>
          </w:tcPr>
          <w:p w14:paraId="781BC84D" w14:textId="0ED38109" w:rsidR="00C65889" w:rsidRPr="00F83126" w:rsidRDefault="00C65889" w:rsidP="00953DE9">
            <w:pPr>
              <w:spacing w:after="0"/>
              <w:jc w:val="right"/>
            </w:pPr>
            <w:r>
              <w:t>(405)</w:t>
            </w:r>
          </w:p>
        </w:tc>
        <w:tc>
          <w:tcPr>
            <w:tcW w:w="1275" w:type="dxa"/>
            <w:shd w:val="clear" w:color="auto" w:fill="D4E2E0" w:themeFill="accent5"/>
          </w:tcPr>
          <w:p w14:paraId="5CE01733" w14:textId="6309F223" w:rsidR="00C65889" w:rsidRPr="00F83126" w:rsidRDefault="00C65889" w:rsidP="00953DE9">
            <w:pPr>
              <w:spacing w:after="0"/>
              <w:jc w:val="right"/>
            </w:pPr>
            <w:r>
              <w:t>(267)</w:t>
            </w:r>
          </w:p>
        </w:tc>
      </w:tr>
      <w:tr w:rsidR="00F83126" w:rsidRPr="00F83126" w14:paraId="477CBFF2" w14:textId="77777777" w:rsidTr="005C5D72">
        <w:trPr>
          <w:trHeight w:hRule="exact" w:val="585"/>
        </w:trPr>
        <w:tc>
          <w:tcPr>
            <w:tcW w:w="5149" w:type="dxa"/>
          </w:tcPr>
          <w:p w14:paraId="50141F96" w14:textId="77777777" w:rsidR="00F83126" w:rsidRPr="00F83126" w:rsidRDefault="00F83126" w:rsidP="00F83126">
            <w:pPr>
              <w:spacing w:after="0"/>
              <w:rPr>
                <w:rFonts w:cs="Arial"/>
              </w:rPr>
            </w:pPr>
            <w:r w:rsidRPr="00F83126">
              <w:rPr>
                <w:rFonts w:cs="Arial"/>
              </w:rPr>
              <w:t>Changes in asset revaluation surplus</w:t>
            </w:r>
          </w:p>
        </w:tc>
        <w:tc>
          <w:tcPr>
            <w:tcW w:w="947" w:type="dxa"/>
          </w:tcPr>
          <w:p w14:paraId="2F0C9443" w14:textId="77777777" w:rsidR="00F83126" w:rsidRPr="00F83126" w:rsidRDefault="00F83126" w:rsidP="00953DE9">
            <w:pPr>
              <w:spacing w:after="0"/>
              <w:jc w:val="right"/>
            </w:pPr>
            <w:r w:rsidRPr="00F83126">
              <w:t>28</w:t>
            </w:r>
          </w:p>
        </w:tc>
        <w:tc>
          <w:tcPr>
            <w:tcW w:w="1134" w:type="dxa"/>
            <w:shd w:val="clear" w:color="auto" w:fill="F5EDC1" w:themeFill="accent4"/>
          </w:tcPr>
          <w:p w14:paraId="10A08EDB" w14:textId="0F9B0794" w:rsidR="00F83126" w:rsidRPr="00F83126" w:rsidRDefault="00C65889" w:rsidP="00953DE9">
            <w:pPr>
              <w:spacing w:after="0"/>
              <w:jc w:val="right"/>
            </w:pPr>
            <w:r>
              <w:t>(2,665)</w:t>
            </w:r>
          </w:p>
        </w:tc>
        <w:tc>
          <w:tcPr>
            <w:tcW w:w="1275" w:type="dxa"/>
            <w:shd w:val="clear" w:color="auto" w:fill="D4E2E0" w:themeFill="accent5"/>
          </w:tcPr>
          <w:p w14:paraId="7A952A17" w14:textId="497E6A98" w:rsidR="00F83126" w:rsidRPr="00F83126" w:rsidRDefault="00C65889" w:rsidP="00953DE9">
            <w:pPr>
              <w:spacing w:after="0"/>
              <w:jc w:val="right"/>
            </w:pPr>
            <w:r>
              <w:t>190</w:t>
            </w:r>
          </w:p>
        </w:tc>
      </w:tr>
      <w:tr w:rsidR="00F83126" w:rsidRPr="00F83126" w14:paraId="2BF2B28A" w14:textId="77777777" w:rsidTr="005C5D72">
        <w:trPr>
          <w:trHeight w:hRule="exact" w:val="565"/>
        </w:trPr>
        <w:tc>
          <w:tcPr>
            <w:tcW w:w="5149" w:type="dxa"/>
          </w:tcPr>
          <w:p w14:paraId="17DC900B" w14:textId="77777777" w:rsidR="00F83126" w:rsidRPr="00F83126" w:rsidRDefault="00F83126" w:rsidP="00F83126">
            <w:pPr>
              <w:spacing w:after="0"/>
              <w:rPr>
                <w:rFonts w:cs="Arial"/>
              </w:rPr>
            </w:pPr>
            <w:r w:rsidRPr="00F83126">
              <w:rPr>
                <w:rFonts w:cs="Arial"/>
              </w:rPr>
              <w:t>Total other comprehensive income</w:t>
            </w:r>
          </w:p>
        </w:tc>
        <w:tc>
          <w:tcPr>
            <w:tcW w:w="947" w:type="dxa"/>
          </w:tcPr>
          <w:p w14:paraId="038EA368" w14:textId="77777777" w:rsidR="00F83126" w:rsidRPr="00F83126" w:rsidRDefault="00F83126" w:rsidP="00953DE9">
            <w:pPr>
              <w:spacing w:after="0"/>
              <w:jc w:val="right"/>
            </w:pPr>
          </w:p>
        </w:tc>
        <w:tc>
          <w:tcPr>
            <w:tcW w:w="1134" w:type="dxa"/>
            <w:tcBorders>
              <w:bottom w:val="single" w:sz="4" w:space="0" w:color="auto"/>
            </w:tcBorders>
            <w:shd w:val="clear" w:color="auto" w:fill="F5EDC1" w:themeFill="accent4"/>
          </w:tcPr>
          <w:p w14:paraId="121F831B" w14:textId="11CC1B0B" w:rsidR="00F83126" w:rsidRPr="00F83126" w:rsidRDefault="00C65889" w:rsidP="00953DE9">
            <w:pPr>
              <w:spacing w:after="0"/>
              <w:jc w:val="right"/>
            </w:pPr>
            <w:r>
              <w:t>(3,070)</w:t>
            </w:r>
          </w:p>
        </w:tc>
        <w:tc>
          <w:tcPr>
            <w:tcW w:w="1275" w:type="dxa"/>
            <w:tcBorders>
              <w:bottom w:val="single" w:sz="4" w:space="0" w:color="auto"/>
            </w:tcBorders>
            <w:shd w:val="clear" w:color="auto" w:fill="D4E2E0" w:themeFill="accent5"/>
          </w:tcPr>
          <w:p w14:paraId="5DF570BC" w14:textId="5E3635F5" w:rsidR="00F83126" w:rsidRPr="00F83126" w:rsidRDefault="00C65889" w:rsidP="00953DE9">
            <w:pPr>
              <w:spacing w:after="0"/>
              <w:jc w:val="right"/>
            </w:pPr>
            <w:r>
              <w:t>(77)</w:t>
            </w:r>
          </w:p>
        </w:tc>
      </w:tr>
      <w:tr w:rsidR="00F83126" w:rsidRPr="00F83126" w14:paraId="666DBBF9" w14:textId="77777777" w:rsidTr="005C5D72">
        <w:trPr>
          <w:trHeight w:hRule="exact" w:val="559"/>
        </w:trPr>
        <w:tc>
          <w:tcPr>
            <w:tcW w:w="5149" w:type="dxa"/>
          </w:tcPr>
          <w:p w14:paraId="18B83499" w14:textId="0F59FC29" w:rsidR="00F83126" w:rsidRPr="00DA1E18" w:rsidRDefault="00434DE9" w:rsidP="00F83126">
            <w:pPr>
              <w:spacing w:after="0"/>
              <w:rPr>
                <w:rStyle w:val="Strong"/>
              </w:rPr>
            </w:pPr>
            <w:r w:rsidRPr="00DA1E18">
              <w:rPr>
                <w:rStyle w:val="Strong"/>
              </w:rPr>
              <w:t>Total comprehensive income for the p</w:t>
            </w:r>
            <w:r w:rsidR="00F83126" w:rsidRPr="00DA1E18">
              <w:rPr>
                <w:rStyle w:val="Strong"/>
              </w:rPr>
              <w:t>eriod</w:t>
            </w:r>
          </w:p>
        </w:tc>
        <w:tc>
          <w:tcPr>
            <w:tcW w:w="947" w:type="dxa"/>
          </w:tcPr>
          <w:p w14:paraId="6DC68A9A" w14:textId="77777777" w:rsidR="00F83126" w:rsidRPr="00DA1E18" w:rsidRDefault="00F83126" w:rsidP="00953DE9">
            <w:pPr>
              <w:spacing w:after="0"/>
              <w:jc w:val="right"/>
              <w:rPr>
                <w:rStyle w:val="Strong"/>
              </w:rPr>
            </w:pPr>
          </w:p>
        </w:tc>
        <w:tc>
          <w:tcPr>
            <w:tcW w:w="1134" w:type="dxa"/>
            <w:tcBorders>
              <w:top w:val="single" w:sz="4" w:space="0" w:color="auto"/>
              <w:bottom w:val="single" w:sz="4" w:space="0" w:color="auto"/>
            </w:tcBorders>
            <w:shd w:val="clear" w:color="auto" w:fill="F5EDC1" w:themeFill="accent4"/>
          </w:tcPr>
          <w:p w14:paraId="74C0188C" w14:textId="60C0E459" w:rsidR="00F83126" w:rsidRPr="00DA1E18" w:rsidRDefault="00C65889" w:rsidP="00953DE9">
            <w:pPr>
              <w:spacing w:after="0"/>
              <w:jc w:val="right"/>
              <w:rPr>
                <w:rStyle w:val="Strong"/>
              </w:rPr>
            </w:pPr>
            <w:r w:rsidRPr="00DA1E18">
              <w:rPr>
                <w:rStyle w:val="Strong"/>
              </w:rPr>
              <w:t>14,854</w:t>
            </w:r>
          </w:p>
        </w:tc>
        <w:tc>
          <w:tcPr>
            <w:tcW w:w="1275" w:type="dxa"/>
            <w:tcBorders>
              <w:top w:val="single" w:sz="4" w:space="0" w:color="auto"/>
              <w:bottom w:val="single" w:sz="4" w:space="0" w:color="auto"/>
            </w:tcBorders>
            <w:shd w:val="clear" w:color="auto" w:fill="D4E2E0" w:themeFill="accent5"/>
          </w:tcPr>
          <w:p w14:paraId="087AB490" w14:textId="63051D32" w:rsidR="00F83126" w:rsidRPr="00DA1E18" w:rsidRDefault="00C65889" w:rsidP="00953DE9">
            <w:pPr>
              <w:spacing w:after="0"/>
              <w:jc w:val="right"/>
              <w:rPr>
                <w:rStyle w:val="Strong"/>
              </w:rPr>
            </w:pPr>
            <w:r w:rsidRPr="00DA1E18">
              <w:rPr>
                <w:rStyle w:val="Strong"/>
              </w:rPr>
              <w:t>7,087</w:t>
            </w:r>
          </w:p>
        </w:tc>
      </w:tr>
    </w:tbl>
    <w:p w14:paraId="570BB928" w14:textId="77777777" w:rsidR="00F83126" w:rsidRDefault="00F83126" w:rsidP="00F83126"/>
    <w:p w14:paraId="0FC50C19" w14:textId="156DDCF2" w:rsidR="00F83126" w:rsidRDefault="00F83126" w:rsidP="005C5D72">
      <w:r w:rsidRPr="00F83126">
        <w:t>See also note 43 ‘Schedule of Income and Expenses by Service’.</w:t>
      </w:r>
    </w:p>
    <w:p w14:paraId="0383A4C7" w14:textId="77777777" w:rsidR="005C5D72" w:rsidRDefault="00F83126" w:rsidP="005C5D72">
      <w:r w:rsidRPr="00F83126">
        <w:t>The Statement of Comprehensive Income should be read in conjunction with the accompanying notes.</w:t>
      </w:r>
    </w:p>
    <w:p w14:paraId="6A21B671" w14:textId="77777777" w:rsidR="007943A8" w:rsidRDefault="007943A8" w:rsidP="007943A8">
      <w:pPr>
        <w:pStyle w:val="Heading1nonumber"/>
        <w:rPr>
          <w:color w:val="000000"/>
        </w:rPr>
      </w:pPr>
      <w:bookmarkStart w:id="673" w:name="_Toc430091351"/>
      <w:r>
        <w:rPr>
          <w:spacing w:val="-12"/>
        </w:rPr>
        <w:t>S</w:t>
      </w:r>
      <w:r>
        <w:t>t</w:t>
      </w:r>
      <w:r>
        <w:rPr>
          <w:spacing w:val="-6"/>
        </w:rPr>
        <w:t>a</w:t>
      </w:r>
      <w:r>
        <w:t>te</w:t>
      </w:r>
      <w:r>
        <w:rPr>
          <w:spacing w:val="-8"/>
        </w:rPr>
        <w:t>m</w:t>
      </w:r>
      <w:r>
        <w:rPr>
          <w:spacing w:val="-10"/>
        </w:rPr>
        <w:t>e</w:t>
      </w:r>
      <w:r>
        <w:rPr>
          <w:spacing w:val="-8"/>
        </w:rPr>
        <w:t>n</w:t>
      </w:r>
      <w:r>
        <w:t>t</w:t>
      </w:r>
      <w:r>
        <w:rPr>
          <w:spacing w:val="-18"/>
        </w:rPr>
        <w:t xml:space="preserve"> </w:t>
      </w:r>
      <w:r>
        <w:rPr>
          <w:spacing w:val="-6"/>
        </w:rPr>
        <w:t>o</w:t>
      </w:r>
      <w:r>
        <w:t>f</w:t>
      </w:r>
      <w:r>
        <w:rPr>
          <w:spacing w:val="-18"/>
        </w:rPr>
        <w:t xml:space="preserve"> </w:t>
      </w:r>
      <w:r>
        <w:t>Financial</w:t>
      </w:r>
      <w:r>
        <w:rPr>
          <w:spacing w:val="-18"/>
        </w:rPr>
        <w:t xml:space="preserve"> </w:t>
      </w:r>
      <w:r>
        <w:t>Position</w:t>
      </w:r>
      <w:bookmarkEnd w:id="673"/>
    </w:p>
    <w:p w14:paraId="2A610A08" w14:textId="77777777" w:rsidR="007943A8" w:rsidRDefault="007943A8" w:rsidP="007943A8">
      <w:pPr>
        <w:pStyle w:val="Heading2nonumber"/>
        <w:rPr>
          <w:color w:val="000000"/>
        </w:rPr>
      </w:pPr>
      <w:bookmarkStart w:id="674" w:name="_Toc430091352"/>
      <w:r>
        <w:rPr>
          <w:spacing w:val="-8"/>
        </w:rPr>
        <w:t>F</w:t>
      </w:r>
      <w:r>
        <w:rPr>
          <w:spacing w:val="-3"/>
        </w:rPr>
        <w:t>o</w:t>
      </w:r>
      <w:r>
        <w:t>r</w:t>
      </w:r>
      <w:r>
        <w:rPr>
          <w:spacing w:val="-15"/>
        </w:rPr>
        <w:t xml:space="preserve"> </w:t>
      </w:r>
      <w:r>
        <w:rPr>
          <w:spacing w:val="-5"/>
        </w:rPr>
        <w:t>t</w:t>
      </w:r>
      <w:r>
        <w:rPr>
          <w:spacing w:val="-6"/>
        </w:rPr>
        <w:t>h</w:t>
      </w:r>
      <w:r>
        <w:t>e</w:t>
      </w:r>
      <w:r>
        <w:rPr>
          <w:spacing w:val="-15"/>
        </w:rPr>
        <w:t xml:space="preserve"> y</w:t>
      </w:r>
      <w:r>
        <w:rPr>
          <w:spacing w:val="-7"/>
        </w:rPr>
        <w:t>e</w:t>
      </w:r>
      <w:r>
        <w:rPr>
          <w:spacing w:val="-2"/>
        </w:rPr>
        <w:t>a</w:t>
      </w:r>
      <w:r>
        <w:t>r</w:t>
      </w:r>
      <w:r>
        <w:rPr>
          <w:spacing w:val="-15"/>
        </w:rPr>
        <w:t xml:space="preserve"> </w:t>
      </w:r>
      <w:r>
        <w:rPr>
          <w:spacing w:val="-7"/>
        </w:rPr>
        <w:t>e</w:t>
      </w:r>
      <w:r>
        <w:rPr>
          <w:spacing w:val="-6"/>
        </w:rPr>
        <w:t>n</w:t>
      </w:r>
      <w:r>
        <w:rPr>
          <w:spacing w:val="-7"/>
        </w:rPr>
        <w:t>de</w:t>
      </w:r>
      <w:r>
        <w:t>d</w:t>
      </w:r>
      <w:r>
        <w:rPr>
          <w:spacing w:val="-15"/>
        </w:rPr>
        <w:t xml:space="preserve"> </w:t>
      </w:r>
      <w:r>
        <w:t>30</w:t>
      </w:r>
      <w:r>
        <w:rPr>
          <w:spacing w:val="-14"/>
        </w:rPr>
        <w:t xml:space="preserve"> </w:t>
      </w:r>
      <w:r>
        <w:rPr>
          <w:spacing w:val="-8"/>
        </w:rPr>
        <w:t>J</w:t>
      </w:r>
      <w:r>
        <w:rPr>
          <w:spacing w:val="-7"/>
        </w:rPr>
        <w:t>u</w:t>
      </w:r>
      <w:r>
        <w:rPr>
          <w:spacing w:val="-6"/>
        </w:rPr>
        <w:t>n</w:t>
      </w:r>
      <w:r>
        <w:t>e</w:t>
      </w:r>
      <w:r>
        <w:rPr>
          <w:spacing w:val="-16"/>
        </w:rPr>
        <w:t xml:space="preserve"> </w:t>
      </w:r>
      <w:r>
        <w:rPr>
          <w:spacing w:val="-1"/>
        </w:rPr>
        <w:t>2</w:t>
      </w:r>
      <w:r>
        <w:rPr>
          <w:spacing w:val="-14"/>
        </w:rPr>
        <w:t>0</w:t>
      </w:r>
      <w:r>
        <w:rPr>
          <w:spacing w:val="-22"/>
        </w:rPr>
        <w:t>1</w:t>
      </w:r>
      <w:r>
        <w:t>5</w:t>
      </w:r>
      <w:bookmarkEnd w:id="674"/>
    </w:p>
    <w:tbl>
      <w:tblPr>
        <w:tblW w:w="0" w:type="auto"/>
        <w:tblLayout w:type="fixed"/>
        <w:tblCellMar>
          <w:left w:w="0" w:type="dxa"/>
          <w:right w:w="0" w:type="dxa"/>
        </w:tblCellMar>
        <w:tblLook w:val="0000" w:firstRow="0" w:lastRow="0" w:firstColumn="0" w:lastColumn="0" w:noHBand="0" w:noVBand="0"/>
      </w:tblPr>
      <w:tblGrid>
        <w:gridCol w:w="5108"/>
        <w:gridCol w:w="993"/>
        <w:gridCol w:w="1134"/>
        <w:gridCol w:w="1275"/>
      </w:tblGrid>
      <w:tr w:rsidR="007943A8" w:rsidRPr="007943A8" w14:paraId="6D18B743" w14:textId="77777777" w:rsidTr="005A33D4">
        <w:trPr>
          <w:trHeight w:hRule="exact" w:val="724"/>
        </w:trPr>
        <w:tc>
          <w:tcPr>
            <w:tcW w:w="5108" w:type="dxa"/>
          </w:tcPr>
          <w:p w14:paraId="3EFAB957" w14:textId="77777777" w:rsidR="007943A8" w:rsidRPr="007943A8" w:rsidRDefault="007943A8" w:rsidP="007B6B33">
            <w:pPr>
              <w:spacing w:after="0"/>
              <w:rPr>
                <w:rFonts w:cs="Arial"/>
              </w:rPr>
            </w:pPr>
          </w:p>
        </w:tc>
        <w:tc>
          <w:tcPr>
            <w:tcW w:w="993" w:type="dxa"/>
          </w:tcPr>
          <w:p w14:paraId="33A51EE4" w14:textId="7A517AE2" w:rsidR="007943A8" w:rsidRPr="007943A8" w:rsidRDefault="007B6B33" w:rsidP="007B6B33">
            <w:pPr>
              <w:spacing w:after="0"/>
              <w:jc w:val="right"/>
              <w:rPr>
                <w:rFonts w:cs="Arial"/>
              </w:rPr>
            </w:pPr>
            <w:r>
              <w:rPr>
                <w:rFonts w:cs="Arial"/>
              </w:rPr>
              <w:t>Note</w:t>
            </w:r>
          </w:p>
        </w:tc>
        <w:tc>
          <w:tcPr>
            <w:tcW w:w="1134" w:type="dxa"/>
            <w:shd w:val="clear" w:color="auto" w:fill="FFFFFF" w:themeFill="background1"/>
          </w:tcPr>
          <w:p w14:paraId="22E429CA" w14:textId="77777777" w:rsidR="007943A8" w:rsidRDefault="007B6B33" w:rsidP="007B6B33">
            <w:pPr>
              <w:spacing w:after="0"/>
              <w:jc w:val="right"/>
              <w:rPr>
                <w:rFonts w:cs="Arial"/>
              </w:rPr>
            </w:pPr>
            <w:r>
              <w:rPr>
                <w:rFonts w:cs="Arial"/>
              </w:rPr>
              <w:t>2015</w:t>
            </w:r>
          </w:p>
          <w:p w14:paraId="609ED3F6" w14:textId="48EC13A1" w:rsidR="007B6B33" w:rsidRPr="007943A8" w:rsidRDefault="007B6B33" w:rsidP="007B6B33">
            <w:pPr>
              <w:spacing w:after="0"/>
              <w:jc w:val="right"/>
              <w:rPr>
                <w:rFonts w:cs="Arial"/>
              </w:rPr>
            </w:pPr>
            <w:r>
              <w:rPr>
                <w:rFonts w:cs="Arial"/>
              </w:rPr>
              <w:t>$000</w:t>
            </w:r>
          </w:p>
        </w:tc>
        <w:tc>
          <w:tcPr>
            <w:tcW w:w="1275" w:type="dxa"/>
            <w:shd w:val="clear" w:color="auto" w:fill="FFFFFF" w:themeFill="background1"/>
          </w:tcPr>
          <w:p w14:paraId="23B9DB7C" w14:textId="77777777" w:rsidR="007943A8" w:rsidRDefault="007B6B33" w:rsidP="007B6B33">
            <w:pPr>
              <w:spacing w:after="0"/>
              <w:jc w:val="right"/>
              <w:rPr>
                <w:rFonts w:cs="Arial"/>
              </w:rPr>
            </w:pPr>
            <w:r>
              <w:rPr>
                <w:rFonts w:cs="Arial"/>
              </w:rPr>
              <w:t>2014</w:t>
            </w:r>
          </w:p>
          <w:p w14:paraId="48367AFA" w14:textId="4659385B" w:rsidR="007B6B33" w:rsidRPr="007943A8" w:rsidRDefault="007B6B33" w:rsidP="007B6B33">
            <w:pPr>
              <w:spacing w:after="0"/>
              <w:jc w:val="right"/>
              <w:rPr>
                <w:rFonts w:cs="Arial"/>
              </w:rPr>
            </w:pPr>
            <w:r>
              <w:rPr>
                <w:rFonts w:cs="Arial"/>
              </w:rPr>
              <w:t>$000</w:t>
            </w:r>
          </w:p>
        </w:tc>
      </w:tr>
      <w:tr w:rsidR="007B6B33" w:rsidRPr="007943A8" w14:paraId="2F719E42" w14:textId="77777777" w:rsidTr="00D65D6C">
        <w:trPr>
          <w:trHeight w:hRule="exact" w:val="989"/>
        </w:trPr>
        <w:tc>
          <w:tcPr>
            <w:tcW w:w="5108" w:type="dxa"/>
          </w:tcPr>
          <w:p w14:paraId="67D3D26C" w14:textId="443C717F" w:rsidR="007B6B33" w:rsidRPr="00DA1E18" w:rsidRDefault="007B6B33" w:rsidP="007B6B33">
            <w:pPr>
              <w:spacing w:after="0"/>
              <w:rPr>
                <w:rStyle w:val="Strong"/>
              </w:rPr>
            </w:pPr>
            <w:r w:rsidRPr="00DA1E18">
              <w:rPr>
                <w:rStyle w:val="Strong"/>
              </w:rPr>
              <w:t>Assets</w:t>
            </w:r>
          </w:p>
          <w:p w14:paraId="3CDDAB6B" w14:textId="5DDADD11" w:rsidR="007B6B33" w:rsidRPr="00DA1E18" w:rsidRDefault="007B6B33" w:rsidP="007B6B33">
            <w:pPr>
              <w:spacing w:after="0"/>
              <w:rPr>
                <w:rStyle w:val="Emphasis"/>
              </w:rPr>
            </w:pPr>
            <w:r w:rsidRPr="00DA1E18">
              <w:rPr>
                <w:rStyle w:val="Emphasis"/>
              </w:rPr>
              <w:t>Current Assets</w:t>
            </w:r>
          </w:p>
        </w:tc>
        <w:tc>
          <w:tcPr>
            <w:tcW w:w="993" w:type="dxa"/>
          </w:tcPr>
          <w:p w14:paraId="1F05F99F" w14:textId="77777777" w:rsidR="007B6B33" w:rsidRPr="007943A8" w:rsidRDefault="007B6B33" w:rsidP="007B6B33">
            <w:pPr>
              <w:spacing w:after="0"/>
              <w:jc w:val="right"/>
              <w:rPr>
                <w:rFonts w:cs="Arial"/>
              </w:rPr>
            </w:pPr>
          </w:p>
        </w:tc>
        <w:tc>
          <w:tcPr>
            <w:tcW w:w="1134" w:type="dxa"/>
            <w:shd w:val="clear" w:color="auto" w:fill="FFFFFF" w:themeFill="background1"/>
          </w:tcPr>
          <w:p w14:paraId="434602C2" w14:textId="77777777" w:rsidR="007B6B33" w:rsidRPr="007943A8" w:rsidRDefault="007B6B33" w:rsidP="007B6B33">
            <w:pPr>
              <w:spacing w:after="0"/>
              <w:jc w:val="right"/>
              <w:rPr>
                <w:rFonts w:cs="Arial"/>
              </w:rPr>
            </w:pPr>
          </w:p>
        </w:tc>
        <w:tc>
          <w:tcPr>
            <w:tcW w:w="1275" w:type="dxa"/>
            <w:shd w:val="clear" w:color="auto" w:fill="FFFFFF" w:themeFill="background1"/>
          </w:tcPr>
          <w:p w14:paraId="6FE49694" w14:textId="77777777" w:rsidR="007B6B33" w:rsidRPr="007943A8" w:rsidRDefault="007B6B33" w:rsidP="007B6B33">
            <w:pPr>
              <w:spacing w:after="0"/>
              <w:jc w:val="right"/>
              <w:rPr>
                <w:rFonts w:cs="Arial"/>
              </w:rPr>
            </w:pPr>
          </w:p>
        </w:tc>
      </w:tr>
      <w:tr w:rsidR="007B6B33" w:rsidRPr="007943A8" w14:paraId="4A4361C5" w14:textId="77777777" w:rsidTr="005A33D4">
        <w:trPr>
          <w:trHeight w:hRule="exact" w:val="578"/>
        </w:trPr>
        <w:tc>
          <w:tcPr>
            <w:tcW w:w="5108" w:type="dxa"/>
          </w:tcPr>
          <w:p w14:paraId="5D5875B8" w14:textId="51F65605" w:rsidR="007B6B33" w:rsidRPr="007943A8" w:rsidRDefault="007B6B33" w:rsidP="007B6B33">
            <w:pPr>
              <w:spacing w:after="0"/>
              <w:rPr>
                <w:rFonts w:cs="Arial"/>
              </w:rPr>
            </w:pPr>
            <w:r>
              <w:rPr>
                <w:rFonts w:cs="Arial"/>
              </w:rPr>
              <w:t xml:space="preserve">Cash and cash equivalents </w:t>
            </w:r>
          </w:p>
        </w:tc>
        <w:tc>
          <w:tcPr>
            <w:tcW w:w="993" w:type="dxa"/>
          </w:tcPr>
          <w:p w14:paraId="25A8F733" w14:textId="724EED9B" w:rsidR="007B6B33" w:rsidRPr="007943A8" w:rsidRDefault="007B6B33" w:rsidP="007B6B33">
            <w:pPr>
              <w:spacing w:after="0"/>
              <w:jc w:val="right"/>
              <w:rPr>
                <w:rFonts w:cs="Arial"/>
              </w:rPr>
            </w:pPr>
            <w:r>
              <w:rPr>
                <w:rFonts w:cs="Arial"/>
              </w:rPr>
              <w:t>18</w:t>
            </w:r>
          </w:p>
        </w:tc>
        <w:tc>
          <w:tcPr>
            <w:tcW w:w="1134" w:type="dxa"/>
            <w:shd w:val="clear" w:color="auto" w:fill="F5EDC1" w:themeFill="accent4"/>
          </w:tcPr>
          <w:p w14:paraId="5E2033D2" w14:textId="58FE53CF" w:rsidR="007B6B33" w:rsidRPr="007943A8" w:rsidRDefault="007B6B33" w:rsidP="007B6B33">
            <w:pPr>
              <w:spacing w:after="0"/>
              <w:jc w:val="right"/>
              <w:rPr>
                <w:rFonts w:cs="Arial"/>
              </w:rPr>
            </w:pPr>
            <w:r>
              <w:rPr>
                <w:rFonts w:cs="Arial"/>
              </w:rPr>
              <w:t>9,704</w:t>
            </w:r>
          </w:p>
        </w:tc>
        <w:tc>
          <w:tcPr>
            <w:tcW w:w="1275" w:type="dxa"/>
            <w:shd w:val="clear" w:color="auto" w:fill="D4E2E0" w:themeFill="accent5"/>
          </w:tcPr>
          <w:p w14:paraId="1470E665" w14:textId="2FE219D2" w:rsidR="007B6B33" w:rsidRPr="007943A8" w:rsidRDefault="007B6B33" w:rsidP="007B6B33">
            <w:pPr>
              <w:spacing w:after="0"/>
              <w:jc w:val="right"/>
              <w:rPr>
                <w:rFonts w:cs="Arial"/>
              </w:rPr>
            </w:pPr>
            <w:r>
              <w:rPr>
                <w:rFonts w:cs="Arial"/>
              </w:rPr>
              <w:t>8,917</w:t>
            </w:r>
          </w:p>
        </w:tc>
      </w:tr>
      <w:tr w:rsidR="007B6B33" w:rsidRPr="007943A8" w14:paraId="7A1F3675" w14:textId="77777777" w:rsidTr="005A33D4">
        <w:trPr>
          <w:trHeight w:hRule="exact" w:val="558"/>
        </w:trPr>
        <w:tc>
          <w:tcPr>
            <w:tcW w:w="5108" w:type="dxa"/>
          </w:tcPr>
          <w:p w14:paraId="0EC0E7CF" w14:textId="0B4A83ED" w:rsidR="007B6B33" w:rsidRPr="007943A8" w:rsidRDefault="007B6B33" w:rsidP="007B6B33">
            <w:pPr>
              <w:spacing w:after="0"/>
              <w:rPr>
                <w:rFonts w:cs="Arial"/>
              </w:rPr>
            </w:pPr>
            <w:r>
              <w:rPr>
                <w:rFonts w:cs="Arial"/>
              </w:rPr>
              <w:t>Restricted cash and cash equivalents</w:t>
            </w:r>
          </w:p>
        </w:tc>
        <w:tc>
          <w:tcPr>
            <w:tcW w:w="993" w:type="dxa"/>
          </w:tcPr>
          <w:p w14:paraId="1989BB81" w14:textId="44B3E1D4" w:rsidR="007B6B33" w:rsidRPr="007943A8" w:rsidRDefault="007B6B33" w:rsidP="007B6B33">
            <w:pPr>
              <w:spacing w:after="0"/>
              <w:jc w:val="right"/>
              <w:rPr>
                <w:rFonts w:cs="Arial"/>
              </w:rPr>
            </w:pPr>
            <w:r>
              <w:rPr>
                <w:rFonts w:cs="Arial"/>
              </w:rPr>
              <w:t>19</w:t>
            </w:r>
          </w:p>
        </w:tc>
        <w:tc>
          <w:tcPr>
            <w:tcW w:w="1134" w:type="dxa"/>
            <w:shd w:val="clear" w:color="auto" w:fill="F5EDC1" w:themeFill="accent4"/>
          </w:tcPr>
          <w:p w14:paraId="53EB0C65" w14:textId="43EB6DD6" w:rsidR="007B6B33" w:rsidRPr="007943A8" w:rsidRDefault="007B6B33" w:rsidP="007B6B33">
            <w:pPr>
              <w:spacing w:after="0"/>
              <w:jc w:val="right"/>
              <w:rPr>
                <w:rFonts w:cs="Arial"/>
              </w:rPr>
            </w:pPr>
            <w:r>
              <w:rPr>
                <w:rFonts w:cs="Arial"/>
              </w:rPr>
              <w:t>82,678</w:t>
            </w:r>
          </w:p>
        </w:tc>
        <w:tc>
          <w:tcPr>
            <w:tcW w:w="1275" w:type="dxa"/>
            <w:shd w:val="clear" w:color="auto" w:fill="D4E2E0" w:themeFill="accent5"/>
          </w:tcPr>
          <w:p w14:paraId="7B4751EF" w14:textId="39E19331" w:rsidR="007B6B33" w:rsidRPr="007943A8" w:rsidRDefault="007B6B33" w:rsidP="007B6B33">
            <w:pPr>
              <w:spacing w:after="0"/>
              <w:jc w:val="right"/>
              <w:rPr>
                <w:rFonts w:cs="Arial"/>
              </w:rPr>
            </w:pPr>
            <w:r>
              <w:rPr>
                <w:rFonts w:cs="Arial"/>
              </w:rPr>
              <w:t>72,607</w:t>
            </w:r>
          </w:p>
        </w:tc>
      </w:tr>
      <w:tr w:rsidR="007B6B33" w:rsidRPr="007943A8" w14:paraId="408B7023" w14:textId="77777777" w:rsidTr="005A33D4">
        <w:trPr>
          <w:trHeight w:hRule="exact" w:val="708"/>
        </w:trPr>
        <w:tc>
          <w:tcPr>
            <w:tcW w:w="5108" w:type="dxa"/>
          </w:tcPr>
          <w:p w14:paraId="1A791148" w14:textId="1DD8A096" w:rsidR="007B6B33" w:rsidRPr="007943A8" w:rsidRDefault="007B6B33" w:rsidP="007B6B33">
            <w:pPr>
              <w:spacing w:after="0"/>
              <w:rPr>
                <w:rFonts w:cs="Arial"/>
              </w:rPr>
            </w:pPr>
            <w:r>
              <w:rPr>
                <w:rFonts w:cs="Arial"/>
              </w:rPr>
              <w:t>Receivables</w:t>
            </w:r>
          </w:p>
        </w:tc>
        <w:tc>
          <w:tcPr>
            <w:tcW w:w="993" w:type="dxa"/>
          </w:tcPr>
          <w:p w14:paraId="3198A47D" w14:textId="1A954F8B" w:rsidR="007B6B33" w:rsidRPr="007943A8" w:rsidRDefault="007B6B33" w:rsidP="007B6B33">
            <w:pPr>
              <w:spacing w:after="0"/>
              <w:jc w:val="right"/>
              <w:rPr>
                <w:rFonts w:cs="Arial"/>
              </w:rPr>
            </w:pPr>
            <w:r>
              <w:rPr>
                <w:rFonts w:cs="Arial"/>
              </w:rPr>
              <w:t>20</w:t>
            </w:r>
          </w:p>
        </w:tc>
        <w:tc>
          <w:tcPr>
            <w:tcW w:w="1134" w:type="dxa"/>
            <w:shd w:val="clear" w:color="auto" w:fill="F5EDC1" w:themeFill="accent4"/>
          </w:tcPr>
          <w:p w14:paraId="47EB2521" w14:textId="6D19520C" w:rsidR="007B6B33" w:rsidRPr="007943A8" w:rsidRDefault="007B6B33" w:rsidP="007B6B33">
            <w:pPr>
              <w:spacing w:after="0"/>
              <w:jc w:val="right"/>
              <w:rPr>
                <w:rFonts w:cs="Arial"/>
              </w:rPr>
            </w:pPr>
            <w:r>
              <w:rPr>
                <w:rFonts w:cs="Arial"/>
              </w:rPr>
              <w:t>1,081</w:t>
            </w:r>
          </w:p>
        </w:tc>
        <w:tc>
          <w:tcPr>
            <w:tcW w:w="1275" w:type="dxa"/>
            <w:shd w:val="clear" w:color="auto" w:fill="D4E2E0" w:themeFill="accent5"/>
          </w:tcPr>
          <w:p w14:paraId="22FC3509" w14:textId="7F6D8C4B" w:rsidR="007B6B33" w:rsidRPr="007943A8" w:rsidRDefault="007B6B33" w:rsidP="007B6B33">
            <w:pPr>
              <w:spacing w:after="0"/>
              <w:jc w:val="right"/>
              <w:rPr>
                <w:rFonts w:cs="Arial"/>
              </w:rPr>
            </w:pPr>
            <w:r>
              <w:rPr>
                <w:rFonts w:cs="Arial"/>
              </w:rPr>
              <w:t>1,233</w:t>
            </w:r>
          </w:p>
        </w:tc>
      </w:tr>
      <w:tr w:rsidR="007B6B33" w:rsidRPr="007943A8" w14:paraId="119728E3" w14:textId="77777777" w:rsidTr="00CD28DB">
        <w:trPr>
          <w:trHeight w:hRule="exact" w:val="575"/>
        </w:trPr>
        <w:tc>
          <w:tcPr>
            <w:tcW w:w="5108" w:type="dxa"/>
          </w:tcPr>
          <w:p w14:paraId="4059CEB3" w14:textId="28AC15B4" w:rsidR="007B6B33" w:rsidRPr="007943A8" w:rsidRDefault="007B6B33" w:rsidP="007B6B33">
            <w:pPr>
              <w:spacing w:after="0"/>
              <w:rPr>
                <w:rFonts w:cs="Arial"/>
              </w:rPr>
            </w:pPr>
            <w:r>
              <w:rPr>
                <w:rFonts w:cs="Arial"/>
              </w:rPr>
              <w:t>Other financial assets</w:t>
            </w:r>
          </w:p>
        </w:tc>
        <w:tc>
          <w:tcPr>
            <w:tcW w:w="993" w:type="dxa"/>
          </w:tcPr>
          <w:p w14:paraId="505B76A7" w14:textId="6CC968FD" w:rsidR="007B6B33" w:rsidRPr="007943A8" w:rsidRDefault="007B6B33" w:rsidP="007B6B33">
            <w:pPr>
              <w:spacing w:after="0"/>
              <w:jc w:val="right"/>
              <w:rPr>
                <w:rFonts w:cs="Arial"/>
              </w:rPr>
            </w:pPr>
            <w:r>
              <w:rPr>
                <w:rFonts w:cs="Arial"/>
              </w:rPr>
              <w:t>21</w:t>
            </w:r>
          </w:p>
        </w:tc>
        <w:tc>
          <w:tcPr>
            <w:tcW w:w="1134" w:type="dxa"/>
            <w:shd w:val="clear" w:color="auto" w:fill="F5EDC1" w:themeFill="accent4"/>
          </w:tcPr>
          <w:p w14:paraId="5FE3C566" w14:textId="05CDA082" w:rsidR="007B6B33" w:rsidRPr="007943A8" w:rsidRDefault="007B6B33" w:rsidP="007B6B33">
            <w:pPr>
              <w:spacing w:after="0"/>
              <w:jc w:val="right"/>
              <w:rPr>
                <w:rFonts w:cs="Arial"/>
              </w:rPr>
            </w:pPr>
            <w:r>
              <w:rPr>
                <w:rFonts w:cs="Arial"/>
              </w:rPr>
              <w:t>13,424</w:t>
            </w:r>
          </w:p>
        </w:tc>
        <w:tc>
          <w:tcPr>
            <w:tcW w:w="1275" w:type="dxa"/>
            <w:shd w:val="clear" w:color="auto" w:fill="D4E2E0" w:themeFill="accent5"/>
          </w:tcPr>
          <w:p w14:paraId="4018C700" w14:textId="3C935299" w:rsidR="007B6B33" w:rsidRPr="007943A8" w:rsidRDefault="007B6B33" w:rsidP="007B6B33">
            <w:pPr>
              <w:spacing w:after="0"/>
              <w:jc w:val="right"/>
              <w:rPr>
                <w:rFonts w:cs="Arial"/>
              </w:rPr>
            </w:pPr>
            <w:r>
              <w:rPr>
                <w:rFonts w:cs="Arial"/>
              </w:rPr>
              <w:t>9,908</w:t>
            </w:r>
          </w:p>
        </w:tc>
      </w:tr>
      <w:tr w:rsidR="007943A8" w:rsidRPr="007943A8" w14:paraId="77424CE9" w14:textId="77777777" w:rsidTr="00CD28DB">
        <w:trPr>
          <w:trHeight w:hRule="exact" w:val="417"/>
        </w:trPr>
        <w:tc>
          <w:tcPr>
            <w:tcW w:w="5108" w:type="dxa"/>
          </w:tcPr>
          <w:p w14:paraId="6535F3D4" w14:textId="7AD49A56" w:rsidR="007943A8" w:rsidRPr="00DA1E18" w:rsidRDefault="007B6B33" w:rsidP="007B6B33">
            <w:pPr>
              <w:spacing w:after="0"/>
              <w:rPr>
                <w:rStyle w:val="Strong"/>
              </w:rPr>
            </w:pPr>
            <w:r w:rsidRPr="00DA1E18">
              <w:rPr>
                <w:rStyle w:val="Strong"/>
              </w:rPr>
              <w:t>Total Current Assets</w:t>
            </w:r>
          </w:p>
        </w:tc>
        <w:tc>
          <w:tcPr>
            <w:tcW w:w="993" w:type="dxa"/>
          </w:tcPr>
          <w:p w14:paraId="61D801F3" w14:textId="77777777" w:rsidR="007943A8" w:rsidRPr="00DA1E18" w:rsidRDefault="007943A8" w:rsidP="007B6B33">
            <w:pPr>
              <w:spacing w:after="0"/>
              <w:jc w:val="right"/>
              <w:rPr>
                <w:rStyle w:val="Strong"/>
              </w:rPr>
            </w:pPr>
          </w:p>
        </w:tc>
        <w:tc>
          <w:tcPr>
            <w:tcW w:w="1134" w:type="dxa"/>
            <w:tcBorders>
              <w:bottom w:val="single" w:sz="4" w:space="0" w:color="auto"/>
            </w:tcBorders>
            <w:shd w:val="clear" w:color="auto" w:fill="F5EDC1" w:themeFill="accent4"/>
          </w:tcPr>
          <w:p w14:paraId="36CFC3BC" w14:textId="4931BE84" w:rsidR="007943A8" w:rsidRPr="00DA1E18" w:rsidRDefault="007B6B33" w:rsidP="007B6B33">
            <w:pPr>
              <w:spacing w:after="0"/>
              <w:jc w:val="right"/>
              <w:rPr>
                <w:rStyle w:val="Strong"/>
              </w:rPr>
            </w:pPr>
            <w:r w:rsidRPr="00DA1E18">
              <w:rPr>
                <w:rStyle w:val="Strong"/>
              </w:rPr>
              <w:t>106,887</w:t>
            </w:r>
          </w:p>
        </w:tc>
        <w:tc>
          <w:tcPr>
            <w:tcW w:w="1275" w:type="dxa"/>
            <w:tcBorders>
              <w:bottom w:val="single" w:sz="4" w:space="0" w:color="auto"/>
            </w:tcBorders>
            <w:shd w:val="clear" w:color="auto" w:fill="D4E2E0" w:themeFill="accent5"/>
          </w:tcPr>
          <w:p w14:paraId="5B94D1D2" w14:textId="1466AFBD" w:rsidR="007943A8" w:rsidRPr="00DA1E18" w:rsidRDefault="007B6B33" w:rsidP="007B6B33">
            <w:pPr>
              <w:spacing w:after="0"/>
              <w:jc w:val="right"/>
              <w:rPr>
                <w:rStyle w:val="Strong"/>
              </w:rPr>
            </w:pPr>
            <w:r w:rsidRPr="00DA1E18">
              <w:rPr>
                <w:rStyle w:val="Strong"/>
              </w:rPr>
              <w:t>92,665</w:t>
            </w:r>
          </w:p>
        </w:tc>
      </w:tr>
      <w:tr w:rsidR="007B6B33" w:rsidRPr="007943A8" w14:paraId="31DA7531" w14:textId="77777777" w:rsidTr="005A33D4">
        <w:trPr>
          <w:trHeight w:hRule="exact" w:val="1011"/>
        </w:trPr>
        <w:tc>
          <w:tcPr>
            <w:tcW w:w="5108" w:type="dxa"/>
          </w:tcPr>
          <w:p w14:paraId="34F01406" w14:textId="0BE0B074" w:rsidR="007B6B33" w:rsidRPr="00DA1E18" w:rsidRDefault="005A33D4" w:rsidP="007B6B33">
            <w:pPr>
              <w:spacing w:after="0"/>
              <w:rPr>
                <w:rStyle w:val="Emphasis"/>
              </w:rPr>
            </w:pPr>
            <w:r>
              <w:rPr>
                <w:rFonts w:cs="Arial"/>
                <w:i/>
              </w:rPr>
              <w:br/>
            </w:r>
            <w:r w:rsidR="00A21058" w:rsidRPr="00DA1E18">
              <w:rPr>
                <w:rStyle w:val="Emphasis"/>
              </w:rPr>
              <w:t>Non-Current Assets</w:t>
            </w:r>
          </w:p>
        </w:tc>
        <w:tc>
          <w:tcPr>
            <w:tcW w:w="993" w:type="dxa"/>
          </w:tcPr>
          <w:p w14:paraId="793CEB70" w14:textId="77777777" w:rsidR="007B6B33" w:rsidRPr="007943A8" w:rsidRDefault="007B6B33" w:rsidP="007B6B33">
            <w:pPr>
              <w:spacing w:after="0"/>
              <w:jc w:val="right"/>
              <w:rPr>
                <w:rFonts w:cs="Arial"/>
              </w:rPr>
            </w:pPr>
          </w:p>
        </w:tc>
        <w:tc>
          <w:tcPr>
            <w:tcW w:w="1134" w:type="dxa"/>
            <w:tcBorders>
              <w:top w:val="single" w:sz="4" w:space="0" w:color="auto"/>
            </w:tcBorders>
            <w:shd w:val="clear" w:color="auto" w:fill="FFFFFF" w:themeFill="background1"/>
          </w:tcPr>
          <w:p w14:paraId="31212FE9" w14:textId="77777777" w:rsidR="007B6B33" w:rsidRDefault="007B6B33" w:rsidP="007B6B33">
            <w:pPr>
              <w:spacing w:after="0"/>
              <w:jc w:val="right"/>
              <w:rPr>
                <w:rFonts w:cs="Arial"/>
              </w:rPr>
            </w:pPr>
          </w:p>
        </w:tc>
        <w:tc>
          <w:tcPr>
            <w:tcW w:w="1275" w:type="dxa"/>
            <w:tcBorders>
              <w:top w:val="single" w:sz="4" w:space="0" w:color="auto"/>
            </w:tcBorders>
            <w:shd w:val="clear" w:color="auto" w:fill="FFFFFF" w:themeFill="background1"/>
          </w:tcPr>
          <w:p w14:paraId="6137B9A9" w14:textId="77777777" w:rsidR="007B6B33" w:rsidRDefault="007B6B33" w:rsidP="007B6B33">
            <w:pPr>
              <w:spacing w:after="0"/>
              <w:jc w:val="right"/>
              <w:rPr>
                <w:rFonts w:cs="Arial"/>
              </w:rPr>
            </w:pPr>
          </w:p>
        </w:tc>
      </w:tr>
      <w:tr w:rsidR="007B6B33" w:rsidRPr="007943A8" w14:paraId="7E2596DD" w14:textId="77777777" w:rsidTr="00CD28DB">
        <w:trPr>
          <w:trHeight w:hRule="exact" w:val="569"/>
        </w:trPr>
        <w:tc>
          <w:tcPr>
            <w:tcW w:w="5108" w:type="dxa"/>
          </w:tcPr>
          <w:p w14:paraId="16F00E10" w14:textId="0984CF19" w:rsidR="007B6B33" w:rsidRPr="00D65D6C" w:rsidRDefault="00D65D6C" w:rsidP="007B6B33">
            <w:pPr>
              <w:spacing w:after="0"/>
              <w:rPr>
                <w:rFonts w:cs="Arial"/>
              </w:rPr>
            </w:pPr>
            <w:r w:rsidRPr="00D65D6C">
              <w:rPr>
                <w:rFonts w:cs="Arial"/>
              </w:rPr>
              <w:t>Property, plant</w:t>
            </w:r>
            <w:r>
              <w:rPr>
                <w:rFonts w:cs="Arial"/>
              </w:rPr>
              <w:t>, equipment &amp; vehicles</w:t>
            </w:r>
          </w:p>
        </w:tc>
        <w:tc>
          <w:tcPr>
            <w:tcW w:w="993" w:type="dxa"/>
          </w:tcPr>
          <w:p w14:paraId="12583AAE" w14:textId="470995BF" w:rsidR="007B6B33" w:rsidRPr="00D65D6C" w:rsidRDefault="00D65D6C" w:rsidP="007B6B33">
            <w:pPr>
              <w:spacing w:after="0"/>
              <w:jc w:val="right"/>
              <w:rPr>
                <w:rFonts w:cs="Arial"/>
              </w:rPr>
            </w:pPr>
            <w:r>
              <w:rPr>
                <w:rFonts w:cs="Arial"/>
              </w:rPr>
              <w:t>22</w:t>
            </w:r>
          </w:p>
        </w:tc>
        <w:tc>
          <w:tcPr>
            <w:tcW w:w="1134" w:type="dxa"/>
            <w:shd w:val="clear" w:color="auto" w:fill="F5EDC1" w:themeFill="accent4"/>
          </w:tcPr>
          <w:p w14:paraId="5DCFE7E5" w14:textId="55C2ABE8" w:rsidR="007B6B33" w:rsidRPr="00D65D6C" w:rsidRDefault="00D65D6C" w:rsidP="007B6B33">
            <w:pPr>
              <w:spacing w:after="0"/>
              <w:jc w:val="right"/>
              <w:rPr>
                <w:rFonts w:cs="Arial"/>
              </w:rPr>
            </w:pPr>
            <w:r>
              <w:rPr>
                <w:rFonts w:cs="Arial"/>
              </w:rPr>
              <w:t>20,761</w:t>
            </w:r>
          </w:p>
        </w:tc>
        <w:tc>
          <w:tcPr>
            <w:tcW w:w="1275" w:type="dxa"/>
            <w:shd w:val="clear" w:color="auto" w:fill="D4E2E0" w:themeFill="accent5"/>
          </w:tcPr>
          <w:p w14:paraId="0C002F5C" w14:textId="2849D639" w:rsidR="007B6B33" w:rsidRPr="00D65D6C" w:rsidRDefault="00D65D6C" w:rsidP="007B6B33">
            <w:pPr>
              <w:spacing w:after="0"/>
              <w:jc w:val="right"/>
              <w:rPr>
                <w:rFonts w:cs="Arial"/>
              </w:rPr>
            </w:pPr>
            <w:r>
              <w:rPr>
                <w:rFonts w:cs="Arial"/>
              </w:rPr>
              <w:t>23,506</w:t>
            </w:r>
          </w:p>
        </w:tc>
      </w:tr>
      <w:tr w:rsidR="00D65D6C" w:rsidRPr="007943A8" w14:paraId="5332FBC7" w14:textId="77777777" w:rsidTr="00CD28DB">
        <w:trPr>
          <w:trHeight w:hRule="exact" w:val="569"/>
        </w:trPr>
        <w:tc>
          <w:tcPr>
            <w:tcW w:w="5108" w:type="dxa"/>
          </w:tcPr>
          <w:p w14:paraId="4906B113" w14:textId="33AC149C" w:rsidR="00D65D6C" w:rsidRPr="00D65D6C" w:rsidRDefault="00D65D6C" w:rsidP="007B6B33">
            <w:pPr>
              <w:spacing w:after="0"/>
              <w:rPr>
                <w:rFonts w:cs="Arial"/>
              </w:rPr>
            </w:pPr>
            <w:r>
              <w:rPr>
                <w:rFonts w:cs="Arial"/>
              </w:rPr>
              <w:t>Intangible assets</w:t>
            </w:r>
          </w:p>
        </w:tc>
        <w:tc>
          <w:tcPr>
            <w:tcW w:w="993" w:type="dxa"/>
          </w:tcPr>
          <w:p w14:paraId="20C3F5C8" w14:textId="6B9F7E95" w:rsidR="00D65D6C" w:rsidRPr="00D65D6C" w:rsidRDefault="00D65D6C" w:rsidP="007B6B33">
            <w:pPr>
              <w:spacing w:after="0"/>
              <w:jc w:val="right"/>
              <w:rPr>
                <w:rFonts w:cs="Arial"/>
              </w:rPr>
            </w:pPr>
            <w:r>
              <w:rPr>
                <w:rFonts w:cs="Arial"/>
              </w:rPr>
              <w:t>24</w:t>
            </w:r>
          </w:p>
        </w:tc>
        <w:tc>
          <w:tcPr>
            <w:tcW w:w="1134" w:type="dxa"/>
            <w:shd w:val="clear" w:color="auto" w:fill="F5EDC1" w:themeFill="accent4"/>
          </w:tcPr>
          <w:p w14:paraId="18B8B5E7" w14:textId="60C81921" w:rsidR="00D65D6C" w:rsidRPr="00D65D6C" w:rsidRDefault="00D65D6C" w:rsidP="007B6B33">
            <w:pPr>
              <w:spacing w:after="0"/>
              <w:jc w:val="right"/>
              <w:rPr>
                <w:rFonts w:cs="Arial"/>
              </w:rPr>
            </w:pPr>
            <w:r>
              <w:rPr>
                <w:rFonts w:cs="Arial"/>
              </w:rPr>
              <w:t>2,834</w:t>
            </w:r>
          </w:p>
        </w:tc>
        <w:tc>
          <w:tcPr>
            <w:tcW w:w="1275" w:type="dxa"/>
            <w:shd w:val="clear" w:color="auto" w:fill="D4E2E0" w:themeFill="accent5"/>
          </w:tcPr>
          <w:p w14:paraId="012713E5" w14:textId="777902B1" w:rsidR="00D65D6C" w:rsidRPr="00D65D6C" w:rsidRDefault="00D65D6C" w:rsidP="007B6B33">
            <w:pPr>
              <w:spacing w:after="0"/>
              <w:jc w:val="right"/>
              <w:rPr>
                <w:rFonts w:cs="Arial"/>
              </w:rPr>
            </w:pPr>
            <w:r>
              <w:rPr>
                <w:rFonts w:cs="Arial"/>
              </w:rPr>
              <w:t>3,173</w:t>
            </w:r>
          </w:p>
        </w:tc>
      </w:tr>
      <w:tr w:rsidR="00D65D6C" w:rsidRPr="005A33D4" w14:paraId="67308C34" w14:textId="77777777" w:rsidTr="00CD28DB">
        <w:trPr>
          <w:trHeight w:hRule="exact" w:val="569"/>
        </w:trPr>
        <w:tc>
          <w:tcPr>
            <w:tcW w:w="5108" w:type="dxa"/>
          </w:tcPr>
          <w:p w14:paraId="54412475" w14:textId="78693C3B" w:rsidR="00D65D6C" w:rsidRPr="00DA1E18" w:rsidRDefault="00D65D6C" w:rsidP="007B6B33">
            <w:pPr>
              <w:spacing w:after="0"/>
              <w:rPr>
                <w:rStyle w:val="Strong"/>
              </w:rPr>
            </w:pPr>
            <w:r w:rsidRPr="00DA1E18">
              <w:rPr>
                <w:rStyle w:val="Strong"/>
              </w:rPr>
              <w:lastRenderedPageBreak/>
              <w:t>Total Non-Current Assets</w:t>
            </w:r>
          </w:p>
        </w:tc>
        <w:tc>
          <w:tcPr>
            <w:tcW w:w="993" w:type="dxa"/>
          </w:tcPr>
          <w:p w14:paraId="62208E51" w14:textId="77777777" w:rsidR="00D65D6C" w:rsidRPr="005A33D4" w:rsidRDefault="00D65D6C" w:rsidP="007B6B33">
            <w:pPr>
              <w:spacing w:after="0"/>
              <w:jc w:val="right"/>
              <w:rPr>
                <w:rFonts w:cs="Arial"/>
                <w:b/>
              </w:rPr>
            </w:pPr>
          </w:p>
        </w:tc>
        <w:tc>
          <w:tcPr>
            <w:tcW w:w="1134" w:type="dxa"/>
            <w:tcBorders>
              <w:bottom w:val="single" w:sz="4" w:space="0" w:color="auto"/>
            </w:tcBorders>
            <w:shd w:val="clear" w:color="auto" w:fill="F5EDC1" w:themeFill="accent4"/>
          </w:tcPr>
          <w:p w14:paraId="1600B642" w14:textId="78388DE7" w:rsidR="00D65D6C" w:rsidRPr="005A33D4" w:rsidRDefault="00D65D6C" w:rsidP="007B6B33">
            <w:pPr>
              <w:spacing w:after="0"/>
              <w:jc w:val="right"/>
              <w:rPr>
                <w:rFonts w:cs="Arial"/>
              </w:rPr>
            </w:pPr>
            <w:r w:rsidRPr="005A33D4">
              <w:rPr>
                <w:rFonts w:cs="Arial"/>
              </w:rPr>
              <w:t>23,595</w:t>
            </w:r>
          </w:p>
        </w:tc>
        <w:tc>
          <w:tcPr>
            <w:tcW w:w="1275" w:type="dxa"/>
            <w:tcBorders>
              <w:bottom w:val="single" w:sz="4" w:space="0" w:color="auto"/>
            </w:tcBorders>
            <w:shd w:val="clear" w:color="auto" w:fill="D4E2E0" w:themeFill="accent5"/>
          </w:tcPr>
          <w:p w14:paraId="345CCCFB" w14:textId="2CA8DB78" w:rsidR="00D65D6C" w:rsidRPr="005A33D4" w:rsidRDefault="00D65D6C" w:rsidP="007B6B33">
            <w:pPr>
              <w:spacing w:after="0"/>
              <w:jc w:val="right"/>
              <w:rPr>
                <w:rFonts w:cs="Arial"/>
              </w:rPr>
            </w:pPr>
            <w:r w:rsidRPr="005A33D4">
              <w:rPr>
                <w:rFonts w:cs="Arial"/>
              </w:rPr>
              <w:t>26,679</w:t>
            </w:r>
          </w:p>
        </w:tc>
      </w:tr>
      <w:tr w:rsidR="00CD28DB" w:rsidRPr="007943A8" w14:paraId="4E70A14A" w14:textId="77777777" w:rsidTr="00CD28DB">
        <w:trPr>
          <w:trHeight w:hRule="exact" w:val="589"/>
        </w:trPr>
        <w:tc>
          <w:tcPr>
            <w:tcW w:w="5108" w:type="dxa"/>
          </w:tcPr>
          <w:p w14:paraId="2F8231CF" w14:textId="77777777" w:rsidR="007943A8" w:rsidRPr="00DA1E18" w:rsidRDefault="007943A8" w:rsidP="007B6B33">
            <w:pPr>
              <w:spacing w:after="0"/>
              <w:rPr>
                <w:rStyle w:val="Strong"/>
              </w:rPr>
            </w:pPr>
            <w:r w:rsidRPr="00DA1E18">
              <w:rPr>
                <w:rStyle w:val="Strong"/>
              </w:rPr>
              <w:t>Total Assets</w:t>
            </w:r>
          </w:p>
        </w:tc>
        <w:tc>
          <w:tcPr>
            <w:tcW w:w="993" w:type="dxa"/>
          </w:tcPr>
          <w:p w14:paraId="30BDA3B9" w14:textId="77777777" w:rsidR="007943A8" w:rsidRPr="00D65D6C" w:rsidRDefault="007943A8" w:rsidP="007B6B33">
            <w:pPr>
              <w:spacing w:after="0"/>
              <w:jc w:val="right"/>
              <w:rPr>
                <w:rFonts w:cs="Arial"/>
                <w:b/>
              </w:rPr>
            </w:pPr>
          </w:p>
        </w:tc>
        <w:tc>
          <w:tcPr>
            <w:tcW w:w="1134" w:type="dxa"/>
            <w:tcBorders>
              <w:top w:val="single" w:sz="4" w:space="0" w:color="auto"/>
              <w:bottom w:val="single" w:sz="4" w:space="0" w:color="auto"/>
            </w:tcBorders>
            <w:shd w:val="clear" w:color="auto" w:fill="F5EDC1" w:themeFill="accent4"/>
          </w:tcPr>
          <w:p w14:paraId="763EBBA8" w14:textId="77777777" w:rsidR="007943A8" w:rsidRPr="00DA1E18" w:rsidRDefault="007943A8" w:rsidP="007B6B33">
            <w:pPr>
              <w:spacing w:after="0"/>
              <w:jc w:val="right"/>
              <w:rPr>
                <w:rStyle w:val="Strong"/>
              </w:rPr>
            </w:pPr>
            <w:r w:rsidRPr="00DA1E18">
              <w:rPr>
                <w:rStyle w:val="Strong"/>
              </w:rPr>
              <w:t>130,482</w:t>
            </w:r>
          </w:p>
        </w:tc>
        <w:tc>
          <w:tcPr>
            <w:tcW w:w="1275" w:type="dxa"/>
            <w:tcBorders>
              <w:top w:val="single" w:sz="4" w:space="0" w:color="auto"/>
              <w:bottom w:val="single" w:sz="4" w:space="0" w:color="auto"/>
            </w:tcBorders>
            <w:shd w:val="clear" w:color="auto" w:fill="D4E2E0" w:themeFill="accent5"/>
          </w:tcPr>
          <w:p w14:paraId="5FB218DC" w14:textId="77777777" w:rsidR="007943A8" w:rsidRPr="00DA1E18" w:rsidRDefault="007943A8" w:rsidP="007B6B33">
            <w:pPr>
              <w:spacing w:after="0"/>
              <w:jc w:val="right"/>
              <w:rPr>
                <w:rStyle w:val="Strong"/>
              </w:rPr>
            </w:pPr>
            <w:r w:rsidRPr="00DA1E18">
              <w:rPr>
                <w:rStyle w:val="Strong"/>
              </w:rPr>
              <w:t>119,344</w:t>
            </w:r>
          </w:p>
        </w:tc>
      </w:tr>
      <w:tr w:rsidR="00CD28DB" w:rsidRPr="007943A8" w14:paraId="3168C142" w14:textId="77777777" w:rsidTr="005A33D4">
        <w:trPr>
          <w:trHeight w:hRule="exact" w:val="1689"/>
        </w:trPr>
        <w:tc>
          <w:tcPr>
            <w:tcW w:w="5108" w:type="dxa"/>
            <w:shd w:val="clear" w:color="auto" w:fill="FFFFFF" w:themeFill="background1"/>
          </w:tcPr>
          <w:p w14:paraId="51E866E7" w14:textId="77777777" w:rsidR="007943A8" w:rsidRPr="007943A8" w:rsidRDefault="007943A8" w:rsidP="005A33D4"/>
          <w:p w14:paraId="5BC08FA5" w14:textId="77777777" w:rsidR="007943A8" w:rsidRPr="00DA1E18" w:rsidRDefault="007943A8" w:rsidP="005A33D4">
            <w:pPr>
              <w:rPr>
                <w:rStyle w:val="Strong"/>
              </w:rPr>
            </w:pPr>
            <w:r w:rsidRPr="00DA1E18">
              <w:rPr>
                <w:rStyle w:val="Strong"/>
              </w:rPr>
              <w:t>Liabilities</w:t>
            </w:r>
          </w:p>
          <w:p w14:paraId="0553A415" w14:textId="77777777" w:rsidR="007943A8" w:rsidRPr="00DA1E18" w:rsidRDefault="007943A8" w:rsidP="005A33D4">
            <w:pPr>
              <w:rPr>
                <w:rStyle w:val="Emphasis"/>
              </w:rPr>
            </w:pPr>
            <w:r w:rsidRPr="00DA1E18">
              <w:rPr>
                <w:rStyle w:val="Emphasis"/>
              </w:rPr>
              <w:t>Current Liabilities</w:t>
            </w:r>
          </w:p>
        </w:tc>
        <w:tc>
          <w:tcPr>
            <w:tcW w:w="993" w:type="dxa"/>
            <w:shd w:val="clear" w:color="auto" w:fill="FFFFFF" w:themeFill="background1"/>
          </w:tcPr>
          <w:p w14:paraId="74CA65C2" w14:textId="77777777" w:rsidR="007943A8" w:rsidRPr="007943A8" w:rsidRDefault="007943A8" w:rsidP="005A33D4"/>
        </w:tc>
        <w:tc>
          <w:tcPr>
            <w:tcW w:w="1134" w:type="dxa"/>
            <w:tcBorders>
              <w:top w:val="single" w:sz="4" w:space="0" w:color="auto"/>
            </w:tcBorders>
            <w:shd w:val="clear" w:color="auto" w:fill="FFFFFF" w:themeFill="background1"/>
          </w:tcPr>
          <w:p w14:paraId="13AEC328" w14:textId="77777777" w:rsidR="007943A8" w:rsidRPr="007943A8" w:rsidRDefault="007943A8" w:rsidP="005A33D4"/>
        </w:tc>
        <w:tc>
          <w:tcPr>
            <w:tcW w:w="1275" w:type="dxa"/>
            <w:tcBorders>
              <w:top w:val="single" w:sz="4" w:space="0" w:color="auto"/>
            </w:tcBorders>
            <w:shd w:val="clear" w:color="auto" w:fill="FFFFFF" w:themeFill="background1"/>
          </w:tcPr>
          <w:p w14:paraId="32819CCA" w14:textId="77777777" w:rsidR="007943A8" w:rsidRPr="007943A8" w:rsidRDefault="007943A8" w:rsidP="005A33D4"/>
        </w:tc>
      </w:tr>
      <w:tr w:rsidR="00CD28DB" w:rsidRPr="007943A8" w14:paraId="0D3E1217" w14:textId="77777777" w:rsidTr="00CD28DB">
        <w:trPr>
          <w:trHeight w:hRule="exact" w:val="570"/>
        </w:trPr>
        <w:tc>
          <w:tcPr>
            <w:tcW w:w="5108" w:type="dxa"/>
          </w:tcPr>
          <w:p w14:paraId="1ACACC95" w14:textId="77777777" w:rsidR="007943A8" w:rsidRPr="007943A8" w:rsidRDefault="007943A8" w:rsidP="005A33D4">
            <w:r w:rsidRPr="007943A8">
              <w:t>Payables</w:t>
            </w:r>
          </w:p>
        </w:tc>
        <w:tc>
          <w:tcPr>
            <w:tcW w:w="993" w:type="dxa"/>
          </w:tcPr>
          <w:p w14:paraId="71172E2B" w14:textId="77777777" w:rsidR="007943A8" w:rsidRPr="007943A8" w:rsidRDefault="007943A8" w:rsidP="005A33D4">
            <w:r w:rsidRPr="007943A8">
              <w:t>26</w:t>
            </w:r>
          </w:p>
        </w:tc>
        <w:tc>
          <w:tcPr>
            <w:tcW w:w="1134" w:type="dxa"/>
            <w:shd w:val="clear" w:color="auto" w:fill="F5EDC1" w:themeFill="accent4"/>
          </w:tcPr>
          <w:p w14:paraId="215310BF" w14:textId="77777777" w:rsidR="007943A8" w:rsidRPr="007943A8" w:rsidRDefault="007943A8" w:rsidP="005A33D4">
            <w:r w:rsidRPr="007943A8">
              <w:t>1,238</w:t>
            </w:r>
          </w:p>
        </w:tc>
        <w:tc>
          <w:tcPr>
            <w:tcW w:w="1275" w:type="dxa"/>
            <w:shd w:val="clear" w:color="auto" w:fill="D4E2E0" w:themeFill="accent5"/>
          </w:tcPr>
          <w:p w14:paraId="0AB6433C" w14:textId="77777777" w:rsidR="007943A8" w:rsidRPr="007943A8" w:rsidRDefault="007943A8" w:rsidP="005A33D4">
            <w:r w:rsidRPr="007943A8">
              <w:t>863</w:t>
            </w:r>
          </w:p>
        </w:tc>
      </w:tr>
      <w:tr w:rsidR="00CD28DB" w:rsidRPr="007943A8" w14:paraId="1FC8226D" w14:textId="77777777" w:rsidTr="00CD28DB">
        <w:trPr>
          <w:trHeight w:hRule="exact" w:val="706"/>
        </w:trPr>
        <w:tc>
          <w:tcPr>
            <w:tcW w:w="5108" w:type="dxa"/>
          </w:tcPr>
          <w:p w14:paraId="2148C629" w14:textId="77777777" w:rsidR="007943A8" w:rsidRPr="007943A8" w:rsidRDefault="007943A8" w:rsidP="005A33D4">
            <w:r w:rsidRPr="007943A8">
              <w:t>Provisions</w:t>
            </w:r>
          </w:p>
        </w:tc>
        <w:tc>
          <w:tcPr>
            <w:tcW w:w="993" w:type="dxa"/>
          </w:tcPr>
          <w:p w14:paraId="7FE6E982" w14:textId="77777777" w:rsidR="007943A8" w:rsidRPr="007943A8" w:rsidRDefault="007943A8" w:rsidP="005A33D4">
            <w:r w:rsidRPr="007943A8">
              <w:t>27</w:t>
            </w:r>
          </w:p>
        </w:tc>
        <w:tc>
          <w:tcPr>
            <w:tcW w:w="1134" w:type="dxa"/>
            <w:shd w:val="clear" w:color="auto" w:fill="F5EDC1" w:themeFill="accent4"/>
          </w:tcPr>
          <w:p w14:paraId="58991F87" w14:textId="77777777" w:rsidR="007943A8" w:rsidRPr="007943A8" w:rsidRDefault="007943A8" w:rsidP="005A33D4">
            <w:r w:rsidRPr="007943A8">
              <w:t>6,918</w:t>
            </w:r>
          </w:p>
        </w:tc>
        <w:tc>
          <w:tcPr>
            <w:tcW w:w="1275" w:type="dxa"/>
            <w:shd w:val="clear" w:color="auto" w:fill="D4E2E0" w:themeFill="accent5"/>
          </w:tcPr>
          <w:p w14:paraId="055B6F43" w14:textId="77777777" w:rsidR="007943A8" w:rsidRPr="007943A8" w:rsidRDefault="007943A8" w:rsidP="005A33D4">
            <w:r w:rsidRPr="007943A8">
              <w:t>6,303</w:t>
            </w:r>
          </w:p>
        </w:tc>
      </w:tr>
      <w:tr w:rsidR="00CD28DB" w:rsidRPr="007943A8" w14:paraId="7B6DCA7A" w14:textId="77777777" w:rsidTr="005A33D4">
        <w:trPr>
          <w:trHeight w:hRule="exact" w:val="559"/>
        </w:trPr>
        <w:tc>
          <w:tcPr>
            <w:tcW w:w="5108" w:type="dxa"/>
          </w:tcPr>
          <w:p w14:paraId="5BDD7534" w14:textId="77777777" w:rsidR="007943A8" w:rsidRPr="00DA1E18" w:rsidRDefault="007943A8" w:rsidP="005A33D4">
            <w:pPr>
              <w:rPr>
                <w:rStyle w:val="Strong"/>
              </w:rPr>
            </w:pPr>
            <w:r w:rsidRPr="00DA1E18">
              <w:rPr>
                <w:rStyle w:val="Strong"/>
              </w:rPr>
              <w:t>Total Current Liabilities</w:t>
            </w:r>
          </w:p>
        </w:tc>
        <w:tc>
          <w:tcPr>
            <w:tcW w:w="993" w:type="dxa"/>
          </w:tcPr>
          <w:p w14:paraId="59E64247" w14:textId="77777777" w:rsidR="007943A8" w:rsidRPr="00DA1E18" w:rsidRDefault="007943A8" w:rsidP="005A33D4">
            <w:pPr>
              <w:rPr>
                <w:rStyle w:val="Strong"/>
              </w:rPr>
            </w:pPr>
          </w:p>
        </w:tc>
        <w:tc>
          <w:tcPr>
            <w:tcW w:w="1134" w:type="dxa"/>
            <w:tcBorders>
              <w:bottom w:val="single" w:sz="4" w:space="0" w:color="auto"/>
            </w:tcBorders>
            <w:shd w:val="clear" w:color="auto" w:fill="F5EDC1" w:themeFill="accent4"/>
          </w:tcPr>
          <w:p w14:paraId="41B3D40A" w14:textId="48C6C0D6" w:rsidR="007943A8" w:rsidRPr="00DA1E18" w:rsidRDefault="00D65D6C" w:rsidP="005A33D4">
            <w:pPr>
              <w:rPr>
                <w:rStyle w:val="Strong"/>
              </w:rPr>
            </w:pPr>
            <w:r w:rsidRPr="00DA1E18">
              <w:rPr>
                <w:rStyle w:val="Strong"/>
              </w:rPr>
              <w:t>8,156</w:t>
            </w:r>
          </w:p>
        </w:tc>
        <w:tc>
          <w:tcPr>
            <w:tcW w:w="1275" w:type="dxa"/>
            <w:tcBorders>
              <w:bottom w:val="single" w:sz="4" w:space="0" w:color="auto"/>
            </w:tcBorders>
            <w:shd w:val="clear" w:color="auto" w:fill="D4E2E0" w:themeFill="accent5"/>
          </w:tcPr>
          <w:p w14:paraId="18A7E0F5" w14:textId="63D6839C" w:rsidR="007943A8" w:rsidRPr="00DA1E18" w:rsidRDefault="00D65D6C" w:rsidP="005A33D4">
            <w:pPr>
              <w:rPr>
                <w:rStyle w:val="Strong"/>
              </w:rPr>
            </w:pPr>
            <w:r w:rsidRPr="00DA1E18">
              <w:rPr>
                <w:rStyle w:val="Strong"/>
              </w:rPr>
              <w:t>7,166</w:t>
            </w:r>
          </w:p>
        </w:tc>
      </w:tr>
      <w:tr w:rsidR="00D65D6C" w:rsidRPr="007943A8" w14:paraId="7D9062F8" w14:textId="77777777" w:rsidTr="005A33D4">
        <w:trPr>
          <w:trHeight w:hRule="exact" w:val="1004"/>
        </w:trPr>
        <w:tc>
          <w:tcPr>
            <w:tcW w:w="5108" w:type="dxa"/>
            <w:shd w:val="clear" w:color="auto" w:fill="FFFFFF" w:themeFill="background1"/>
          </w:tcPr>
          <w:p w14:paraId="7108002E" w14:textId="55CC5AB0" w:rsidR="00D65D6C" w:rsidRPr="00DA1E18" w:rsidRDefault="005A33D4" w:rsidP="005A33D4">
            <w:pPr>
              <w:rPr>
                <w:rStyle w:val="Emphasis"/>
              </w:rPr>
            </w:pPr>
            <w:r>
              <w:rPr>
                <w:i/>
              </w:rPr>
              <w:br/>
            </w:r>
            <w:r w:rsidR="00D65D6C" w:rsidRPr="00DA1E18">
              <w:rPr>
                <w:rStyle w:val="Emphasis"/>
              </w:rPr>
              <w:t>Non-current Liabilities</w:t>
            </w:r>
          </w:p>
        </w:tc>
        <w:tc>
          <w:tcPr>
            <w:tcW w:w="993" w:type="dxa"/>
            <w:shd w:val="clear" w:color="auto" w:fill="FFFFFF" w:themeFill="background1"/>
          </w:tcPr>
          <w:p w14:paraId="5AFBEA62" w14:textId="77777777" w:rsidR="00D65D6C" w:rsidRPr="007943A8" w:rsidRDefault="00D65D6C" w:rsidP="005A33D4"/>
        </w:tc>
        <w:tc>
          <w:tcPr>
            <w:tcW w:w="1134" w:type="dxa"/>
            <w:tcBorders>
              <w:top w:val="single" w:sz="4" w:space="0" w:color="auto"/>
            </w:tcBorders>
            <w:shd w:val="clear" w:color="auto" w:fill="FFFFFF" w:themeFill="background1"/>
          </w:tcPr>
          <w:p w14:paraId="0D5B8D3E" w14:textId="77777777" w:rsidR="00D65D6C" w:rsidRDefault="00D65D6C" w:rsidP="005A33D4"/>
        </w:tc>
        <w:tc>
          <w:tcPr>
            <w:tcW w:w="1275" w:type="dxa"/>
            <w:tcBorders>
              <w:top w:val="single" w:sz="4" w:space="0" w:color="auto"/>
            </w:tcBorders>
            <w:shd w:val="clear" w:color="auto" w:fill="FFFFFF" w:themeFill="background1"/>
          </w:tcPr>
          <w:p w14:paraId="0C463C9F" w14:textId="77777777" w:rsidR="00D65D6C" w:rsidRDefault="00D65D6C" w:rsidP="005A33D4"/>
        </w:tc>
      </w:tr>
      <w:tr w:rsidR="00D65D6C" w:rsidRPr="007943A8" w14:paraId="2FAFED4C" w14:textId="77777777" w:rsidTr="005A33D4">
        <w:trPr>
          <w:trHeight w:hRule="exact" w:val="566"/>
        </w:trPr>
        <w:tc>
          <w:tcPr>
            <w:tcW w:w="5108" w:type="dxa"/>
          </w:tcPr>
          <w:p w14:paraId="0D72B2D5" w14:textId="10A4E3A4" w:rsidR="00D65D6C" w:rsidRPr="007943A8" w:rsidRDefault="00D65D6C" w:rsidP="005A33D4">
            <w:r>
              <w:t xml:space="preserve">Provisions </w:t>
            </w:r>
          </w:p>
        </w:tc>
        <w:tc>
          <w:tcPr>
            <w:tcW w:w="993" w:type="dxa"/>
          </w:tcPr>
          <w:p w14:paraId="044359A4" w14:textId="20BDBF1B" w:rsidR="00D65D6C" w:rsidRPr="007943A8" w:rsidRDefault="00D65D6C" w:rsidP="005A33D4">
            <w:r>
              <w:t>27</w:t>
            </w:r>
          </w:p>
        </w:tc>
        <w:tc>
          <w:tcPr>
            <w:tcW w:w="1134" w:type="dxa"/>
            <w:shd w:val="clear" w:color="auto" w:fill="F5EDC1" w:themeFill="accent4"/>
          </w:tcPr>
          <w:p w14:paraId="26D2AE43" w14:textId="2A592EF3" w:rsidR="00D65D6C" w:rsidRDefault="00D65D6C" w:rsidP="005A33D4">
            <w:r>
              <w:t>29,610</w:t>
            </w:r>
          </w:p>
        </w:tc>
        <w:tc>
          <w:tcPr>
            <w:tcW w:w="1275" w:type="dxa"/>
            <w:shd w:val="clear" w:color="auto" w:fill="D4E2E0" w:themeFill="accent5"/>
          </w:tcPr>
          <w:p w14:paraId="7B741754" w14:textId="3A6AE656" w:rsidR="00D65D6C" w:rsidRDefault="00D65D6C" w:rsidP="005A33D4">
            <w:r>
              <w:t>34,316</w:t>
            </w:r>
          </w:p>
        </w:tc>
      </w:tr>
      <w:tr w:rsidR="00D65D6C" w:rsidRPr="007943A8" w14:paraId="4FCC7B78" w14:textId="77777777" w:rsidTr="005A33D4">
        <w:trPr>
          <w:trHeight w:hRule="exact" w:val="698"/>
        </w:trPr>
        <w:tc>
          <w:tcPr>
            <w:tcW w:w="5108" w:type="dxa"/>
          </w:tcPr>
          <w:p w14:paraId="0C4070DF" w14:textId="321344B7" w:rsidR="00D65D6C" w:rsidRPr="00DA1E18" w:rsidRDefault="00D65D6C" w:rsidP="005A33D4">
            <w:pPr>
              <w:rPr>
                <w:rStyle w:val="Strong"/>
              </w:rPr>
            </w:pPr>
            <w:r w:rsidRPr="00DA1E18">
              <w:rPr>
                <w:rStyle w:val="Strong"/>
              </w:rPr>
              <w:t>Total Non-Current Liabilities</w:t>
            </w:r>
          </w:p>
        </w:tc>
        <w:tc>
          <w:tcPr>
            <w:tcW w:w="993" w:type="dxa"/>
          </w:tcPr>
          <w:p w14:paraId="1F36DA1B" w14:textId="77777777" w:rsidR="00D65D6C" w:rsidRPr="007943A8" w:rsidRDefault="00D65D6C" w:rsidP="005A33D4"/>
        </w:tc>
        <w:tc>
          <w:tcPr>
            <w:tcW w:w="1134" w:type="dxa"/>
            <w:tcBorders>
              <w:bottom w:val="single" w:sz="4" w:space="0" w:color="auto"/>
            </w:tcBorders>
            <w:shd w:val="clear" w:color="auto" w:fill="F5EDC1" w:themeFill="accent4"/>
          </w:tcPr>
          <w:p w14:paraId="1659EF0A" w14:textId="283FE14C" w:rsidR="00D65D6C" w:rsidRDefault="00D65D6C" w:rsidP="005A33D4">
            <w:r>
              <w:t>29,610</w:t>
            </w:r>
          </w:p>
        </w:tc>
        <w:tc>
          <w:tcPr>
            <w:tcW w:w="1275" w:type="dxa"/>
            <w:tcBorders>
              <w:bottom w:val="single" w:sz="4" w:space="0" w:color="auto"/>
            </w:tcBorders>
            <w:shd w:val="clear" w:color="auto" w:fill="D4E2E0" w:themeFill="accent5"/>
          </w:tcPr>
          <w:p w14:paraId="13341313" w14:textId="35B2D8A8" w:rsidR="00D65D6C" w:rsidRDefault="00D65D6C" w:rsidP="005A33D4">
            <w:r>
              <w:t>34,316</w:t>
            </w:r>
          </w:p>
        </w:tc>
      </w:tr>
      <w:tr w:rsidR="00D65D6C" w:rsidRPr="007943A8" w14:paraId="04948986" w14:textId="77777777" w:rsidTr="005A33D4">
        <w:trPr>
          <w:trHeight w:hRule="exact" w:val="709"/>
        </w:trPr>
        <w:tc>
          <w:tcPr>
            <w:tcW w:w="5108" w:type="dxa"/>
          </w:tcPr>
          <w:p w14:paraId="68B98576" w14:textId="292E79C7" w:rsidR="00D65D6C" w:rsidRPr="00DA1E18" w:rsidRDefault="00D65D6C" w:rsidP="005A33D4">
            <w:pPr>
              <w:rPr>
                <w:rStyle w:val="Strong"/>
              </w:rPr>
            </w:pPr>
            <w:r w:rsidRPr="00DA1E18">
              <w:rPr>
                <w:rStyle w:val="Strong"/>
              </w:rPr>
              <w:t>Total Liabilities</w:t>
            </w:r>
          </w:p>
        </w:tc>
        <w:tc>
          <w:tcPr>
            <w:tcW w:w="993" w:type="dxa"/>
          </w:tcPr>
          <w:p w14:paraId="3041E77F" w14:textId="77777777" w:rsidR="00D65D6C" w:rsidRPr="007943A8" w:rsidRDefault="00D65D6C" w:rsidP="005A33D4"/>
        </w:tc>
        <w:tc>
          <w:tcPr>
            <w:tcW w:w="1134" w:type="dxa"/>
            <w:tcBorders>
              <w:top w:val="single" w:sz="4" w:space="0" w:color="auto"/>
              <w:bottom w:val="single" w:sz="4" w:space="0" w:color="auto"/>
            </w:tcBorders>
            <w:shd w:val="clear" w:color="auto" w:fill="F5EDC1" w:themeFill="accent4"/>
          </w:tcPr>
          <w:p w14:paraId="6B5AAEA1" w14:textId="309C16BD" w:rsidR="00D65D6C" w:rsidRDefault="005A33D4" w:rsidP="005A33D4">
            <w:r>
              <w:t>37,766</w:t>
            </w:r>
          </w:p>
        </w:tc>
        <w:tc>
          <w:tcPr>
            <w:tcW w:w="1275" w:type="dxa"/>
            <w:tcBorders>
              <w:top w:val="single" w:sz="4" w:space="0" w:color="auto"/>
              <w:bottom w:val="single" w:sz="4" w:space="0" w:color="auto"/>
            </w:tcBorders>
            <w:shd w:val="clear" w:color="auto" w:fill="D4E2E0" w:themeFill="accent5"/>
          </w:tcPr>
          <w:p w14:paraId="10EA38DF" w14:textId="621873D5" w:rsidR="00D65D6C" w:rsidRDefault="005A33D4" w:rsidP="005A33D4">
            <w:r>
              <w:t>41,482</w:t>
            </w:r>
          </w:p>
        </w:tc>
      </w:tr>
      <w:tr w:rsidR="00D65D6C" w:rsidRPr="007943A8" w14:paraId="6F2A4876" w14:textId="77777777" w:rsidTr="005A33D4">
        <w:trPr>
          <w:trHeight w:hRule="exact" w:val="576"/>
        </w:trPr>
        <w:tc>
          <w:tcPr>
            <w:tcW w:w="5108" w:type="dxa"/>
          </w:tcPr>
          <w:p w14:paraId="3D3DD4F7" w14:textId="1CBBA03F" w:rsidR="00D65D6C" w:rsidRPr="007943A8" w:rsidRDefault="00D65D6C" w:rsidP="005A33D4">
            <w:r>
              <w:t>Net Assets</w:t>
            </w:r>
          </w:p>
        </w:tc>
        <w:tc>
          <w:tcPr>
            <w:tcW w:w="993" w:type="dxa"/>
          </w:tcPr>
          <w:p w14:paraId="081FD1B0" w14:textId="77777777" w:rsidR="00D65D6C" w:rsidRPr="007943A8" w:rsidRDefault="00D65D6C" w:rsidP="005A33D4"/>
        </w:tc>
        <w:tc>
          <w:tcPr>
            <w:tcW w:w="1134" w:type="dxa"/>
            <w:tcBorders>
              <w:top w:val="single" w:sz="4" w:space="0" w:color="auto"/>
              <w:bottom w:val="single" w:sz="4" w:space="0" w:color="auto"/>
            </w:tcBorders>
            <w:shd w:val="clear" w:color="auto" w:fill="F5EDC1" w:themeFill="accent4"/>
          </w:tcPr>
          <w:p w14:paraId="47BC0B21" w14:textId="64FF4689" w:rsidR="00D65D6C" w:rsidRDefault="00D65D6C" w:rsidP="005A33D4">
            <w:r>
              <w:t>92,716</w:t>
            </w:r>
          </w:p>
        </w:tc>
        <w:tc>
          <w:tcPr>
            <w:tcW w:w="1275" w:type="dxa"/>
            <w:tcBorders>
              <w:top w:val="single" w:sz="4" w:space="0" w:color="auto"/>
              <w:bottom w:val="single" w:sz="4" w:space="0" w:color="auto"/>
            </w:tcBorders>
            <w:shd w:val="clear" w:color="auto" w:fill="D4E2E0" w:themeFill="accent5"/>
          </w:tcPr>
          <w:p w14:paraId="1403C1B0" w14:textId="3041D1B5" w:rsidR="00D65D6C" w:rsidRDefault="00D65D6C" w:rsidP="005A33D4">
            <w:r>
              <w:t>77,862</w:t>
            </w:r>
          </w:p>
        </w:tc>
      </w:tr>
      <w:tr w:rsidR="00D65D6C" w:rsidRPr="007943A8" w14:paraId="48D0D156" w14:textId="77777777" w:rsidTr="005A33D4">
        <w:trPr>
          <w:trHeight w:hRule="exact" w:val="429"/>
        </w:trPr>
        <w:tc>
          <w:tcPr>
            <w:tcW w:w="5108" w:type="dxa"/>
          </w:tcPr>
          <w:p w14:paraId="608AD462" w14:textId="6816E1B8" w:rsidR="00D65D6C" w:rsidRPr="00DA1E18" w:rsidRDefault="00D65D6C" w:rsidP="005A33D4">
            <w:pPr>
              <w:rPr>
                <w:rStyle w:val="Strong"/>
              </w:rPr>
            </w:pPr>
            <w:r w:rsidRPr="00DA1E18">
              <w:rPr>
                <w:rStyle w:val="Strong"/>
              </w:rPr>
              <w:t>Equity</w:t>
            </w:r>
          </w:p>
        </w:tc>
        <w:tc>
          <w:tcPr>
            <w:tcW w:w="993" w:type="dxa"/>
            <w:shd w:val="clear" w:color="auto" w:fill="FFFFFF" w:themeFill="background1"/>
          </w:tcPr>
          <w:p w14:paraId="49028B6B" w14:textId="50DE4F4C" w:rsidR="00D65D6C" w:rsidRPr="007943A8" w:rsidRDefault="00D65D6C" w:rsidP="005A33D4">
            <w:r>
              <w:t>28</w:t>
            </w:r>
          </w:p>
        </w:tc>
        <w:tc>
          <w:tcPr>
            <w:tcW w:w="1134" w:type="dxa"/>
            <w:tcBorders>
              <w:top w:val="single" w:sz="4" w:space="0" w:color="auto"/>
            </w:tcBorders>
            <w:shd w:val="clear" w:color="auto" w:fill="FFFFFF" w:themeFill="background1"/>
          </w:tcPr>
          <w:p w14:paraId="01AB5D38" w14:textId="77777777" w:rsidR="00D65D6C" w:rsidRDefault="00D65D6C" w:rsidP="005A33D4"/>
        </w:tc>
        <w:tc>
          <w:tcPr>
            <w:tcW w:w="1275" w:type="dxa"/>
            <w:tcBorders>
              <w:top w:val="single" w:sz="4" w:space="0" w:color="auto"/>
            </w:tcBorders>
            <w:shd w:val="clear" w:color="auto" w:fill="FFFFFF" w:themeFill="background1"/>
          </w:tcPr>
          <w:p w14:paraId="2623DC8D" w14:textId="77777777" w:rsidR="00D65D6C" w:rsidRDefault="00D65D6C" w:rsidP="005A33D4"/>
        </w:tc>
      </w:tr>
      <w:tr w:rsidR="00D65D6C" w:rsidRPr="007943A8" w14:paraId="2AB6E9D5" w14:textId="77777777" w:rsidTr="005A33D4">
        <w:trPr>
          <w:trHeight w:hRule="exact" w:val="422"/>
        </w:trPr>
        <w:tc>
          <w:tcPr>
            <w:tcW w:w="5108" w:type="dxa"/>
          </w:tcPr>
          <w:p w14:paraId="3C5C1A3B" w14:textId="7B94EF52" w:rsidR="00D65D6C" w:rsidRPr="007943A8" w:rsidRDefault="00D65D6C" w:rsidP="005A33D4">
            <w:r>
              <w:t>Reserves</w:t>
            </w:r>
          </w:p>
        </w:tc>
        <w:tc>
          <w:tcPr>
            <w:tcW w:w="993" w:type="dxa"/>
          </w:tcPr>
          <w:p w14:paraId="3467285E" w14:textId="77777777" w:rsidR="00D65D6C" w:rsidRPr="007943A8" w:rsidRDefault="00D65D6C" w:rsidP="005A33D4"/>
        </w:tc>
        <w:tc>
          <w:tcPr>
            <w:tcW w:w="1134" w:type="dxa"/>
            <w:shd w:val="clear" w:color="auto" w:fill="F5EDC1" w:themeFill="accent4"/>
          </w:tcPr>
          <w:p w14:paraId="74847D4E" w14:textId="1BAE1F64" w:rsidR="00D65D6C" w:rsidRDefault="00D65D6C" w:rsidP="005A33D4">
            <w:r>
              <w:t>17,500</w:t>
            </w:r>
          </w:p>
        </w:tc>
        <w:tc>
          <w:tcPr>
            <w:tcW w:w="1275" w:type="dxa"/>
            <w:shd w:val="clear" w:color="auto" w:fill="D4E2E0" w:themeFill="accent5"/>
          </w:tcPr>
          <w:p w14:paraId="19C80D67" w14:textId="01F709E3" w:rsidR="00D65D6C" w:rsidRDefault="00D65D6C" w:rsidP="005A33D4">
            <w:r>
              <w:t>20,165</w:t>
            </w:r>
          </w:p>
        </w:tc>
      </w:tr>
      <w:tr w:rsidR="00D65D6C" w:rsidRPr="007943A8" w14:paraId="05413BFF" w14:textId="77777777" w:rsidTr="005A33D4">
        <w:trPr>
          <w:trHeight w:hRule="exact" w:val="556"/>
        </w:trPr>
        <w:tc>
          <w:tcPr>
            <w:tcW w:w="5108" w:type="dxa"/>
          </w:tcPr>
          <w:p w14:paraId="6714509B" w14:textId="7D42F2AC" w:rsidR="00D65D6C" w:rsidRPr="007943A8" w:rsidRDefault="00D65D6C" w:rsidP="005A33D4">
            <w:r>
              <w:t>Retained earnings</w:t>
            </w:r>
          </w:p>
        </w:tc>
        <w:tc>
          <w:tcPr>
            <w:tcW w:w="993" w:type="dxa"/>
          </w:tcPr>
          <w:p w14:paraId="11652E57" w14:textId="77777777" w:rsidR="00D65D6C" w:rsidRPr="007943A8" w:rsidRDefault="00D65D6C" w:rsidP="005A33D4"/>
        </w:tc>
        <w:tc>
          <w:tcPr>
            <w:tcW w:w="1134" w:type="dxa"/>
            <w:shd w:val="clear" w:color="auto" w:fill="F5EDC1" w:themeFill="accent4"/>
          </w:tcPr>
          <w:p w14:paraId="71AF85E3" w14:textId="0C64ACF2" w:rsidR="00D65D6C" w:rsidRDefault="00D65D6C" w:rsidP="005A33D4">
            <w:r>
              <w:t>75,216</w:t>
            </w:r>
          </w:p>
        </w:tc>
        <w:tc>
          <w:tcPr>
            <w:tcW w:w="1275" w:type="dxa"/>
            <w:shd w:val="clear" w:color="auto" w:fill="D4E2E0" w:themeFill="accent5"/>
          </w:tcPr>
          <w:p w14:paraId="75B03DD6" w14:textId="0D4B7F15" w:rsidR="00D65D6C" w:rsidRDefault="00D65D6C" w:rsidP="005A33D4">
            <w:r>
              <w:t>57,697</w:t>
            </w:r>
          </w:p>
        </w:tc>
      </w:tr>
      <w:tr w:rsidR="00D65D6C" w:rsidRPr="005A33D4" w14:paraId="16B5A6AC" w14:textId="77777777" w:rsidTr="00CD28DB">
        <w:trPr>
          <w:trHeight w:hRule="exact" w:val="285"/>
        </w:trPr>
        <w:tc>
          <w:tcPr>
            <w:tcW w:w="5108" w:type="dxa"/>
          </w:tcPr>
          <w:p w14:paraId="053BFDFE" w14:textId="51C7C7CF" w:rsidR="00D65D6C" w:rsidRPr="00DA1E18" w:rsidRDefault="00D65D6C" w:rsidP="005A33D4">
            <w:pPr>
              <w:rPr>
                <w:rStyle w:val="Strong"/>
              </w:rPr>
            </w:pPr>
            <w:r w:rsidRPr="00DA1E18">
              <w:rPr>
                <w:rStyle w:val="Strong"/>
              </w:rPr>
              <w:t>Total Equity</w:t>
            </w:r>
          </w:p>
        </w:tc>
        <w:tc>
          <w:tcPr>
            <w:tcW w:w="993" w:type="dxa"/>
          </w:tcPr>
          <w:p w14:paraId="698BA51B" w14:textId="77777777" w:rsidR="00D65D6C" w:rsidRPr="00DA1E18" w:rsidRDefault="00D65D6C" w:rsidP="005A33D4">
            <w:pPr>
              <w:rPr>
                <w:rStyle w:val="Strong"/>
              </w:rPr>
            </w:pPr>
          </w:p>
        </w:tc>
        <w:tc>
          <w:tcPr>
            <w:tcW w:w="1134" w:type="dxa"/>
            <w:tcBorders>
              <w:bottom w:val="single" w:sz="4" w:space="0" w:color="auto"/>
            </w:tcBorders>
            <w:shd w:val="clear" w:color="auto" w:fill="F5EDC1" w:themeFill="accent4"/>
          </w:tcPr>
          <w:p w14:paraId="2D49E09D" w14:textId="78493A4B" w:rsidR="00D65D6C" w:rsidRPr="00DA1E18" w:rsidRDefault="00D65D6C" w:rsidP="005A33D4">
            <w:pPr>
              <w:rPr>
                <w:rStyle w:val="Strong"/>
              </w:rPr>
            </w:pPr>
            <w:r w:rsidRPr="00DA1E18">
              <w:rPr>
                <w:rStyle w:val="Strong"/>
              </w:rPr>
              <w:t>92,716</w:t>
            </w:r>
          </w:p>
        </w:tc>
        <w:tc>
          <w:tcPr>
            <w:tcW w:w="1275" w:type="dxa"/>
            <w:tcBorders>
              <w:bottom w:val="single" w:sz="4" w:space="0" w:color="auto"/>
            </w:tcBorders>
            <w:shd w:val="clear" w:color="auto" w:fill="D4E2E0" w:themeFill="accent5"/>
          </w:tcPr>
          <w:p w14:paraId="063ABEC8" w14:textId="2C4E573E" w:rsidR="00D65D6C" w:rsidRPr="00DA1E18" w:rsidRDefault="00D65D6C" w:rsidP="005A33D4">
            <w:pPr>
              <w:rPr>
                <w:rStyle w:val="Strong"/>
              </w:rPr>
            </w:pPr>
            <w:r w:rsidRPr="00DA1E18">
              <w:rPr>
                <w:rStyle w:val="Strong"/>
              </w:rPr>
              <w:t>77,862</w:t>
            </w:r>
          </w:p>
        </w:tc>
      </w:tr>
    </w:tbl>
    <w:p w14:paraId="4263B9AB" w14:textId="77777777" w:rsidR="00D65D6C" w:rsidRPr="00D65D6C" w:rsidRDefault="00D65D6C" w:rsidP="00D65D6C">
      <w:pPr>
        <w:rPr>
          <w:rFonts w:cs="Arial"/>
        </w:rPr>
      </w:pPr>
    </w:p>
    <w:p w14:paraId="298B0BB6" w14:textId="77777777" w:rsidR="00D85C8A" w:rsidRDefault="00D65D6C" w:rsidP="00D65D6C">
      <w:r w:rsidRPr="00D65D6C">
        <w:t>The Statement of Financial Position should be read in conjunction with the accompanying notes.</w:t>
      </w:r>
    </w:p>
    <w:p w14:paraId="1323648B" w14:textId="5AD82542" w:rsidR="00D85C8A" w:rsidRPr="006258B8" w:rsidRDefault="0008753A" w:rsidP="006258B8">
      <w:pPr>
        <w:pStyle w:val="Heading1nonumber"/>
        <w:rPr>
          <w:color w:val="auto"/>
          <w:lang w:eastAsia="en-AU"/>
        </w:rPr>
      </w:pPr>
      <w:r>
        <w:br w:type="column"/>
      </w:r>
      <w:bookmarkStart w:id="675" w:name="_Toc430091353"/>
      <w:r w:rsidR="00D85C8A">
        <w:rPr>
          <w:spacing w:val="-12"/>
        </w:rPr>
        <w:lastRenderedPageBreak/>
        <w:t>S</w:t>
      </w:r>
      <w:r w:rsidR="00D85C8A">
        <w:t>t</w:t>
      </w:r>
      <w:r w:rsidR="00D85C8A">
        <w:rPr>
          <w:spacing w:val="-6"/>
        </w:rPr>
        <w:t>a</w:t>
      </w:r>
      <w:r w:rsidR="00D85C8A">
        <w:t>te</w:t>
      </w:r>
      <w:r w:rsidR="00D85C8A">
        <w:rPr>
          <w:spacing w:val="-8"/>
        </w:rPr>
        <w:t>m</w:t>
      </w:r>
      <w:r w:rsidR="00D85C8A">
        <w:rPr>
          <w:spacing w:val="-10"/>
        </w:rPr>
        <w:t>e</w:t>
      </w:r>
      <w:r w:rsidR="00D85C8A">
        <w:rPr>
          <w:spacing w:val="-8"/>
        </w:rPr>
        <w:t>n</w:t>
      </w:r>
      <w:r w:rsidR="00D85C8A">
        <w:t>t</w:t>
      </w:r>
      <w:r w:rsidR="00D85C8A">
        <w:rPr>
          <w:spacing w:val="-18"/>
        </w:rPr>
        <w:t xml:space="preserve"> </w:t>
      </w:r>
      <w:r w:rsidR="00D85C8A">
        <w:rPr>
          <w:spacing w:val="-6"/>
        </w:rPr>
        <w:t>o</w:t>
      </w:r>
      <w:r w:rsidR="00D85C8A">
        <w:t>f</w:t>
      </w:r>
      <w:r w:rsidR="00D85C8A">
        <w:rPr>
          <w:spacing w:val="-18"/>
        </w:rPr>
        <w:t xml:space="preserve"> </w:t>
      </w:r>
      <w:r w:rsidR="00D85C8A">
        <w:t>Changes</w:t>
      </w:r>
      <w:r w:rsidR="00D85C8A">
        <w:rPr>
          <w:spacing w:val="-18"/>
        </w:rPr>
        <w:t xml:space="preserve"> </w:t>
      </w:r>
      <w:r w:rsidR="00D85C8A">
        <w:t>in</w:t>
      </w:r>
      <w:r w:rsidR="00D85C8A">
        <w:rPr>
          <w:spacing w:val="-18"/>
        </w:rPr>
        <w:t xml:space="preserve"> </w:t>
      </w:r>
      <w:r w:rsidR="00D85C8A">
        <w:t>Equity</w:t>
      </w:r>
      <w:bookmarkEnd w:id="675"/>
    </w:p>
    <w:p w14:paraId="4FD4E9E8" w14:textId="77777777" w:rsidR="00D85C8A" w:rsidRDefault="00D85C8A" w:rsidP="00D85C8A">
      <w:pPr>
        <w:pStyle w:val="Heading2nonumber"/>
      </w:pPr>
      <w:bookmarkStart w:id="676" w:name="_Toc430091354"/>
      <w:r>
        <w:rPr>
          <w:spacing w:val="-8"/>
        </w:rPr>
        <w:t>F</w:t>
      </w:r>
      <w:r>
        <w:rPr>
          <w:spacing w:val="-3"/>
        </w:rPr>
        <w:t>o</w:t>
      </w:r>
      <w:r>
        <w:t>r</w:t>
      </w:r>
      <w:r>
        <w:rPr>
          <w:spacing w:val="-15"/>
        </w:rPr>
        <w:t xml:space="preserve"> </w:t>
      </w:r>
      <w:r>
        <w:rPr>
          <w:spacing w:val="-5"/>
        </w:rPr>
        <w:t>t</w:t>
      </w:r>
      <w:r>
        <w:rPr>
          <w:spacing w:val="-6"/>
        </w:rPr>
        <w:t>h</w:t>
      </w:r>
      <w:r>
        <w:t>e</w:t>
      </w:r>
      <w:r>
        <w:rPr>
          <w:spacing w:val="-15"/>
        </w:rPr>
        <w:t xml:space="preserve"> y</w:t>
      </w:r>
      <w:r>
        <w:rPr>
          <w:spacing w:val="-7"/>
        </w:rPr>
        <w:t>e</w:t>
      </w:r>
      <w:r>
        <w:rPr>
          <w:spacing w:val="-2"/>
        </w:rPr>
        <w:t>a</w:t>
      </w:r>
      <w:r>
        <w:t>r</w:t>
      </w:r>
      <w:r>
        <w:rPr>
          <w:spacing w:val="-15"/>
        </w:rPr>
        <w:t xml:space="preserve"> </w:t>
      </w:r>
      <w:r>
        <w:rPr>
          <w:spacing w:val="-7"/>
        </w:rPr>
        <w:t>e</w:t>
      </w:r>
      <w:r>
        <w:rPr>
          <w:spacing w:val="-6"/>
        </w:rPr>
        <w:t>n</w:t>
      </w:r>
      <w:r>
        <w:rPr>
          <w:spacing w:val="-7"/>
        </w:rPr>
        <w:t>de</w:t>
      </w:r>
      <w:r>
        <w:t>d</w:t>
      </w:r>
      <w:r>
        <w:rPr>
          <w:spacing w:val="-15"/>
        </w:rPr>
        <w:t xml:space="preserve"> </w:t>
      </w:r>
      <w:r>
        <w:t>30</w:t>
      </w:r>
      <w:r>
        <w:rPr>
          <w:spacing w:val="-14"/>
        </w:rPr>
        <w:t xml:space="preserve"> </w:t>
      </w:r>
      <w:r>
        <w:rPr>
          <w:spacing w:val="-8"/>
        </w:rPr>
        <w:t>J</w:t>
      </w:r>
      <w:r>
        <w:rPr>
          <w:spacing w:val="-7"/>
        </w:rPr>
        <w:t>u</w:t>
      </w:r>
      <w:r>
        <w:rPr>
          <w:spacing w:val="-6"/>
        </w:rPr>
        <w:t>n</w:t>
      </w:r>
      <w:r>
        <w:t>e</w:t>
      </w:r>
      <w:r>
        <w:rPr>
          <w:spacing w:val="-16"/>
        </w:rPr>
        <w:t xml:space="preserve"> </w:t>
      </w:r>
      <w:r>
        <w:rPr>
          <w:spacing w:val="-1"/>
        </w:rPr>
        <w:t>2</w:t>
      </w:r>
      <w:r>
        <w:rPr>
          <w:spacing w:val="-14"/>
        </w:rPr>
        <w:t>0</w:t>
      </w:r>
      <w:r>
        <w:rPr>
          <w:spacing w:val="-22"/>
        </w:rPr>
        <w:t>1</w:t>
      </w:r>
      <w:r>
        <w:t>5</w:t>
      </w:r>
      <w:bookmarkEnd w:id="6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1634"/>
        <w:gridCol w:w="1404"/>
        <w:gridCol w:w="1402"/>
        <w:gridCol w:w="1312"/>
      </w:tblGrid>
      <w:tr w:rsidR="00D85C8A" w14:paraId="34760FB4" w14:textId="77777777" w:rsidTr="001C6A10">
        <w:tc>
          <w:tcPr>
            <w:tcW w:w="3369" w:type="dxa"/>
          </w:tcPr>
          <w:p w14:paraId="6A697D2E" w14:textId="77777777" w:rsidR="00D85C8A" w:rsidRDefault="00D85C8A" w:rsidP="00D85C8A">
            <w:pPr>
              <w:spacing w:after="0"/>
            </w:pPr>
          </w:p>
        </w:tc>
        <w:tc>
          <w:tcPr>
            <w:tcW w:w="1701" w:type="dxa"/>
          </w:tcPr>
          <w:p w14:paraId="6BF4358F" w14:textId="795E5215" w:rsidR="00D85C8A" w:rsidRDefault="00D85C8A" w:rsidP="00D85C8A">
            <w:pPr>
              <w:spacing w:after="0"/>
              <w:jc w:val="right"/>
            </w:pPr>
            <w:r>
              <w:t>Note</w:t>
            </w:r>
          </w:p>
        </w:tc>
        <w:tc>
          <w:tcPr>
            <w:tcW w:w="1417" w:type="dxa"/>
          </w:tcPr>
          <w:p w14:paraId="12B7A5B7" w14:textId="03913C25" w:rsidR="00D85C8A" w:rsidRDefault="00D85C8A" w:rsidP="00D85C8A">
            <w:pPr>
              <w:spacing w:after="0"/>
              <w:jc w:val="right"/>
            </w:pPr>
            <w:r>
              <w:t>Reserves</w:t>
            </w:r>
          </w:p>
        </w:tc>
        <w:tc>
          <w:tcPr>
            <w:tcW w:w="1418" w:type="dxa"/>
          </w:tcPr>
          <w:p w14:paraId="2A5D0D36" w14:textId="75BD0C6A" w:rsidR="00D85C8A" w:rsidRDefault="00D85C8A" w:rsidP="00D85C8A">
            <w:pPr>
              <w:spacing w:after="0"/>
              <w:jc w:val="right"/>
            </w:pPr>
            <w:r>
              <w:t>Retained earnings</w:t>
            </w:r>
          </w:p>
        </w:tc>
        <w:tc>
          <w:tcPr>
            <w:tcW w:w="1337" w:type="dxa"/>
          </w:tcPr>
          <w:p w14:paraId="4ED09F24" w14:textId="70922874" w:rsidR="00D85C8A" w:rsidRDefault="00D85C8A" w:rsidP="00D85C8A">
            <w:pPr>
              <w:spacing w:after="0"/>
              <w:jc w:val="right"/>
            </w:pPr>
            <w:r>
              <w:t>Total equity</w:t>
            </w:r>
          </w:p>
        </w:tc>
      </w:tr>
      <w:tr w:rsidR="00D85C8A" w14:paraId="66E9449D" w14:textId="77777777" w:rsidTr="001C6A10">
        <w:tc>
          <w:tcPr>
            <w:tcW w:w="3369" w:type="dxa"/>
          </w:tcPr>
          <w:p w14:paraId="30454E40" w14:textId="77777777" w:rsidR="00D85C8A" w:rsidRDefault="00D85C8A" w:rsidP="00D85C8A">
            <w:pPr>
              <w:spacing w:after="0"/>
            </w:pPr>
          </w:p>
        </w:tc>
        <w:tc>
          <w:tcPr>
            <w:tcW w:w="1701" w:type="dxa"/>
          </w:tcPr>
          <w:p w14:paraId="6DD7A944" w14:textId="77777777" w:rsidR="00D85C8A" w:rsidRDefault="00D85C8A" w:rsidP="00D85C8A">
            <w:pPr>
              <w:spacing w:after="0"/>
              <w:jc w:val="right"/>
            </w:pPr>
          </w:p>
        </w:tc>
        <w:tc>
          <w:tcPr>
            <w:tcW w:w="1417" w:type="dxa"/>
          </w:tcPr>
          <w:p w14:paraId="05858281" w14:textId="3226E433" w:rsidR="00D85C8A" w:rsidRDefault="00D85C8A" w:rsidP="00D85C8A">
            <w:pPr>
              <w:spacing w:after="0"/>
              <w:jc w:val="right"/>
            </w:pPr>
            <w:r>
              <w:t>$000</w:t>
            </w:r>
          </w:p>
        </w:tc>
        <w:tc>
          <w:tcPr>
            <w:tcW w:w="1418" w:type="dxa"/>
          </w:tcPr>
          <w:p w14:paraId="6DEC3872" w14:textId="190D4E53" w:rsidR="00D85C8A" w:rsidRDefault="00D85C8A" w:rsidP="00D85C8A">
            <w:pPr>
              <w:spacing w:after="0"/>
              <w:jc w:val="right"/>
            </w:pPr>
            <w:r>
              <w:t>$000</w:t>
            </w:r>
          </w:p>
        </w:tc>
        <w:tc>
          <w:tcPr>
            <w:tcW w:w="1337" w:type="dxa"/>
          </w:tcPr>
          <w:p w14:paraId="1A3E665A" w14:textId="2E8278CE" w:rsidR="00D85C8A" w:rsidRDefault="00D85C8A" w:rsidP="00D85C8A">
            <w:pPr>
              <w:spacing w:after="0"/>
              <w:jc w:val="right"/>
            </w:pPr>
            <w:r>
              <w:t>$000</w:t>
            </w:r>
          </w:p>
        </w:tc>
      </w:tr>
      <w:tr w:rsidR="00D85C8A" w14:paraId="70F547B2" w14:textId="77777777" w:rsidTr="001C6A10">
        <w:tc>
          <w:tcPr>
            <w:tcW w:w="3369" w:type="dxa"/>
          </w:tcPr>
          <w:p w14:paraId="1DFA2489" w14:textId="5E614895" w:rsidR="00D85C8A" w:rsidRPr="00DA1E18" w:rsidRDefault="00D85C8A" w:rsidP="00D85C8A">
            <w:pPr>
              <w:spacing w:after="0"/>
              <w:rPr>
                <w:rStyle w:val="Emphasis"/>
              </w:rPr>
            </w:pPr>
            <w:r w:rsidRPr="00DA1E18">
              <w:rPr>
                <w:rStyle w:val="Emphasis"/>
              </w:rPr>
              <w:t>Balance at 1 July 2013</w:t>
            </w:r>
          </w:p>
        </w:tc>
        <w:tc>
          <w:tcPr>
            <w:tcW w:w="1701" w:type="dxa"/>
          </w:tcPr>
          <w:p w14:paraId="20586C05" w14:textId="552A5C7C" w:rsidR="00D85C8A" w:rsidRDefault="00D85C8A" w:rsidP="00D85C8A">
            <w:pPr>
              <w:spacing w:after="0"/>
              <w:jc w:val="right"/>
            </w:pPr>
            <w:r>
              <w:t>28</w:t>
            </w:r>
          </w:p>
        </w:tc>
        <w:tc>
          <w:tcPr>
            <w:tcW w:w="1417" w:type="dxa"/>
            <w:shd w:val="clear" w:color="auto" w:fill="D4E2E0" w:themeFill="accent5"/>
          </w:tcPr>
          <w:p w14:paraId="7B34C3E5" w14:textId="552AF183" w:rsidR="00D85C8A" w:rsidRDefault="00D85C8A" w:rsidP="00D85C8A">
            <w:pPr>
              <w:spacing w:after="0"/>
              <w:jc w:val="right"/>
            </w:pPr>
            <w:r>
              <w:t>19,975</w:t>
            </w:r>
          </w:p>
        </w:tc>
        <w:tc>
          <w:tcPr>
            <w:tcW w:w="1418" w:type="dxa"/>
            <w:shd w:val="clear" w:color="auto" w:fill="D4E2E0" w:themeFill="accent5"/>
          </w:tcPr>
          <w:p w14:paraId="324C1E5B" w14:textId="6B802114" w:rsidR="00D85C8A" w:rsidRDefault="00D85C8A" w:rsidP="00D85C8A">
            <w:pPr>
              <w:spacing w:after="0"/>
              <w:jc w:val="right"/>
            </w:pPr>
            <w:r>
              <w:t>50,800</w:t>
            </w:r>
          </w:p>
        </w:tc>
        <w:tc>
          <w:tcPr>
            <w:tcW w:w="1337" w:type="dxa"/>
            <w:shd w:val="clear" w:color="auto" w:fill="D4E2E0" w:themeFill="accent5"/>
          </w:tcPr>
          <w:p w14:paraId="2D354DC5" w14:textId="2D81EB16" w:rsidR="00D85C8A" w:rsidRDefault="00D85C8A" w:rsidP="00D85C8A">
            <w:pPr>
              <w:spacing w:after="0"/>
              <w:jc w:val="right"/>
            </w:pPr>
            <w:r>
              <w:t>70,775</w:t>
            </w:r>
          </w:p>
        </w:tc>
      </w:tr>
      <w:tr w:rsidR="00D85C8A" w14:paraId="29329F54" w14:textId="77777777" w:rsidTr="001C6A10">
        <w:tc>
          <w:tcPr>
            <w:tcW w:w="3369" w:type="dxa"/>
          </w:tcPr>
          <w:p w14:paraId="0CCC5C4C" w14:textId="6EFAA4CA" w:rsidR="00D85C8A" w:rsidRDefault="00D85C8A" w:rsidP="00D85C8A">
            <w:pPr>
              <w:spacing w:after="0"/>
            </w:pPr>
            <w:r>
              <w:t xml:space="preserve">Profit </w:t>
            </w:r>
          </w:p>
        </w:tc>
        <w:tc>
          <w:tcPr>
            <w:tcW w:w="1701" w:type="dxa"/>
          </w:tcPr>
          <w:p w14:paraId="16FD80FD" w14:textId="77777777" w:rsidR="00D85C8A" w:rsidRDefault="00D85C8A" w:rsidP="00D85C8A">
            <w:pPr>
              <w:spacing w:after="0"/>
              <w:jc w:val="right"/>
            </w:pPr>
          </w:p>
        </w:tc>
        <w:tc>
          <w:tcPr>
            <w:tcW w:w="1417" w:type="dxa"/>
            <w:shd w:val="clear" w:color="auto" w:fill="D4E2E0" w:themeFill="accent5"/>
          </w:tcPr>
          <w:p w14:paraId="164A384A" w14:textId="2090D744" w:rsidR="00D85C8A" w:rsidRDefault="00D85C8A" w:rsidP="00D85C8A">
            <w:pPr>
              <w:spacing w:after="0"/>
              <w:jc w:val="right"/>
            </w:pPr>
            <w:r>
              <w:t>-</w:t>
            </w:r>
          </w:p>
        </w:tc>
        <w:tc>
          <w:tcPr>
            <w:tcW w:w="1418" w:type="dxa"/>
            <w:shd w:val="clear" w:color="auto" w:fill="D4E2E0" w:themeFill="accent5"/>
          </w:tcPr>
          <w:p w14:paraId="385E2236" w14:textId="6F9F052C" w:rsidR="00D85C8A" w:rsidRDefault="00D85C8A" w:rsidP="00D85C8A">
            <w:pPr>
              <w:spacing w:after="0"/>
              <w:jc w:val="right"/>
            </w:pPr>
            <w:r>
              <w:t>7,164</w:t>
            </w:r>
          </w:p>
        </w:tc>
        <w:tc>
          <w:tcPr>
            <w:tcW w:w="1337" w:type="dxa"/>
            <w:shd w:val="clear" w:color="auto" w:fill="D4E2E0" w:themeFill="accent5"/>
          </w:tcPr>
          <w:p w14:paraId="0E53355B" w14:textId="42964F09" w:rsidR="00D85C8A" w:rsidRDefault="00D85C8A" w:rsidP="00D85C8A">
            <w:pPr>
              <w:spacing w:after="0"/>
              <w:jc w:val="right"/>
            </w:pPr>
            <w:r>
              <w:t>7,164</w:t>
            </w:r>
          </w:p>
        </w:tc>
      </w:tr>
      <w:tr w:rsidR="00D85C8A" w14:paraId="337E34B0" w14:textId="77777777" w:rsidTr="001C6A10">
        <w:tc>
          <w:tcPr>
            <w:tcW w:w="3369" w:type="dxa"/>
          </w:tcPr>
          <w:p w14:paraId="161726FF" w14:textId="73116017" w:rsidR="00D85C8A" w:rsidRDefault="00D1362C" w:rsidP="00D85C8A">
            <w:pPr>
              <w:spacing w:after="0"/>
            </w:pPr>
            <w:r>
              <w:t>Other comprehensive income</w:t>
            </w:r>
          </w:p>
        </w:tc>
        <w:tc>
          <w:tcPr>
            <w:tcW w:w="1701" w:type="dxa"/>
          </w:tcPr>
          <w:p w14:paraId="113FB113" w14:textId="77777777" w:rsidR="00D85C8A" w:rsidRDefault="00D85C8A" w:rsidP="00D85C8A">
            <w:pPr>
              <w:spacing w:after="0"/>
              <w:jc w:val="right"/>
            </w:pPr>
          </w:p>
        </w:tc>
        <w:tc>
          <w:tcPr>
            <w:tcW w:w="1417" w:type="dxa"/>
            <w:shd w:val="clear" w:color="auto" w:fill="D4E2E0" w:themeFill="accent5"/>
          </w:tcPr>
          <w:p w14:paraId="5378CE5D" w14:textId="7CA05806" w:rsidR="00D85C8A" w:rsidRDefault="00D1362C" w:rsidP="00D85C8A">
            <w:pPr>
              <w:spacing w:after="0"/>
              <w:jc w:val="right"/>
            </w:pPr>
            <w:r>
              <w:t>190</w:t>
            </w:r>
          </w:p>
        </w:tc>
        <w:tc>
          <w:tcPr>
            <w:tcW w:w="1418" w:type="dxa"/>
            <w:shd w:val="clear" w:color="auto" w:fill="D4E2E0" w:themeFill="accent5"/>
          </w:tcPr>
          <w:p w14:paraId="5C91A2EB" w14:textId="2E5DE02F" w:rsidR="00D85C8A" w:rsidRDefault="00D1362C" w:rsidP="00D85C8A">
            <w:pPr>
              <w:spacing w:after="0"/>
              <w:jc w:val="right"/>
            </w:pPr>
            <w:r>
              <w:t>(267)</w:t>
            </w:r>
          </w:p>
        </w:tc>
        <w:tc>
          <w:tcPr>
            <w:tcW w:w="1337" w:type="dxa"/>
            <w:shd w:val="clear" w:color="auto" w:fill="D4E2E0" w:themeFill="accent5"/>
          </w:tcPr>
          <w:p w14:paraId="5A24091B" w14:textId="626E243E" w:rsidR="00D85C8A" w:rsidRDefault="00D1362C" w:rsidP="00D85C8A">
            <w:pPr>
              <w:spacing w:after="0"/>
              <w:jc w:val="right"/>
            </w:pPr>
            <w:r>
              <w:t>(77)</w:t>
            </w:r>
          </w:p>
        </w:tc>
      </w:tr>
      <w:tr w:rsidR="00D85C8A" w14:paraId="12E6A728" w14:textId="77777777" w:rsidTr="009A4347">
        <w:tc>
          <w:tcPr>
            <w:tcW w:w="3369" w:type="dxa"/>
          </w:tcPr>
          <w:p w14:paraId="0BB822A6" w14:textId="1265EADC" w:rsidR="00D85C8A" w:rsidRPr="00DA1E18" w:rsidRDefault="00D1362C" w:rsidP="00D85C8A">
            <w:pPr>
              <w:spacing w:after="0"/>
              <w:rPr>
                <w:rStyle w:val="Strong"/>
              </w:rPr>
            </w:pPr>
            <w:r w:rsidRPr="00DA1E18">
              <w:rPr>
                <w:rStyle w:val="Strong"/>
              </w:rPr>
              <w:t>Total comprehensive income for the period</w:t>
            </w:r>
          </w:p>
        </w:tc>
        <w:tc>
          <w:tcPr>
            <w:tcW w:w="1701" w:type="dxa"/>
          </w:tcPr>
          <w:p w14:paraId="3216048F" w14:textId="77777777" w:rsidR="00D85C8A" w:rsidRDefault="00D85C8A" w:rsidP="00D85C8A">
            <w:pPr>
              <w:spacing w:after="0"/>
              <w:jc w:val="right"/>
            </w:pPr>
          </w:p>
        </w:tc>
        <w:tc>
          <w:tcPr>
            <w:tcW w:w="1417" w:type="dxa"/>
            <w:shd w:val="clear" w:color="auto" w:fill="D4E2E0" w:themeFill="accent5"/>
          </w:tcPr>
          <w:p w14:paraId="11B9BC04" w14:textId="6AEFA66D" w:rsidR="00D85C8A" w:rsidRDefault="00D1362C" w:rsidP="00D85C8A">
            <w:pPr>
              <w:spacing w:after="0"/>
              <w:jc w:val="right"/>
            </w:pPr>
            <w:r>
              <w:t>190</w:t>
            </w:r>
          </w:p>
        </w:tc>
        <w:tc>
          <w:tcPr>
            <w:tcW w:w="1418" w:type="dxa"/>
            <w:shd w:val="clear" w:color="auto" w:fill="D4E2E0" w:themeFill="accent5"/>
          </w:tcPr>
          <w:p w14:paraId="1D6EA5AB" w14:textId="06D09FC2" w:rsidR="00D85C8A" w:rsidRDefault="00D1362C" w:rsidP="00D85C8A">
            <w:pPr>
              <w:spacing w:after="0"/>
              <w:jc w:val="right"/>
            </w:pPr>
            <w:r>
              <w:t>6,897</w:t>
            </w:r>
          </w:p>
        </w:tc>
        <w:tc>
          <w:tcPr>
            <w:tcW w:w="1337" w:type="dxa"/>
            <w:shd w:val="clear" w:color="auto" w:fill="D4E2E0" w:themeFill="accent5"/>
          </w:tcPr>
          <w:p w14:paraId="38D65E26" w14:textId="0C8D8835" w:rsidR="00D85C8A" w:rsidRDefault="00D1362C" w:rsidP="00D85C8A">
            <w:pPr>
              <w:spacing w:after="0"/>
              <w:jc w:val="right"/>
            </w:pPr>
            <w:r>
              <w:t>7,087</w:t>
            </w:r>
          </w:p>
        </w:tc>
      </w:tr>
      <w:tr w:rsidR="009A4347" w14:paraId="24AC74B3" w14:textId="77777777" w:rsidTr="009A4347">
        <w:tc>
          <w:tcPr>
            <w:tcW w:w="3369" w:type="dxa"/>
            <w:shd w:val="clear" w:color="auto" w:fill="FFFFFF" w:themeFill="background1"/>
          </w:tcPr>
          <w:p w14:paraId="44B958E7" w14:textId="77777777" w:rsidR="009A4347" w:rsidRPr="006B302A" w:rsidRDefault="009A4347" w:rsidP="00D85C8A">
            <w:pPr>
              <w:spacing w:after="0"/>
              <w:rPr>
                <w:b/>
              </w:rPr>
            </w:pPr>
          </w:p>
        </w:tc>
        <w:tc>
          <w:tcPr>
            <w:tcW w:w="1701" w:type="dxa"/>
            <w:shd w:val="clear" w:color="auto" w:fill="FFFFFF" w:themeFill="background1"/>
          </w:tcPr>
          <w:p w14:paraId="15946040" w14:textId="77777777" w:rsidR="009A4347" w:rsidRDefault="009A4347" w:rsidP="00D85C8A">
            <w:pPr>
              <w:spacing w:after="0"/>
              <w:jc w:val="right"/>
            </w:pPr>
          </w:p>
        </w:tc>
        <w:tc>
          <w:tcPr>
            <w:tcW w:w="1417" w:type="dxa"/>
            <w:tcBorders>
              <w:bottom w:val="single" w:sz="4" w:space="0" w:color="auto"/>
            </w:tcBorders>
            <w:shd w:val="clear" w:color="auto" w:fill="FFFFFF" w:themeFill="background1"/>
          </w:tcPr>
          <w:p w14:paraId="783D31EA" w14:textId="77777777" w:rsidR="009A4347" w:rsidRDefault="009A4347" w:rsidP="00D85C8A">
            <w:pPr>
              <w:spacing w:after="0"/>
              <w:jc w:val="right"/>
            </w:pPr>
          </w:p>
        </w:tc>
        <w:tc>
          <w:tcPr>
            <w:tcW w:w="1418" w:type="dxa"/>
            <w:tcBorders>
              <w:bottom w:val="single" w:sz="4" w:space="0" w:color="auto"/>
            </w:tcBorders>
            <w:shd w:val="clear" w:color="auto" w:fill="FFFFFF" w:themeFill="background1"/>
          </w:tcPr>
          <w:p w14:paraId="5EB0E6D3" w14:textId="77777777" w:rsidR="009A4347" w:rsidRDefault="009A4347" w:rsidP="00D85C8A">
            <w:pPr>
              <w:spacing w:after="0"/>
              <w:jc w:val="right"/>
            </w:pPr>
          </w:p>
        </w:tc>
        <w:tc>
          <w:tcPr>
            <w:tcW w:w="1337" w:type="dxa"/>
            <w:tcBorders>
              <w:bottom w:val="single" w:sz="4" w:space="0" w:color="auto"/>
            </w:tcBorders>
            <w:shd w:val="clear" w:color="auto" w:fill="FFFFFF" w:themeFill="background1"/>
          </w:tcPr>
          <w:p w14:paraId="4394206B" w14:textId="77777777" w:rsidR="009A4347" w:rsidRDefault="009A4347" w:rsidP="00D85C8A">
            <w:pPr>
              <w:spacing w:after="0"/>
              <w:jc w:val="right"/>
            </w:pPr>
          </w:p>
        </w:tc>
      </w:tr>
      <w:tr w:rsidR="00D85C8A" w14:paraId="6C105BBC" w14:textId="77777777" w:rsidTr="001C6A10">
        <w:tc>
          <w:tcPr>
            <w:tcW w:w="3369" w:type="dxa"/>
          </w:tcPr>
          <w:p w14:paraId="35A76AB8" w14:textId="2CAF0B9B" w:rsidR="00D85C8A" w:rsidRPr="00DA1E18" w:rsidRDefault="00D1362C" w:rsidP="00D85C8A">
            <w:pPr>
              <w:spacing w:after="0"/>
              <w:rPr>
                <w:rStyle w:val="Strong"/>
              </w:rPr>
            </w:pPr>
            <w:r w:rsidRPr="00DA1E18">
              <w:rPr>
                <w:rStyle w:val="Strong"/>
              </w:rPr>
              <w:t>Balance at 30 June 2014</w:t>
            </w:r>
          </w:p>
        </w:tc>
        <w:tc>
          <w:tcPr>
            <w:tcW w:w="1701" w:type="dxa"/>
          </w:tcPr>
          <w:p w14:paraId="72B5EFBB" w14:textId="77777777" w:rsidR="00D85C8A" w:rsidRPr="00DA1E18" w:rsidRDefault="00D85C8A" w:rsidP="00D85C8A">
            <w:pPr>
              <w:spacing w:after="0"/>
              <w:jc w:val="right"/>
              <w:rPr>
                <w:rStyle w:val="Strong"/>
              </w:rPr>
            </w:pPr>
          </w:p>
        </w:tc>
        <w:tc>
          <w:tcPr>
            <w:tcW w:w="1417" w:type="dxa"/>
            <w:tcBorders>
              <w:top w:val="single" w:sz="4" w:space="0" w:color="auto"/>
              <w:bottom w:val="single" w:sz="4" w:space="0" w:color="auto"/>
            </w:tcBorders>
            <w:shd w:val="clear" w:color="auto" w:fill="D4E2E0" w:themeFill="accent5"/>
          </w:tcPr>
          <w:p w14:paraId="48BABF6F" w14:textId="525D158B" w:rsidR="00D85C8A" w:rsidRPr="00DA1E18" w:rsidRDefault="00D1362C" w:rsidP="00D85C8A">
            <w:pPr>
              <w:spacing w:after="0"/>
              <w:jc w:val="right"/>
              <w:rPr>
                <w:rStyle w:val="Strong"/>
              </w:rPr>
            </w:pPr>
            <w:r w:rsidRPr="00DA1E18">
              <w:rPr>
                <w:rStyle w:val="Strong"/>
              </w:rPr>
              <w:t>20,165</w:t>
            </w:r>
          </w:p>
        </w:tc>
        <w:tc>
          <w:tcPr>
            <w:tcW w:w="1418" w:type="dxa"/>
            <w:tcBorders>
              <w:top w:val="single" w:sz="4" w:space="0" w:color="auto"/>
              <w:bottom w:val="single" w:sz="4" w:space="0" w:color="auto"/>
            </w:tcBorders>
            <w:shd w:val="clear" w:color="auto" w:fill="D4E2E0" w:themeFill="accent5"/>
          </w:tcPr>
          <w:p w14:paraId="3F4EF1BF" w14:textId="58106656" w:rsidR="00D85C8A" w:rsidRPr="00DA1E18" w:rsidRDefault="00D1362C" w:rsidP="00D85C8A">
            <w:pPr>
              <w:spacing w:after="0"/>
              <w:jc w:val="right"/>
              <w:rPr>
                <w:rStyle w:val="Strong"/>
              </w:rPr>
            </w:pPr>
            <w:r w:rsidRPr="00DA1E18">
              <w:rPr>
                <w:rStyle w:val="Strong"/>
              </w:rPr>
              <w:t>57,697</w:t>
            </w:r>
          </w:p>
        </w:tc>
        <w:tc>
          <w:tcPr>
            <w:tcW w:w="1337" w:type="dxa"/>
            <w:tcBorders>
              <w:top w:val="single" w:sz="4" w:space="0" w:color="auto"/>
              <w:bottom w:val="single" w:sz="4" w:space="0" w:color="auto"/>
            </w:tcBorders>
            <w:shd w:val="clear" w:color="auto" w:fill="D4E2E0" w:themeFill="accent5"/>
          </w:tcPr>
          <w:p w14:paraId="529CFFDB" w14:textId="0832E037" w:rsidR="00D85C8A" w:rsidRPr="00DA1E18" w:rsidRDefault="00D1362C" w:rsidP="00D85C8A">
            <w:pPr>
              <w:spacing w:after="0"/>
              <w:jc w:val="right"/>
              <w:rPr>
                <w:rStyle w:val="Strong"/>
              </w:rPr>
            </w:pPr>
            <w:r w:rsidRPr="00DA1E18">
              <w:rPr>
                <w:rStyle w:val="Strong"/>
              </w:rPr>
              <w:t>77,862</w:t>
            </w:r>
          </w:p>
        </w:tc>
      </w:tr>
      <w:tr w:rsidR="003D63E1" w14:paraId="55585E66" w14:textId="77777777" w:rsidTr="009A4347">
        <w:tc>
          <w:tcPr>
            <w:tcW w:w="3369" w:type="dxa"/>
            <w:shd w:val="clear" w:color="auto" w:fill="FFFFFF" w:themeFill="background1"/>
          </w:tcPr>
          <w:p w14:paraId="2C1F0EFE" w14:textId="77777777" w:rsidR="003D63E1" w:rsidRPr="006B302A" w:rsidRDefault="003D63E1" w:rsidP="00D85C8A">
            <w:pPr>
              <w:spacing w:after="0"/>
              <w:rPr>
                <w:i/>
              </w:rPr>
            </w:pPr>
          </w:p>
        </w:tc>
        <w:tc>
          <w:tcPr>
            <w:tcW w:w="1701" w:type="dxa"/>
            <w:shd w:val="clear" w:color="auto" w:fill="FFFFFF" w:themeFill="background1"/>
          </w:tcPr>
          <w:p w14:paraId="3E8EFCAB" w14:textId="77777777" w:rsidR="003D63E1" w:rsidRDefault="003D63E1" w:rsidP="00D85C8A">
            <w:pPr>
              <w:spacing w:after="0"/>
              <w:jc w:val="right"/>
            </w:pPr>
          </w:p>
        </w:tc>
        <w:tc>
          <w:tcPr>
            <w:tcW w:w="1417" w:type="dxa"/>
            <w:tcBorders>
              <w:top w:val="single" w:sz="4" w:space="0" w:color="auto"/>
            </w:tcBorders>
            <w:shd w:val="clear" w:color="auto" w:fill="FFFFFF" w:themeFill="background1"/>
          </w:tcPr>
          <w:p w14:paraId="0E7FF029" w14:textId="77777777" w:rsidR="003D63E1" w:rsidRDefault="003D63E1" w:rsidP="00D85C8A">
            <w:pPr>
              <w:spacing w:after="0"/>
              <w:jc w:val="right"/>
            </w:pPr>
          </w:p>
        </w:tc>
        <w:tc>
          <w:tcPr>
            <w:tcW w:w="1418" w:type="dxa"/>
            <w:tcBorders>
              <w:top w:val="single" w:sz="4" w:space="0" w:color="auto"/>
            </w:tcBorders>
            <w:shd w:val="clear" w:color="auto" w:fill="FFFFFF" w:themeFill="background1"/>
          </w:tcPr>
          <w:p w14:paraId="5D2D05AC" w14:textId="77777777" w:rsidR="003D63E1" w:rsidRDefault="003D63E1" w:rsidP="00D85C8A">
            <w:pPr>
              <w:spacing w:after="0"/>
              <w:jc w:val="right"/>
            </w:pPr>
          </w:p>
        </w:tc>
        <w:tc>
          <w:tcPr>
            <w:tcW w:w="1337" w:type="dxa"/>
            <w:tcBorders>
              <w:top w:val="single" w:sz="4" w:space="0" w:color="auto"/>
            </w:tcBorders>
            <w:shd w:val="clear" w:color="auto" w:fill="FFFFFF" w:themeFill="background1"/>
          </w:tcPr>
          <w:p w14:paraId="233F7AD7" w14:textId="77777777" w:rsidR="003D63E1" w:rsidRDefault="003D63E1" w:rsidP="00D85C8A">
            <w:pPr>
              <w:spacing w:after="0"/>
              <w:jc w:val="right"/>
            </w:pPr>
          </w:p>
        </w:tc>
      </w:tr>
      <w:tr w:rsidR="00D85C8A" w14:paraId="10892BB4" w14:textId="77777777" w:rsidTr="009A4347">
        <w:tc>
          <w:tcPr>
            <w:tcW w:w="3369" w:type="dxa"/>
          </w:tcPr>
          <w:p w14:paraId="4A9C19B5" w14:textId="73CECBE5" w:rsidR="00D85C8A" w:rsidRPr="00DA1E18" w:rsidRDefault="00D1362C" w:rsidP="00D85C8A">
            <w:pPr>
              <w:spacing w:after="0"/>
              <w:rPr>
                <w:rStyle w:val="Emphasis"/>
              </w:rPr>
            </w:pPr>
            <w:r w:rsidRPr="00DA1E18">
              <w:rPr>
                <w:rStyle w:val="Emphasis"/>
              </w:rPr>
              <w:t>Balance at 1 July 2014</w:t>
            </w:r>
          </w:p>
        </w:tc>
        <w:tc>
          <w:tcPr>
            <w:tcW w:w="1701" w:type="dxa"/>
          </w:tcPr>
          <w:p w14:paraId="6193097F" w14:textId="77777777" w:rsidR="00D85C8A" w:rsidRDefault="00D85C8A" w:rsidP="00D85C8A">
            <w:pPr>
              <w:spacing w:after="0"/>
              <w:jc w:val="right"/>
            </w:pPr>
          </w:p>
        </w:tc>
        <w:tc>
          <w:tcPr>
            <w:tcW w:w="1417" w:type="dxa"/>
            <w:shd w:val="clear" w:color="auto" w:fill="F5EDC1" w:themeFill="accent4"/>
          </w:tcPr>
          <w:p w14:paraId="60E037AF" w14:textId="5F711710" w:rsidR="00D85C8A" w:rsidRDefault="00D1362C" w:rsidP="00D85C8A">
            <w:pPr>
              <w:spacing w:after="0"/>
              <w:jc w:val="right"/>
            </w:pPr>
            <w:r>
              <w:t>20,165</w:t>
            </w:r>
          </w:p>
        </w:tc>
        <w:tc>
          <w:tcPr>
            <w:tcW w:w="1418" w:type="dxa"/>
            <w:shd w:val="clear" w:color="auto" w:fill="F5EDC1" w:themeFill="accent4"/>
          </w:tcPr>
          <w:p w14:paraId="14C519A8" w14:textId="108E98DB" w:rsidR="00D85C8A" w:rsidRDefault="00D1362C" w:rsidP="00D85C8A">
            <w:pPr>
              <w:spacing w:after="0"/>
              <w:jc w:val="right"/>
            </w:pPr>
            <w:r>
              <w:t>57,697</w:t>
            </w:r>
          </w:p>
        </w:tc>
        <w:tc>
          <w:tcPr>
            <w:tcW w:w="1337" w:type="dxa"/>
            <w:shd w:val="clear" w:color="auto" w:fill="F5EDC1" w:themeFill="accent4"/>
          </w:tcPr>
          <w:p w14:paraId="6875F6C7" w14:textId="498ACD72" w:rsidR="00D85C8A" w:rsidRDefault="00D1362C" w:rsidP="00D85C8A">
            <w:pPr>
              <w:spacing w:after="0"/>
              <w:jc w:val="right"/>
            </w:pPr>
            <w:r>
              <w:t>77,862</w:t>
            </w:r>
          </w:p>
        </w:tc>
      </w:tr>
      <w:tr w:rsidR="00D1362C" w14:paraId="388C9122" w14:textId="77777777" w:rsidTr="006B302A">
        <w:tc>
          <w:tcPr>
            <w:tcW w:w="3369" w:type="dxa"/>
          </w:tcPr>
          <w:p w14:paraId="40642FF3" w14:textId="03A8A364" w:rsidR="00D1362C" w:rsidRDefault="00D1362C" w:rsidP="00D85C8A">
            <w:pPr>
              <w:spacing w:after="0"/>
            </w:pPr>
            <w:r>
              <w:t>Profit</w:t>
            </w:r>
          </w:p>
        </w:tc>
        <w:tc>
          <w:tcPr>
            <w:tcW w:w="1701" w:type="dxa"/>
          </w:tcPr>
          <w:p w14:paraId="5E90644D" w14:textId="77777777" w:rsidR="00D1362C" w:rsidRDefault="00D1362C" w:rsidP="00D85C8A">
            <w:pPr>
              <w:spacing w:after="0"/>
              <w:jc w:val="right"/>
            </w:pPr>
          </w:p>
        </w:tc>
        <w:tc>
          <w:tcPr>
            <w:tcW w:w="1417" w:type="dxa"/>
            <w:shd w:val="clear" w:color="auto" w:fill="F5EDC1" w:themeFill="accent4"/>
          </w:tcPr>
          <w:p w14:paraId="6464D4CF" w14:textId="7790E53A" w:rsidR="00D1362C" w:rsidRDefault="00D1362C" w:rsidP="00D85C8A">
            <w:pPr>
              <w:spacing w:after="0"/>
              <w:jc w:val="right"/>
            </w:pPr>
            <w:r>
              <w:t>-</w:t>
            </w:r>
          </w:p>
        </w:tc>
        <w:tc>
          <w:tcPr>
            <w:tcW w:w="1418" w:type="dxa"/>
            <w:shd w:val="clear" w:color="auto" w:fill="F5EDC1" w:themeFill="accent4"/>
          </w:tcPr>
          <w:p w14:paraId="0B44E630" w14:textId="0CB6E13A" w:rsidR="00D1362C" w:rsidRDefault="00D1362C" w:rsidP="00D85C8A">
            <w:pPr>
              <w:spacing w:after="0"/>
              <w:jc w:val="right"/>
            </w:pPr>
            <w:r>
              <w:t>17,924</w:t>
            </w:r>
          </w:p>
        </w:tc>
        <w:tc>
          <w:tcPr>
            <w:tcW w:w="1337" w:type="dxa"/>
            <w:shd w:val="clear" w:color="auto" w:fill="F5EDC1" w:themeFill="accent4"/>
          </w:tcPr>
          <w:p w14:paraId="6D3F82DF" w14:textId="5EEB2AFC" w:rsidR="00D1362C" w:rsidRDefault="00D1362C" w:rsidP="00D85C8A">
            <w:pPr>
              <w:spacing w:after="0"/>
              <w:jc w:val="right"/>
            </w:pPr>
            <w:r>
              <w:t>17,924</w:t>
            </w:r>
          </w:p>
        </w:tc>
      </w:tr>
      <w:tr w:rsidR="00D1362C" w14:paraId="2CAD6949" w14:textId="77777777" w:rsidTr="006B302A">
        <w:tc>
          <w:tcPr>
            <w:tcW w:w="3369" w:type="dxa"/>
          </w:tcPr>
          <w:p w14:paraId="7F905C78" w14:textId="13ACCE65" w:rsidR="00D1362C" w:rsidRDefault="00D1362C" w:rsidP="00D85C8A">
            <w:pPr>
              <w:spacing w:after="0"/>
            </w:pPr>
            <w:r>
              <w:t>Other comprehensive income</w:t>
            </w:r>
          </w:p>
        </w:tc>
        <w:tc>
          <w:tcPr>
            <w:tcW w:w="1701" w:type="dxa"/>
          </w:tcPr>
          <w:p w14:paraId="603865C5" w14:textId="77777777" w:rsidR="00D1362C" w:rsidRDefault="00D1362C" w:rsidP="00D85C8A">
            <w:pPr>
              <w:spacing w:after="0"/>
              <w:jc w:val="right"/>
            </w:pPr>
          </w:p>
        </w:tc>
        <w:tc>
          <w:tcPr>
            <w:tcW w:w="1417" w:type="dxa"/>
            <w:shd w:val="clear" w:color="auto" w:fill="F5EDC1" w:themeFill="accent4"/>
          </w:tcPr>
          <w:p w14:paraId="6EA53245" w14:textId="6776A6FF" w:rsidR="00D1362C" w:rsidRDefault="00D1362C" w:rsidP="00D85C8A">
            <w:pPr>
              <w:spacing w:after="0"/>
              <w:jc w:val="right"/>
            </w:pPr>
            <w:r>
              <w:t>(2,665)</w:t>
            </w:r>
          </w:p>
        </w:tc>
        <w:tc>
          <w:tcPr>
            <w:tcW w:w="1418" w:type="dxa"/>
            <w:shd w:val="clear" w:color="auto" w:fill="F5EDC1" w:themeFill="accent4"/>
          </w:tcPr>
          <w:p w14:paraId="52867CFF" w14:textId="4DF16837" w:rsidR="00D1362C" w:rsidRDefault="00D1362C" w:rsidP="00D85C8A">
            <w:pPr>
              <w:spacing w:after="0"/>
              <w:jc w:val="right"/>
            </w:pPr>
            <w:r>
              <w:t>(405)</w:t>
            </w:r>
          </w:p>
        </w:tc>
        <w:tc>
          <w:tcPr>
            <w:tcW w:w="1337" w:type="dxa"/>
            <w:shd w:val="clear" w:color="auto" w:fill="F5EDC1" w:themeFill="accent4"/>
          </w:tcPr>
          <w:p w14:paraId="0C762D1D" w14:textId="4137EF2E" w:rsidR="00D1362C" w:rsidRDefault="00D1362C" w:rsidP="00D85C8A">
            <w:pPr>
              <w:spacing w:after="0"/>
              <w:jc w:val="right"/>
            </w:pPr>
            <w:r>
              <w:t>(3,070)</w:t>
            </w:r>
          </w:p>
        </w:tc>
      </w:tr>
      <w:tr w:rsidR="00D1362C" w14:paraId="3D9F00BE" w14:textId="77777777" w:rsidTr="006B302A">
        <w:tc>
          <w:tcPr>
            <w:tcW w:w="3369" w:type="dxa"/>
          </w:tcPr>
          <w:p w14:paraId="1FDA636B" w14:textId="345D53BE" w:rsidR="00D1362C" w:rsidRPr="00DA1E18" w:rsidRDefault="00D1362C" w:rsidP="00D85C8A">
            <w:pPr>
              <w:spacing w:after="0"/>
              <w:rPr>
                <w:rStyle w:val="Strong"/>
              </w:rPr>
            </w:pPr>
            <w:r w:rsidRPr="00DA1E18">
              <w:rPr>
                <w:rStyle w:val="Strong"/>
              </w:rPr>
              <w:t>Total comprehensive income for the period</w:t>
            </w:r>
          </w:p>
        </w:tc>
        <w:tc>
          <w:tcPr>
            <w:tcW w:w="1701" w:type="dxa"/>
          </w:tcPr>
          <w:p w14:paraId="1824D0DF" w14:textId="77777777" w:rsidR="00D1362C" w:rsidRPr="00DA1E18" w:rsidRDefault="00D1362C" w:rsidP="00D85C8A">
            <w:pPr>
              <w:spacing w:after="0"/>
              <w:jc w:val="right"/>
              <w:rPr>
                <w:rStyle w:val="Strong"/>
              </w:rPr>
            </w:pPr>
          </w:p>
        </w:tc>
        <w:tc>
          <w:tcPr>
            <w:tcW w:w="1417" w:type="dxa"/>
            <w:tcBorders>
              <w:bottom w:val="single" w:sz="4" w:space="0" w:color="auto"/>
            </w:tcBorders>
            <w:shd w:val="clear" w:color="auto" w:fill="F5EDC1" w:themeFill="accent4"/>
          </w:tcPr>
          <w:p w14:paraId="576DBC0C" w14:textId="7B627271" w:rsidR="00D1362C" w:rsidRPr="00DA1E18" w:rsidRDefault="00D1362C" w:rsidP="00D85C8A">
            <w:pPr>
              <w:spacing w:after="0"/>
              <w:jc w:val="right"/>
              <w:rPr>
                <w:rStyle w:val="Strong"/>
              </w:rPr>
            </w:pPr>
            <w:r w:rsidRPr="00DA1E18">
              <w:rPr>
                <w:rStyle w:val="Strong"/>
              </w:rPr>
              <w:t>(2,665)</w:t>
            </w:r>
          </w:p>
        </w:tc>
        <w:tc>
          <w:tcPr>
            <w:tcW w:w="1418" w:type="dxa"/>
            <w:tcBorders>
              <w:bottom w:val="single" w:sz="4" w:space="0" w:color="auto"/>
            </w:tcBorders>
            <w:shd w:val="clear" w:color="auto" w:fill="F5EDC1" w:themeFill="accent4"/>
          </w:tcPr>
          <w:p w14:paraId="27D40BAD" w14:textId="0ACD51C4" w:rsidR="00D1362C" w:rsidRPr="00DA1E18" w:rsidRDefault="00D1362C" w:rsidP="00D85C8A">
            <w:pPr>
              <w:spacing w:after="0"/>
              <w:jc w:val="right"/>
              <w:rPr>
                <w:rStyle w:val="Strong"/>
              </w:rPr>
            </w:pPr>
            <w:r w:rsidRPr="00DA1E18">
              <w:rPr>
                <w:rStyle w:val="Strong"/>
              </w:rPr>
              <w:t>17,519</w:t>
            </w:r>
          </w:p>
        </w:tc>
        <w:tc>
          <w:tcPr>
            <w:tcW w:w="1337" w:type="dxa"/>
            <w:tcBorders>
              <w:bottom w:val="single" w:sz="4" w:space="0" w:color="auto"/>
            </w:tcBorders>
            <w:shd w:val="clear" w:color="auto" w:fill="F5EDC1" w:themeFill="accent4"/>
          </w:tcPr>
          <w:p w14:paraId="0CD0B43B" w14:textId="01C6714C" w:rsidR="00D1362C" w:rsidRPr="00DA1E18" w:rsidRDefault="00D1362C" w:rsidP="00D85C8A">
            <w:pPr>
              <w:spacing w:after="0"/>
              <w:jc w:val="right"/>
              <w:rPr>
                <w:rStyle w:val="Strong"/>
              </w:rPr>
            </w:pPr>
            <w:r w:rsidRPr="00DA1E18">
              <w:rPr>
                <w:rStyle w:val="Strong"/>
              </w:rPr>
              <w:t>14,854</w:t>
            </w:r>
          </w:p>
        </w:tc>
      </w:tr>
      <w:tr w:rsidR="003D63E1" w14:paraId="70A519D9" w14:textId="77777777" w:rsidTr="003D63E1">
        <w:tc>
          <w:tcPr>
            <w:tcW w:w="3369" w:type="dxa"/>
            <w:shd w:val="clear" w:color="auto" w:fill="FFFFFF" w:themeFill="background1"/>
          </w:tcPr>
          <w:p w14:paraId="0363DF74" w14:textId="77777777" w:rsidR="003D63E1" w:rsidRPr="006B302A" w:rsidRDefault="003D63E1" w:rsidP="00D85C8A">
            <w:pPr>
              <w:spacing w:after="0"/>
              <w:rPr>
                <w:b/>
              </w:rPr>
            </w:pPr>
          </w:p>
        </w:tc>
        <w:tc>
          <w:tcPr>
            <w:tcW w:w="1701" w:type="dxa"/>
            <w:shd w:val="clear" w:color="auto" w:fill="FFFFFF" w:themeFill="background1"/>
          </w:tcPr>
          <w:p w14:paraId="298011F3" w14:textId="77777777" w:rsidR="003D63E1" w:rsidRDefault="003D63E1" w:rsidP="00D85C8A">
            <w:pPr>
              <w:spacing w:after="0"/>
              <w:jc w:val="right"/>
            </w:pPr>
          </w:p>
        </w:tc>
        <w:tc>
          <w:tcPr>
            <w:tcW w:w="1417" w:type="dxa"/>
            <w:shd w:val="clear" w:color="auto" w:fill="FFFFFF" w:themeFill="background1"/>
          </w:tcPr>
          <w:p w14:paraId="313D6295" w14:textId="77777777" w:rsidR="003D63E1" w:rsidRPr="006B302A" w:rsidRDefault="003D63E1" w:rsidP="00D85C8A">
            <w:pPr>
              <w:spacing w:after="0"/>
              <w:jc w:val="right"/>
              <w:rPr>
                <w:b/>
              </w:rPr>
            </w:pPr>
          </w:p>
        </w:tc>
        <w:tc>
          <w:tcPr>
            <w:tcW w:w="1418" w:type="dxa"/>
            <w:shd w:val="clear" w:color="auto" w:fill="FFFFFF" w:themeFill="background1"/>
          </w:tcPr>
          <w:p w14:paraId="1AFBB6A9" w14:textId="77777777" w:rsidR="003D63E1" w:rsidRPr="006B302A" w:rsidRDefault="003D63E1" w:rsidP="00D85C8A">
            <w:pPr>
              <w:spacing w:after="0"/>
              <w:jc w:val="right"/>
              <w:rPr>
                <w:b/>
              </w:rPr>
            </w:pPr>
          </w:p>
        </w:tc>
        <w:tc>
          <w:tcPr>
            <w:tcW w:w="1337" w:type="dxa"/>
            <w:shd w:val="clear" w:color="auto" w:fill="FFFFFF" w:themeFill="background1"/>
          </w:tcPr>
          <w:p w14:paraId="459B44A4" w14:textId="77777777" w:rsidR="003D63E1" w:rsidRPr="006B302A" w:rsidRDefault="003D63E1" w:rsidP="00D85C8A">
            <w:pPr>
              <w:spacing w:after="0"/>
              <w:jc w:val="right"/>
              <w:rPr>
                <w:b/>
              </w:rPr>
            </w:pPr>
          </w:p>
        </w:tc>
      </w:tr>
      <w:tr w:rsidR="00D1362C" w14:paraId="40E0E884" w14:textId="77777777" w:rsidTr="003D63E1">
        <w:tc>
          <w:tcPr>
            <w:tcW w:w="3369" w:type="dxa"/>
          </w:tcPr>
          <w:p w14:paraId="424CF0D5" w14:textId="0F44F735" w:rsidR="00D1362C" w:rsidRPr="00DA1E18" w:rsidRDefault="00D1362C" w:rsidP="00D85C8A">
            <w:pPr>
              <w:spacing w:after="0"/>
              <w:rPr>
                <w:rStyle w:val="Strong"/>
              </w:rPr>
            </w:pPr>
            <w:r w:rsidRPr="00DA1E18">
              <w:rPr>
                <w:rStyle w:val="Strong"/>
              </w:rPr>
              <w:t>Balance at 30 June 2015</w:t>
            </w:r>
          </w:p>
        </w:tc>
        <w:tc>
          <w:tcPr>
            <w:tcW w:w="1701" w:type="dxa"/>
          </w:tcPr>
          <w:p w14:paraId="1CBFEDBA" w14:textId="77777777" w:rsidR="00D1362C" w:rsidRPr="00DA1E18" w:rsidRDefault="00D1362C" w:rsidP="00D85C8A">
            <w:pPr>
              <w:spacing w:after="0"/>
              <w:jc w:val="right"/>
              <w:rPr>
                <w:rStyle w:val="Strong"/>
              </w:rPr>
            </w:pPr>
          </w:p>
        </w:tc>
        <w:tc>
          <w:tcPr>
            <w:tcW w:w="1417" w:type="dxa"/>
            <w:tcBorders>
              <w:bottom w:val="single" w:sz="4" w:space="0" w:color="auto"/>
            </w:tcBorders>
            <w:shd w:val="clear" w:color="auto" w:fill="F5EDC1" w:themeFill="accent4"/>
          </w:tcPr>
          <w:p w14:paraId="0A0FC3F4" w14:textId="63CC6B44" w:rsidR="00D1362C" w:rsidRPr="00DA1E18" w:rsidRDefault="00D1362C" w:rsidP="00D85C8A">
            <w:pPr>
              <w:spacing w:after="0"/>
              <w:jc w:val="right"/>
              <w:rPr>
                <w:rStyle w:val="Strong"/>
              </w:rPr>
            </w:pPr>
            <w:r w:rsidRPr="00DA1E18">
              <w:rPr>
                <w:rStyle w:val="Strong"/>
              </w:rPr>
              <w:t>17,500</w:t>
            </w:r>
          </w:p>
        </w:tc>
        <w:tc>
          <w:tcPr>
            <w:tcW w:w="1418" w:type="dxa"/>
            <w:tcBorders>
              <w:bottom w:val="single" w:sz="4" w:space="0" w:color="auto"/>
            </w:tcBorders>
            <w:shd w:val="clear" w:color="auto" w:fill="F5EDC1" w:themeFill="accent4"/>
          </w:tcPr>
          <w:p w14:paraId="19DD10C7" w14:textId="343C06B1" w:rsidR="00D1362C" w:rsidRPr="00DA1E18" w:rsidRDefault="00D1362C" w:rsidP="00D85C8A">
            <w:pPr>
              <w:spacing w:after="0"/>
              <w:jc w:val="right"/>
              <w:rPr>
                <w:rStyle w:val="Strong"/>
              </w:rPr>
            </w:pPr>
            <w:r w:rsidRPr="00DA1E18">
              <w:rPr>
                <w:rStyle w:val="Strong"/>
              </w:rPr>
              <w:t>75,216</w:t>
            </w:r>
          </w:p>
        </w:tc>
        <w:tc>
          <w:tcPr>
            <w:tcW w:w="1337" w:type="dxa"/>
            <w:tcBorders>
              <w:bottom w:val="single" w:sz="4" w:space="0" w:color="auto"/>
            </w:tcBorders>
            <w:shd w:val="clear" w:color="auto" w:fill="F5EDC1" w:themeFill="accent4"/>
          </w:tcPr>
          <w:p w14:paraId="50D9716B" w14:textId="7DD978DB" w:rsidR="00D1362C" w:rsidRPr="00DA1E18" w:rsidRDefault="00D1362C" w:rsidP="00D85C8A">
            <w:pPr>
              <w:spacing w:after="0"/>
              <w:jc w:val="right"/>
              <w:rPr>
                <w:rStyle w:val="Strong"/>
              </w:rPr>
            </w:pPr>
            <w:r w:rsidRPr="00DA1E18">
              <w:rPr>
                <w:rStyle w:val="Strong"/>
              </w:rPr>
              <w:t>92,716</w:t>
            </w:r>
          </w:p>
        </w:tc>
      </w:tr>
    </w:tbl>
    <w:p w14:paraId="014D2A82" w14:textId="621654BE" w:rsidR="00F47458" w:rsidRDefault="00F47458" w:rsidP="00D1362C"/>
    <w:p w14:paraId="0AE833AA" w14:textId="02A89410" w:rsidR="0026102C" w:rsidRDefault="00D1362C" w:rsidP="00D1362C">
      <w:r w:rsidRPr="00D1362C">
        <w:t>The Statement of Changes in Equity should be read in conjunction with the accompanying notes.</w:t>
      </w:r>
    </w:p>
    <w:p w14:paraId="1844DB45" w14:textId="77777777" w:rsidR="0026102C" w:rsidRDefault="0026102C">
      <w:pPr>
        <w:keepLines w:val="0"/>
        <w:spacing w:after="0" w:line="240" w:lineRule="auto"/>
      </w:pPr>
      <w:r>
        <w:br w:type="page"/>
      </w:r>
    </w:p>
    <w:p w14:paraId="22CB60DF" w14:textId="77777777" w:rsidR="0026102C" w:rsidRDefault="0026102C" w:rsidP="0026102C">
      <w:pPr>
        <w:pStyle w:val="Heading1nonumber"/>
        <w:rPr>
          <w:color w:val="000000"/>
        </w:rPr>
      </w:pPr>
      <w:bookmarkStart w:id="677" w:name="_Toc430091355"/>
      <w:r>
        <w:rPr>
          <w:spacing w:val="-12"/>
        </w:rPr>
        <w:lastRenderedPageBreak/>
        <w:t>S</w:t>
      </w:r>
      <w:r>
        <w:rPr>
          <w:spacing w:val="-9"/>
        </w:rPr>
        <w:t>t</w:t>
      </w:r>
      <w:r>
        <w:rPr>
          <w:spacing w:val="-6"/>
        </w:rPr>
        <w:t>a</w:t>
      </w:r>
      <w:r>
        <w:rPr>
          <w:spacing w:val="-9"/>
        </w:rPr>
        <w:t>te</w:t>
      </w:r>
      <w:r>
        <w:t>m</w:t>
      </w:r>
      <w:r>
        <w:rPr>
          <w:spacing w:val="-10"/>
        </w:rPr>
        <w:t>e</w:t>
      </w:r>
      <w:r>
        <w:t>nt</w:t>
      </w:r>
      <w:r>
        <w:rPr>
          <w:spacing w:val="-18"/>
        </w:rPr>
        <w:t xml:space="preserve"> </w:t>
      </w:r>
      <w:r>
        <w:rPr>
          <w:spacing w:val="-6"/>
        </w:rPr>
        <w:t>o</w:t>
      </w:r>
      <w:r>
        <w:t>f</w:t>
      </w:r>
      <w:r>
        <w:rPr>
          <w:spacing w:val="-18"/>
        </w:rPr>
        <w:t xml:space="preserve"> </w:t>
      </w:r>
      <w:r>
        <w:rPr>
          <w:spacing w:val="-14"/>
        </w:rPr>
        <w:t>C</w:t>
      </w:r>
      <w:r>
        <w:t>ash</w:t>
      </w:r>
      <w:r>
        <w:rPr>
          <w:spacing w:val="-18"/>
        </w:rPr>
        <w:t xml:space="preserve"> </w:t>
      </w:r>
      <w:r>
        <w:rPr>
          <w:spacing w:val="-7"/>
        </w:rPr>
        <w:t>F</w:t>
      </w:r>
      <w:r>
        <w:rPr>
          <w:spacing w:val="-6"/>
        </w:rPr>
        <w:t>l</w:t>
      </w:r>
      <w:r>
        <w:rPr>
          <w:spacing w:val="-16"/>
        </w:rPr>
        <w:t>o</w:t>
      </w:r>
      <w:r>
        <w:rPr>
          <w:spacing w:val="-11"/>
        </w:rPr>
        <w:t>w</w:t>
      </w:r>
      <w:r>
        <w:t>s</w:t>
      </w:r>
      <w:bookmarkEnd w:id="677"/>
    </w:p>
    <w:p w14:paraId="6F500394" w14:textId="77777777" w:rsidR="0026102C" w:rsidRDefault="0026102C" w:rsidP="0026102C">
      <w:pPr>
        <w:pStyle w:val="Heading2nonumber"/>
        <w:rPr>
          <w:color w:val="000000"/>
        </w:rPr>
      </w:pPr>
      <w:bookmarkStart w:id="678" w:name="_Toc430091356"/>
      <w:r>
        <w:rPr>
          <w:spacing w:val="-8"/>
        </w:rPr>
        <w:t>F</w:t>
      </w:r>
      <w:r>
        <w:rPr>
          <w:spacing w:val="-3"/>
        </w:rPr>
        <w:t>o</w:t>
      </w:r>
      <w:r>
        <w:t>r</w:t>
      </w:r>
      <w:r>
        <w:rPr>
          <w:spacing w:val="-15"/>
        </w:rPr>
        <w:t xml:space="preserve"> </w:t>
      </w:r>
      <w:r>
        <w:rPr>
          <w:spacing w:val="-5"/>
        </w:rPr>
        <w:t>t</w:t>
      </w:r>
      <w:r>
        <w:rPr>
          <w:spacing w:val="-6"/>
        </w:rPr>
        <w:t>h</w:t>
      </w:r>
      <w:r>
        <w:t>e</w:t>
      </w:r>
      <w:r>
        <w:rPr>
          <w:spacing w:val="-15"/>
        </w:rPr>
        <w:t xml:space="preserve"> y</w:t>
      </w:r>
      <w:r>
        <w:rPr>
          <w:spacing w:val="-7"/>
        </w:rPr>
        <w:t>e</w:t>
      </w:r>
      <w:r>
        <w:rPr>
          <w:spacing w:val="-2"/>
        </w:rPr>
        <w:t>a</w:t>
      </w:r>
      <w:r>
        <w:t>r</w:t>
      </w:r>
      <w:r>
        <w:rPr>
          <w:spacing w:val="-15"/>
        </w:rPr>
        <w:t xml:space="preserve"> </w:t>
      </w:r>
      <w:r>
        <w:rPr>
          <w:spacing w:val="-7"/>
        </w:rPr>
        <w:t>e</w:t>
      </w:r>
      <w:r>
        <w:rPr>
          <w:spacing w:val="-6"/>
        </w:rPr>
        <w:t>n</w:t>
      </w:r>
      <w:r>
        <w:rPr>
          <w:spacing w:val="-7"/>
        </w:rPr>
        <w:t>de</w:t>
      </w:r>
      <w:r>
        <w:t>d</w:t>
      </w:r>
      <w:r>
        <w:rPr>
          <w:spacing w:val="-15"/>
        </w:rPr>
        <w:t xml:space="preserve"> </w:t>
      </w:r>
      <w:r>
        <w:t>30</w:t>
      </w:r>
      <w:r>
        <w:rPr>
          <w:spacing w:val="-14"/>
        </w:rPr>
        <w:t xml:space="preserve"> </w:t>
      </w:r>
      <w:r>
        <w:rPr>
          <w:spacing w:val="-8"/>
        </w:rPr>
        <w:t>J</w:t>
      </w:r>
      <w:r>
        <w:rPr>
          <w:spacing w:val="-7"/>
        </w:rPr>
        <w:t>u</w:t>
      </w:r>
      <w:r>
        <w:rPr>
          <w:spacing w:val="-6"/>
        </w:rPr>
        <w:t>n</w:t>
      </w:r>
      <w:r>
        <w:t>e</w:t>
      </w:r>
      <w:r>
        <w:rPr>
          <w:spacing w:val="-16"/>
        </w:rPr>
        <w:t xml:space="preserve"> </w:t>
      </w:r>
      <w:r>
        <w:rPr>
          <w:spacing w:val="-1"/>
        </w:rPr>
        <w:t>2</w:t>
      </w:r>
      <w:r>
        <w:rPr>
          <w:spacing w:val="-14"/>
        </w:rPr>
        <w:t>0</w:t>
      </w:r>
      <w:r>
        <w:rPr>
          <w:spacing w:val="-22"/>
        </w:rPr>
        <w:t>1</w:t>
      </w:r>
      <w:r>
        <w:t>5</w:t>
      </w:r>
      <w:bookmarkEnd w:id="678"/>
    </w:p>
    <w:tbl>
      <w:tblPr>
        <w:tblW w:w="0" w:type="auto"/>
        <w:tblLayout w:type="fixed"/>
        <w:tblCellMar>
          <w:left w:w="0" w:type="dxa"/>
          <w:right w:w="0" w:type="dxa"/>
        </w:tblCellMar>
        <w:tblLook w:val="0000" w:firstRow="0" w:lastRow="0" w:firstColumn="0" w:lastColumn="0" w:noHBand="0" w:noVBand="0"/>
      </w:tblPr>
      <w:tblGrid>
        <w:gridCol w:w="4860"/>
        <w:gridCol w:w="901"/>
        <w:gridCol w:w="1048"/>
        <w:gridCol w:w="993"/>
      </w:tblGrid>
      <w:tr w:rsidR="0026102C" w:rsidRPr="0026102C" w14:paraId="4AF432F7" w14:textId="77777777" w:rsidTr="006B302A">
        <w:trPr>
          <w:trHeight w:hRule="exact" w:val="296"/>
        </w:trPr>
        <w:tc>
          <w:tcPr>
            <w:tcW w:w="4860" w:type="dxa"/>
          </w:tcPr>
          <w:p w14:paraId="1CB9AB91" w14:textId="77777777" w:rsidR="0026102C" w:rsidRPr="0026102C" w:rsidRDefault="0026102C" w:rsidP="0026102C">
            <w:pPr>
              <w:spacing w:after="0"/>
              <w:rPr>
                <w:rFonts w:cs="Arial"/>
              </w:rPr>
            </w:pPr>
          </w:p>
        </w:tc>
        <w:tc>
          <w:tcPr>
            <w:tcW w:w="901" w:type="dxa"/>
            <w:shd w:val="clear" w:color="auto" w:fill="FFFFFF" w:themeFill="background1"/>
          </w:tcPr>
          <w:p w14:paraId="19F79818" w14:textId="68150621" w:rsidR="0026102C" w:rsidRPr="0026102C" w:rsidRDefault="0026102C" w:rsidP="0026102C">
            <w:pPr>
              <w:spacing w:after="0"/>
              <w:jc w:val="right"/>
              <w:rPr>
                <w:rFonts w:cs="Arial"/>
              </w:rPr>
            </w:pPr>
            <w:r>
              <w:rPr>
                <w:rFonts w:cs="Arial"/>
              </w:rPr>
              <w:t>Note</w:t>
            </w:r>
          </w:p>
        </w:tc>
        <w:tc>
          <w:tcPr>
            <w:tcW w:w="1048" w:type="dxa"/>
            <w:shd w:val="clear" w:color="auto" w:fill="FFFFFF" w:themeFill="background1"/>
          </w:tcPr>
          <w:p w14:paraId="4A928FF5" w14:textId="09990332" w:rsidR="0026102C" w:rsidRPr="0026102C" w:rsidRDefault="0026102C" w:rsidP="0026102C">
            <w:pPr>
              <w:spacing w:after="0"/>
              <w:jc w:val="right"/>
              <w:rPr>
                <w:rFonts w:cs="Arial"/>
              </w:rPr>
            </w:pPr>
            <w:r>
              <w:rPr>
                <w:rFonts w:cs="Arial"/>
              </w:rPr>
              <w:t>2015</w:t>
            </w:r>
          </w:p>
        </w:tc>
        <w:tc>
          <w:tcPr>
            <w:tcW w:w="993" w:type="dxa"/>
            <w:shd w:val="clear" w:color="auto" w:fill="FFFFFF" w:themeFill="background1"/>
          </w:tcPr>
          <w:p w14:paraId="73A98F87" w14:textId="30EFECA9" w:rsidR="0026102C" w:rsidRPr="0026102C" w:rsidRDefault="0026102C" w:rsidP="0026102C">
            <w:pPr>
              <w:spacing w:after="0"/>
              <w:jc w:val="right"/>
              <w:rPr>
                <w:rFonts w:cs="Arial"/>
              </w:rPr>
            </w:pPr>
            <w:r>
              <w:rPr>
                <w:rFonts w:cs="Arial"/>
              </w:rPr>
              <w:t>2014</w:t>
            </w:r>
          </w:p>
        </w:tc>
      </w:tr>
      <w:tr w:rsidR="0026102C" w:rsidRPr="0026102C" w14:paraId="525D806F" w14:textId="77777777" w:rsidTr="006B302A">
        <w:trPr>
          <w:trHeight w:hRule="exact" w:val="296"/>
        </w:trPr>
        <w:tc>
          <w:tcPr>
            <w:tcW w:w="4860" w:type="dxa"/>
          </w:tcPr>
          <w:p w14:paraId="1554106A" w14:textId="77777777" w:rsidR="0026102C" w:rsidRPr="0026102C" w:rsidRDefault="0026102C" w:rsidP="0026102C">
            <w:pPr>
              <w:spacing w:after="0"/>
              <w:rPr>
                <w:rFonts w:cs="Arial"/>
              </w:rPr>
            </w:pPr>
          </w:p>
        </w:tc>
        <w:tc>
          <w:tcPr>
            <w:tcW w:w="901" w:type="dxa"/>
            <w:shd w:val="clear" w:color="auto" w:fill="FFFFFF" w:themeFill="background1"/>
          </w:tcPr>
          <w:p w14:paraId="55066E73" w14:textId="77777777" w:rsidR="0026102C" w:rsidRPr="0026102C" w:rsidRDefault="0026102C" w:rsidP="0026102C">
            <w:pPr>
              <w:spacing w:after="0"/>
              <w:jc w:val="right"/>
              <w:rPr>
                <w:rFonts w:cs="Arial"/>
              </w:rPr>
            </w:pPr>
          </w:p>
        </w:tc>
        <w:tc>
          <w:tcPr>
            <w:tcW w:w="1048" w:type="dxa"/>
            <w:shd w:val="clear" w:color="auto" w:fill="FFFFFF" w:themeFill="background1"/>
          </w:tcPr>
          <w:p w14:paraId="72C8179A" w14:textId="4E1C5B85" w:rsidR="0026102C" w:rsidRPr="0026102C" w:rsidRDefault="0026102C" w:rsidP="0026102C">
            <w:pPr>
              <w:spacing w:after="0"/>
              <w:jc w:val="right"/>
              <w:rPr>
                <w:rFonts w:cs="Arial"/>
              </w:rPr>
            </w:pPr>
            <w:r>
              <w:rPr>
                <w:rFonts w:cs="Arial"/>
              </w:rPr>
              <w:t>$000</w:t>
            </w:r>
          </w:p>
        </w:tc>
        <w:tc>
          <w:tcPr>
            <w:tcW w:w="993" w:type="dxa"/>
            <w:shd w:val="clear" w:color="auto" w:fill="FFFFFF" w:themeFill="background1"/>
          </w:tcPr>
          <w:p w14:paraId="013E6962" w14:textId="7F56E615" w:rsidR="0026102C" w:rsidRPr="0026102C" w:rsidRDefault="0026102C" w:rsidP="0026102C">
            <w:pPr>
              <w:spacing w:after="0"/>
              <w:jc w:val="right"/>
              <w:rPr>
                <w:rFonts w:cs="Arial"/>
              </w:rPr>
            </w:pPr>
            <w:r>
              <w:rPr>
                <w:rFonts w:cs="Arial"/>
              </w:rPr>
              <w:t>$000</w:t>
            </w:r>
          </w:p>
        </w:tc>
      </w:tr>
      <w:tr w:rsidR="0026102C" w:rsidRPr="0026102C" w14:paraId="5BD5C581" w14:textId="77777777" w:rsidTr="006B302A">
        <w:trPr>
          <w:trHeight w:hRule="exact" w:val="296"/>
        </w:trPr>
        <w:tc>
          <w:tcPr>
            <w:tcW w:w="4860" w:type="dxa"/>
          </w:tcPr>
          <w:p w14:paraId="6BB41B64" w14:textId="50D4B4E5" w:rsidR="0026102C" w:rsidRPr="00DA1E18" w:rsidRDefault="0026102C" w:rsidP="0026102C">
            <w:pPr>
              <w:spacing w:after="0"/>
              <w:rPr>
                <w:rStyle w:val="Strong"/>
              </w:rPr>
            </w:pPr>
            <w:r w:rsidRPr="00DA1E18">
              <w:rPr>
                <w:rStyle w:val="Strong"/>
              </w:rPr>
              <w:t>Cash Flows From Operating Activities</w:t>
            </w:r>
          </w:p>
        </w:tc>
        <w:tc>
          <w:tcPr>
            <w:tcW w:w="901" w:type="dxa"/>
          </w:tcPr>
          <w:p w14:paraId="778BCDED" w14:textId="77777777" w:rsidR="0026102C" w:rsidRPr="0026102C" w:rsidRDefault="0026102C" w:rsidP="0026102C">
            <w:pPr>
              <w:spacing w:after="0"/>
              <w:jc w:val="right"/>
              <w:rPr>
                <w:rFonts w:cs="Arial"/>
              </w:rPr>
            </w:pPr>
          </w:p>
        </w:tc>
        <w:tc>
          <w:tcPr>
            <w:tcW w:w="1048" w:type="dxa"/>
            <w:shd w:val="clear" w:color="auto" w:fill="F5EDC1" w:themeFill="accent4"/>
          </w:tcPr>
          <w:p w14:paraId="4967EE04" w14:textId="77777777" w:rsidR="0026102C" w:rsidRPr="0026102C" w:rsidRDefault="0026102C" w:rsidP="0026102C">
            <w:pPr>
              <w:spacing w:after="0"/>
              <w:jc w:val="right"/>
              <w:rPr>
                <w:rFonts w:cs="Arial"/>
              </w:rPr>
            </w:pPr>
          </w:p>
        </w:tc>
        <w:tc>
          <w:tcPr>
            <w:tcW w:w="993" w:type="dxa"/>
            <w:shd w:val="clear" w:color="auto" w:fill="D4E2E0" w:themeFill="accent5"/>
          </w:tcPr>
          <w:p w14:paraId="3322DF1A" w14:textId="77777777" w:rsidR="0026102C" w:rsidRPr="0026102C" w:rsidRDefault="0026102C" w:rsidP="0026102C">
            <w:pPr>
              <w:spacing w:after="0"/>
              <w:jc w:val="right"/>
              <w:rPr>
                <w:rFonts w:cs="Arial"/>
              </w:rPr>
            </w:pPr>
          </w:p>
        </w:tc>
      </w:tr>
      <w:tr w:rsidR="0026102C" w:rsidRPr="0026102C" w14:paraId="72980C57" w14:textId="77777777" w:rsidTr="00ED6404">
        <w:trPr>
          <w:trHeight w:hRule="exact" w:val="296"/>
        </w:trPr>
        <w:tc>
          <w:tcPr>
            <w:tcW w:w="4860" w:type="dxa"/>
            <w:shd w:val="clear" w:color="auto" w:fill="FFFFFF" w:themeFill="background1"/>
          </w:tcPr>
          <w:p w14:paraId="4165C3A2" w14:textId="42CB9277" w:rsidR="0026102C" w:rsidRPr="00DA1E18" w:rsidRDefault="0026102C" w:rsidP="0026102C">
            <w:pPr>
              <w:spacing w:after="0"/>
              <w:rPr>
                <w:rStyle w:val="Emphasis"/>
              </w:rPr>
            </w:pPr>
            <w:r w:rsidRPr="00DA1E18">
              <w:rPr>
                <w:rStyle w:val="Emphasis"/>
              </w:rPr>
              <w:t>Receipts</w:t>
            </w:r>
          </w:p>
        </w:tc>
        <w:tc>
          <w:tcPr>
            <w:tcW w:w="901" w:type="dxa"/>
            <w:shd w:val="clear" w:color="auto" w:fill="FFFFFF" w:themeFill="background1"/>
          </w:tcPr>
          <w:p w14:paraId="780EF298" w14:textId="77777777" w:rsidR="0026102C" w:rsidRPr="0026102C" w:rsidRDefault="0026102C" w:rsidP="0026102C">
            <w:pPr>
              <w:spacing w:after="0"/>
              <w:jc w:val="right"/>
              <w:rPr>
                <w:rFonts w:cs="Arial"/>
              </w:rPr>
            </w:pPr>
          </w:p>
        </w:tc>
        <w:tc>
          <w:tcPr>
            <w:tcW w:w="1048" w:type="dxa"/>
            <w:shd w:val="clear" w:color="auto" w:fill="FFFFFF" w:themeFill="background1"/>
          </w:tcPr>
          <w:p w14:paraId="707D9BC4" w14:textId="77777777" w:rsidR="0026102C" w:rsidRPr="0026102C" w:rsidRDefault="0026102C" w:rsidP="0026102C">
            <w:pPr>
              <w:spacing w:after="0"/>
              <w:jc w:val="right"/>
              <w:rPr>
                <w:rFonts w:cs="Arial"/>
              </w:rPr>
            </w:pPr>
          </w:p>
        </w:tc>
        <w:tc>
          <w:tcPr>
            <w:tcW w:w="993" w:type="dxa"/>
            <w:shd w:val="clear" w:color="auto" w:fill="FFFFFF" w:themeFill="background1"/>
          </w:tcPr>
          <w:p w14:paraId="1DCD9349" w14:textId="77777777" w:rsidR="0026102C" w:rsidRPr="0026102C" w:rsidRDefault="0026102C" w:rsidP="0026102C">
            <w:pPr>
              <w:spacing w:after="0"/>
              <w:jc w:val="right"/>
              <w:rPr>
                <w:rFonts w:cs="Arial"/>
              </w:rPr>
            </w:pPr>
          </w:p>
        </w:tc>
      </w:tr>
      <w:tr w:rsidR="0026102C" w:rsidRPr="0026102C" w14:paraId="41EB7D03" w14:textId="77777777" w:rsidTr="006B302A">
        <w:trPr>
          <w:trHeight w:hRule="exact" w:val="296"/>
        </w:trPr>
        <w:tc>
          <w:tcPr>
            <w:tcW w:w="4860" w:type="dxa"/>
          </w:tcPr>
          <w:p w14:paraId="210DC2E0" w14:textId="16BEC968" w:rsidR="0026102C" w:rsidRPr="0026102C" w:rsidRDefault="0026102C" w:rsidP="0026102C">
            <w:pPr>
              <w:spacing w:after="0"/>
              <w:rPr>
                <w:rFonts w:cs="Arial"/>
              </w:rPr>
            </w:pPr>
            <w:r>
              <w:rPr>
                <w:rFonts w:cs="Arial"/>
              </w:rPr>
              <w:t>Supplementation Fund receipts</w:t>
            </w:r>
          </w:p>
        </w:tc>
        <w:tc>
          <w:tcPr>
            <w:tcW w:w="901" w:type="dxa"/>
          </w:tcPr>
          <w:p w14:paraId="27F9D33C" w14:textId="77777777" w:rsidR="0026102C" w:rsidRPr="0026102C" w:rsidRDefault="0026102C" w:rsidP="0026102C">
            <w:pPr>
              <w:spacing w:after="0"/>
              <w:jc w:val="right"/>
              <w:rPr>
                <w:rFonts w:cs="Arial"/>
              </w:rPr>
            </w:pPr>
          </w:p>
        </w:tc>
        <w:tc>
          <w:tcPr>
            <w:tcW w:w="1048" w:type="dxa"/>
            <w:shd w:val="clear" w:color="auto" w:fill="F5EDC1" w:themeFill="accent4"/>
          </w:tcPr>
          <w:p w14:paraId="36295FB1" w14:textId="30415D05" w:rsidR="0026102C" w:rsidRPr="0026102C" w:rsidRDefault="0026102C" w:rsidP="0026102C">
            <w:pPr>
              <w:spacing w:after="0"/>
              <w:jc w:val="right"/>
              <w:rPr>
                <w:rFonts w:cs="Arial"/>
              </w:rPr>
            </w:pPr>
            <w:r>
              <w:rPr>
                <w:rFonts w:cs="Arial"/>
              </w:rPr>
              <w:t>9,496</w:t>
            </w:r>
          </w:p>
        </w:tc>
        <w:tc>
          <w:tcPr>
            <w:tcW w:w="993" w:type="dxa"/>
            <w:shd w:val="clear" w:color="auto" w:fill="D4E2E0" w:themeFill="accent5"/>
          </w:tcPr>
          <w:p w14:paraId="6C48DA4C" w14:textId="569A522C" w:rsidR="0026102C" w:rsidRPr="0026102C" w:rsidRDefault="0026102C" w:rsidP="0026102C">
            <w:pPr>
              <w:spacing w:after="0"/>
              <w:jc w:val="right"/>
              <w:rPr>
                <w:rFonts w:cs="Arial"/>
              </w:rPr>
            </w:pPr>
            <w:r>
              <w:rPr>
                <w:rFonts w:cs="Arial"/>
              </w:rPr>
              <w:t>10,005</w:t>
            </w:r>
          </w:p>
        </w:tc>
      </w:tr>
      <w:tr w:rsidR="0026102C" w:rsidRPr="0026102C" w14:paraId="3EC1400C" w14:textId="77777777" w:rsidTr="006B302A">
        <w:trPr>
          <w:trHeight w:hRule="exact" w:val="296"/>
        </w:trPr>
        <w:tc>
          <w:tcPr>
            <w:tcW w:w="4860" w:type="dxa"/>
          </w:tcPr>
          <w:p w14:paraId="71145CD4" w14:textId="794F3527" w:rsidR="0026102C" w:rsidRPr="0026102C" w:rsidRDefault="0026102C" w:rsidP="0026102C">
            <w:pPr>
              <w:spacing w:after="0"/>
              <w:rPr>
                <w:rFonts w:cs="Arial"/>
              </w:rPr>
            </w:pPr>
            <w:r>
              <w:rPr>
                <w:rFonts w:cs="Arial"/>
              </w:rPr>
              <w:t>Insurer contributions</w:t>
            </w:r>
          </w:p>
        </w:tc>
        <w:tc>
          <w:tcPr>
            <w:tcW w:w="901" w:type="dxa"/>
          </w:tcPr>
          <w:p w14:paraId="353A32DE" w14:textId="77777777" w:rsidR="0026102C" w:rsidRPr="0026102C" w:rsidRDefault="0026102C" w:rsidP="0026102C">
            <w:pPr>
              <w:spacing w:after="0"/>
              <w:jc w:val="right"/>
              <w:rPr>
                <w:rFonts w:cs="Arial"/>
              </w:rPr>
            </w:pPr>
          </w:p>
        </w:tc>
        <w:tc>
          <w:tcPr>
            <w:tcW w:w="1048" w:type="dxa"/>
            <w:shd w:val="clear" w:color="auto" w:fill="F5EDC1" w:themeFill="accent4"/>
          </w:tcPr>
          <w:p w14:paraId="14BE4040" w14:textId="6EB70AD5" w:rsidR="0026102C" w:rsidRPr="0026102C" w:rsidRDefault="0026102C" w:rsidP="0026102C">
            <w:pPr>
              <w:spacing w:after="0"/>
              <w:jc w:val="right"/>
              <w:rPr>
                <w:rFonts w:cs="Arial"/>
              </w:rPr>
            </w:pPr>
            <w:r>
              <w:rPr>
                <w:rFonts w:cs="Arial"/>
              </w:rPr>
              <w:t>21,493</w:t>
            </w:r>
          </w:p>
        </w:tc>
        <w:tc>
          <w:tcPr>
            <w:tcW w:w="993" w:type="dxa"/>
            <w:shd w:val="clear" w:color="auto" w:fill="D4E2E0" w:themeFill="accent5"/>
          </w:tcPr>
          <w:p w14:paraId="61B3834E" w14:textId="7F277C58" w:rsidR="0026102C" w:rsidRPr="0026102C" w:rsidRDefault="0026102C" w:rsidP="0026102C">
            <w:pPr>
              <w:spacing w:after="0"/>
              <w:jc w:val="right"/>
              <w:rPr>
                <w:rFonts w:cs="Arial"/>
              </w:rPr>
            </w:pPr>
            <w:r>
              <w:rPr>
                <w:rFonts w:cs="Arial"/>
              </w:rPr>
              <w:t>21,509</w:t>
            </w:r>
          </w:p>
        </w:tc>
      </w:tr>
      <w:tr w:rsidR="0026102C" w:rsidRPr="0026102C" w14:paraId="48AE651E" w14:textId="77777777" w:rsidTr="006B302A">
        <w:trPr>
          <w:trHeight w:hRule="exact" w:val="296"/>
        </w:trPr>
        <w:tc>
          <w:tcPr>
            <w:tcW w:w="4860" w:type="dxa"/>
          </w:tcPr>
          <w:p w14:paraId="16C2D7BD" w14:textId="28DA3C9F" w:rsidR="0026102C" w:rsidRPr="0026102C" w:rsidRDefault="0026102C" w:rsidP="0026102C">
            <w:pPr>
              <w:spacing w:after="0"/>
              <w:rPr>
                <w:rFonts w:cs="Arial"/>
              </w:rPr>
            </w:pPr>
            <w:r>
              <w:rPr>
                <w:rFonts w:cs="Arial"/>
              </w:rPr>
              <w:t>Provision of services</w:t>
            </w:r>
          </w:p>
        </w:tc>
        <w:tc>
          <w:tcPr>
            <w:tcW w:w="901" w:type="dxa"/>
          </w:tcPr>
          <w:p w14:paraId="4BDB3D29" w14:textId="77777777" w:rsidR="0026102C" w:rsidRPr="0026102C" w:rsidRDefault="0026102C" w:rsidP="0026102C">
            <w:pPr>
              <w:spacing w:after="0"/>
              <w:jc w:val="right"/>
              <w:rPr>
                <w:rFonts w:cs="Arial"/>
              </w:rPr>
            </w:pPr>
          </w:p>
        </w:tc>
        <w:tc>
          <w:tcPr>
            <w:tcW w:w="1048" w:type="dxa"/>
            <w:shd w:val="clear" w:color="auto" w:fill="F5EDC1" w:themeFill="accent4"/>
          </w:tcPr>
          <w:p w14:paraId="34C61D05" w14:textId="575474F4" w:rsidR="0026102C" w:rsidRPr="0026102C" w:rsidRDefault="0026102C" w:rsidP="0026102C">
            <w:pPr>
              <w:spacing w:after="0"/>
              <w:jc w:val="right"/>
              <w:rPr>
                <w:rFonts w:cs="Arial"/>
              </w:rPr>
            </w:pPr>
            <w:r>
              <w:rPr>
                <w:rFonts w:cs="Arial"/>
              </w:rPr>
              <w:t>9</w:t>
            </w:r>
          </w:p>
        </w:tc>
        <w:tc>
          <w:tcPr>
            <w:tcW w:w="993" w:type="dxa"/>
            <w:shd w:val="clear" w:color="auto" w:fill="D4E2E0" w:themeFill="accent5"/>
          </w:tcPr>
          <w:p w14:paraId="2F541B77" w14:textId="5E17A2A2" w:rsidR="0026102C" w:rsidRPr="0026102C" w:rsidRDefault="0026102C" w:rsidP="0026102C">
            <w:pPr>
              <w:spacing w:after="0"/>
              <w:jc w:val="right"/>
              <w:rPr>
                <w:rFonts w:cs="Arial"/>
              </w:rPr>
            </w:pPr>
            <w:r>
              <w:rPr>
                <w:rFonts w:cs="Arial"/>
              </w:rPr>
              <w:t>10</w:t>
            </w:r>
          </w:p>
        </w:tc>
      </w:tr>
      <w:tr w:rsidR="0026102C" w:rsidRPr="0026102C" w14:paraId="1B899928" w14:textId="77777777" w:rsidTr="006B302A">
        <w:trPr>
          <w:trHeight w:hRule="exact" w:val="296"/>
        </w:trPr>
        <w:tc>
          <w:tcPr>
            <w:tcW w:w="4860" w:type="dxa"/>
          </w:tcPr>
          <w:p w14:paraId="60B2DBD2" w14:textId="4BC71391" w:rsidR="0026102C" w:rsidRPr="0026102C" w:rsidRDefault="0026102C" w:rsidP="0026102C">
            <w:pPr>
              <w:spacing w:after="0"/>
              <w:rPr>
                <w:rFonts w:cs="Arial"/>
              </w:rPr>
            </w:pPr>
            <w:r>
              <w:rPr>
                <w:rFonts w:cs="Arial"/>
              </w:rPr>
              <w:t>Interest received</w:t>
            </w:r>
          </w:p>
        </w:tc>
        <w:tc>
          <w:tcPr>
            <w:tcW w:w="901" w:type="dxa"/>
          </w:tcPr>
          <w:p w14:paraId="48A80492" w14:textId="77C56C5F" w:rsidR="0026102C" w:rsidRPr="0026102C" w:rsidRDefault="0026102C" w:rsidP="0026102C">
            <w:pPr>
              <w:spacing w:after="0"/>
              <w:jc w:val="right"/>
              <w:rPr>
                <w:rFonts w:cs="Arial"/>
              </w:rPr>
            </w:pPr>
          </w:p>
        </w:tc>
        <w:tc>
          <w:tcPr>
            <w:tcW w:w="1048" w:type="dxa"/>
            <w:shd w:val="clear" w:color="auto" w:fill="F5EDC1" w:themeFill="accent4"/>
          </w:tcPr>
          <w:p w14:paraId="70C4237D" w14:textId="5E98CBE1" w:rsidR="0026102C" w:rsidRPr="0026102C" w:rsidRDefault="0026102C" w:rsidP="0026102C">
            <w:pPr>
              <w:spacing w:after="0"/>
              <w:jc w:val="right"/>
              <w:rPr>
                <w:rFonts w:cs="Arial"/>
              </w:rPr>
            </w:pPr>
            <w:r>
              <w:rPr>
                <w:rFonts w:cs="Arial"/>
              </w:rPr>
              <w:t>2,725</w:t>
            </w:r>
          </w:p>
        </w:tc>
        <w:tc>
          <w:tcPr>
            <w:tcW w:w="993" w:type="dxa"/>
            <w:shd w:val="clear" w:color="auto" w:fill="D4E2E0" w:themeFill="accent5"/>
          </w:tcPr>
          <w:p w14:paraId="2F925312" w14:textId="26D266C2" w:rsidR="0026102C" w:rsidRPr="0026102C" w:rsidRDefault="0026102C" w:rsidP="0026102C">
            <w:pPr>
              <w:spacing w:after="0"/>
              <w:jc w:val="right"/>
              <w:rPr>
                <w:rFonts w:cs="Arial"/>
              </w:rPr>
            </w:pPr>
            <w:r>
              <w:rPr>
                <w:rFonts w:cs="Arial"/>
              </w:rPr>
              <w:t>2,444</w:t>
            </w:r>
          </w:p>
        </w:tc>
      </w:tr>
      <w:tr w:rsidR="0026102C" w:rsidRPr="0026102C" w14:paraId="0CB0C88E" w14:textId="77777777" w:rsidTr="006B302A">
        <w:trPr>
          <w:trHeight w:hRule="exact" w:val="296"/>
        </w:trPr>
        <w:tc>
          <w:tcPr>
            <w:tcW w:w="4860" w:type="dxa"/>
          </w:tcPr>
          <w:p w14:paraId="08C54F2E" w14:textId="70BCE928" w:rsidR="0026102C" w:rsidRPr="0026102C" w:rsidRDefault="0026102C" w:rsidP="0026102C">
            <w:pPr>
              <w:spacing w:after="0"/>
              <w:rPr>
                <w:rFonts w:cs="Arial"/>
              </w:rPr>
            </w:pPr>
            <w:r>
              <w:rPr>
                <w:rFonts w:cs="Arial"/>
              </w:rPr>
              <w:t>GST receipts on sales</w:t>
            </w:r>
          </w:p>
        </w:tc>
        <w:tc>
          <w:tcPr>
            <w:tcW w:w="901" w:type="dxa"/>
          </w:tcPr>
          <w:p w14:paraId="147B3B4E" w14:textId="77777777" w:rsidR="0026102C" w:rsidRPr="0026102C" w:rsidRDefault="0026102C" w:rsidP="0026102C">
            <w:pPr>
              <w:spacing w:after="0"/>
              <w:jc w:val="right"/>
              <w:rPr>
                <w:rFonts w:cs="Arial"/>
              </w:rPr>
            </w:pPr>
          </w:p>
        </w:tc>
        <w:tc>
          <w:tcPr>
            <w:tcW w:w="1048" w:type="dxa"/>
            <w:shd w:val="clear" w:color="auto" w:fill="F5EDC1" w:themeFill="accent4"/>
          </w:tcPr>
          <w:p w14:paraId="569EDD86" w14:textId="1A4984B7" w:rsidR="0026102C" w:rsidRPr="0026102C" w:rsidRDefault="0026102C" w:rsidP="0026102C">
            <w:pPr>
              <w:spacing w:after="0"/>
              <w:jc w:val="right"/>
              <w:rPr>
                <w:rFonts w:cs="Arial"/>
              </w:rPr>
            </w:pPr>
            <w:r>
              <w:rPr>
                <w:rFonts w:cs="Arial"/>
              </w:rPr>
              <w:t>69</w:t>
            </w:r>
          </w:p>
        </w:tc>
        <w:tc>
          <w:tcPr>
            <w:tcW w:w="993" w:type="dxa"/>
            <w:shd w:val="clear" w:color="auto" w:fill="D4E2E0" w:themeFill="accent5"/>
          </w:tcPr>
          <w:p w14:paraId="27A554BE" w14:textId="11752A96" w:rsidR="0026102C" w:rsidRPr="0026102C" w:rsidRDefault="0026102C" w:rsidP="0026102C">
            <w:pPr>
              <w:spacing w:after="0"/>
              <w:jc w:val="right"/>
              <w:rPr>
                <w:rFonts w:cs="Arial"/>
              </w:rPr>
            </w:pPr>
            <w:r>
              <w:rPr>
                <w:rFonts w:cs="Arial"/>
              </w:rPr>
              <w:t>74</w:t>
            </w:r>
          </w:p>
        </w:tc>
      </w:tr>
      <w:tr w:rsidR="0026102C" w:rsidRPr="0026102C" w14:paraId="1DC74079" w14:textId="77777777" w:rsidTr="006B302A">
        <w:trPr>
          <w:trHeight w:hRule="exact" w:val="296"/>
        </w:trPr>
        <w:tc>
          <w:tcPr>
            <w:tcW w:w="4860" w:type="dxa"/>
          </w:tcPr>
          <w:p w14:paraId="750AA6A8" w14:textId="56EF889E" w:rsidR="0026102C" w:rsidRPr="0026102C" w:rsidRDefault="0026102C" w:rsidP="0026102C">
            <w:pPr>
              <w:spacing w:after="0"/>
              <w:rPr>
                <w:rFonts w:cs="Arial"/>
              </w:rPr>
            </w:pPr>
            <w:r>
              <w:rPr>
                <w:rFonts w:cs="Arial"/>
              </w:rPr>
              <w:t>GST receipts from taxation authority</w:t>
            </w:r>
          </w:p>
        </w:tc>
        <w:tc>
          <w:tcPr>
            <w:tcW w:w="901" w:type="dxa"/>
          </w:tcPr>
          <w:p w14:paraId="34A86847" w14:textId="77777777" w:rsidR="0026102C" w:rsidRPr="0026102C" w:rsidRDefault="0026102C" w:rsidP="0026102C">
            <w:pPr>
              <w:spacing w:after="0"/>
              <w:jc w:val="right"/>
              <w:rPr>
                <w:rFonts w:cs="Arial"/>
              </w:rPr>
            </w:pPr>
          </w:p>
        </w:tc>
        <w:tc>
          <w:tcPr>
            <w:tcW w:w="1048" w:type="dxa"/>
            <w:shd w:val="clear" w:color="auto" w:fill="F5EDC1" w:themeFill="accent4"/>
          </w:tcPr>
          <w:p w14:paraId="3BB53F30" w14:textId="3E590438" w:rsidR="0026102C" w:rsidRPr="0026102C" w:rsidRDefault="0026102C" w:rsidP="0026102C">
            <w:pPr>
              <w:spacing w:after="0"/>
              <w:jc w:val="right"/>
              <w:rPr>
                <w:rFonts w:cs="Arial"/>
              </w:rPr>
            </w:pPr>
            <w:r>
              <w:rPr>
                <w:rFonts w:cs="Arial"/>
              </w:rPr>
              <w:t>370</w:t>
            </w:r>
          </w:p>
        </w:tc>
        <w:tc>
          <w:tcPr>
            <w:tcW w:w="993" w:type="dxa"/>
            <w:shd w:val="clear" w:color="auto" w:fill="D4E2E0" w:themeFill="accent5"/>
          </w:tcPr>
          <w:p w14:paraId="3345F4A6" w14:textId="7803A49E" w:rsidR="0026102C" w:rsidRPr="0026102C" w:rsidRDefault="0026102C" w:rsidP="0026102C">
            <w:pPr>
              <w:spacing w:after="0"/>
              <w:jc w:val="right"/>
              <w:rPr>
                <w:rFonts w:cs="Arial"/>
              </w:rPr>
            </w:pPr>
            <w:r>
              <w:rPr>
                <w:rFonts w:cs="Arial"/>
              </w:rPr>
              <w:t>417</w:t>
            </w:r>
          </w:p>
        </w:tc>
      </w:tr>
      <w:tr w:rsidR="0026102C" w:rsidRPr="0026102C" w14:paraId="72A4C2E8" w14:textId="77777777" w:rsidTr="006B302A">
        <w:trPr>
          <w:trHeight w:hRule="exact" w:val="315"/>
        </w:trPr>
        <w:tc>
          <w:tcPr>
            <w:tcW w:w="4860" w:type="dxa"/>
          </w:tcPr>
          <w:p w14:paraId="6BA7D999" w14:textId="77777777" w:rsidR="0026102C" w:rsidRPr="0026102C" w:rsidRDefault="0026102C" w:rsidP="0026102C">
            <w:pPr>
              <w:spacing w:after="0"/>
              <w:rPr>
                <w:rFonts w:cs="Arial"/>
              </w:rPr>
            </w:pPr>
            <w:r w:rsidRPr="0026102C">
              <w:rPr>
                <w:rFonts w:cs="Arial"/>
              </w:rPr>
              <w:t>Other receipts</w:t>
            </w:r>
          </w:p>
        </w:tc>
        <w:tc>
          <w:tcPr>
            <w:tcW w:w="901" w:type="dxa"/>
          </w:tcPr>
          <w:p w14:paraId="2153B779" w14:textId="77777777" w:rsidR="0026102C" w:rsidRPr="0026102C" w:rsidRDefault="0026102C" w:rsidP="0026102C">
            <w:pPr>
              <w:spacing w:after="0"/>
              <w:jc w:val="right"/>
              <w:rPr>
                <w:rFonts w:cs="Arial"/>
              </w:rPr>
            </w:pPr>
          </w:p>
        </w:tc>
        <w:tc>
          <w:tcPr>
            <w:tcW w:w="1048" w:type="dxa"/>
            <w:shd w:val="clear" w:color="auto" w:fill="F5EDC1" w:themeFill="accent4"/>
          </w:tcPr>
          <w:p w14:paraId="23B25E39" w14:textId="44F9BFB7" w:rsidR="0026102C" w:rsidRPr="0026102C" w:rsidRDefault="00ED6404" w:rsidP="0026102C">
            <w:pPr>
              <w:spacing w:after="0"/>
              <w:jc w:val="right"/>
              <w:rPr>
                <w:rFonts w:cs="Arial"/>
              </w:rPr>
            </w:pPr>
            <w:r>
              <w:rPr>
                <w:rFonts w:cs="Arial"/>
              </w:rPr>
              <w:t>1,2</w:t>
            </w:r>
            <w:r w:rsidR="0026102C" w:rsidRPr="0026102C">
              <w:rPr>
                <w:rFonts w:cs="Arial"/>
              </w:rPr>
              <w:t>82</w:t>
            </w:r>
          </w:p>
        </w:tc>
        <w:tc>
          <w:tcPr>
            <w:tcW w:w="993" w:type="dxa"/>
            <w:shd w:val="clear" w:color="auto" w:fill="D4E2E0" w:themeFill="accent5"/>
          </w:tcPr>
          <w:p w14:paraId="0CD56C34" w14:textId="77777777" w:rsidR="0026102C" w:rsidRPr="0026102C" w:rsidRDefault="0026102C" w:rsidP="0026102C">
            <w:pPr>
              <w:spacing w:after="0"/>
              <w:jc w:val="right"/>
              <w:rPr>
                <w:rFonts w:cs="Arial"/>
              </w:rPr>
            </w:pPr>
            <w:r w:rsidRPr="0026102C">
              <w:rPr>
                <w:rFonts w:cs="Arial"/>
              </w:rPr>
              <w:t>536</w:t>
            </w:r>
          </w:p>
        </w:tc>
      </w:tr>
      <w:tr w:rsidR="0026102C" w:rsidRPr="0026102C" w14:paraId="4027515D" w14:textId="77777777" w:rsidTr="00ED6404">
        <w:trPr>
          <w:trHeight w:hRule="exact" w:val="317"/>
        </w:trPr>
        <w:tc>
          <w:tcPr>
            <w:tcW w:w="4860" w:type="dxa"/>
            <w:shd w:val="clear" w:color="auto" w:fill="FFFFFF" w:themeFill="background1"/>
          </w:tcPr>
          <w:p w14:paraId="35D62B14" w14:textId="77777777" w:rsidR="0026102C" w:rsidRPr="00DA1E18" w:rsidRDefault="0026102C" w:rsidP="0026102C">
            <w:pPr>
              <w:spacing w:after="0"/>
              <w:rPr>
                <w:rStyle w:val="Emphasis"/>
              </w:rPr>
            </w:pPr>
            <w:r w:rsidRPr="00DA1E18">
              <w:rPr>
                <w:rStyle w:val="Emphasis"/>
              </w:rPr>
              <w:t>Payments</w:t>
            </w:r>
          </w:p>
        </w:tc>
        <w:tc>
          <w:tcPr>
            <w:tcW w:w="901" w:type="dxa"/>
            <w:shd w:val="clear" w:color="auto" w:fill="FFFFFF" w:themeFill="background1"/>
          </w:tcPr>
          <w:p w14:paraId="743F6E36" w14:textId="77777777" w:rsidR="0026102C" w:rsidRPr="0026102C" w:rsidRDefault="0026102C" w:rsidP="0026102C">
            <w:pPr>
              <w:spacing w:after="0"/>
              <w:jc w:val="right"/>
              <w:rPr>
                <w:rFonts w:cs="Arial"/>
              </w:rPr>
            </w:pPr>
          </w:p>
        </w:tc>
        <w:tc>
          <w:tcPr>
            <w:tcW w:w="1048" w:type="dxa"/>
            <w:shd w:val="clear" w:color="auto" w:fill="FFFFFF" w:themeFill="background1"/>
          </w:tcPr>
          <w:p w14:paraId="4074068D" w14:textId="77777777" w:rsidR="0026102C" w:rsidRPr="0026102C" w:rsidRDefault="0026102C" w:rsidP="0026102C">
            <w:pPr>
              <w:spacing w:after="0"/>
              <w:jc w:val="right"/>
              <w:rPr>
                <w:rFonts w:cs="Arial"/>
              </w:rPr>
            </w:pPr>
          </w:p>
        </w:tc>
        <w:tc>
          <w:tcPr>
            <w:tcW w:w="993" w:type="dxa"/>
            <w:shd w:val="clear" w:color="auto" w:fill="FFFFFF" w:themeFill="background1"/>
          </w:tcPr>
          <w:p w14:paraId="3E2C2F82" w14:textId="77777777" w:rsidR="0026102C" w:rsidRPr="0026102C" w:rsidRDefault="0026102C" w:rsidP="0026102C">
            <w:pPr>
              <w:spacing w:after="0"/>
              <w:jc w:val="right"/>
              <w:rPr>
                <w:rFonts w:cs="Arial"/>
              </w:rPr>
            </w:pPr>
          </w:p>
        </w:tc>
      </w:tr>
      <w:tr w:rsidR="0026102C" w:rsidRPr="0026102C" w14:paraId="0DC89818" w14:textId="77777777" w:rsidTr="006B302A">
        <w:trPr>
          <w:trHeight w:hRule="exact" w:val="397"/>
        </w:trPr>
        <w:tc>
          <w:tcPr>
            <w:tcW w:w="4860" w:type="dxa"/>
          </w:tcPr>
          <w:p w14:paraId="3F692D09" w14:textId="77777777" w:rsidR="0026102C" w:rsidRPr="0026102C" w:rsidRDefault="0026102C" w:rsidP="0026102C">
            <w:pPr>
              <w:spacing w:after="0"/>
              <w:rPr>
                <w:rFonts w:cs="Arial"/>
              </w:rPr>
            </w:pPr>
            <w:r w:rsidRPr="0026102C">
              <w:rPr>
                <w:rFonts w:cs="Arial"/>
              </w:rPr>
              <w:t>Workers' Compensation claim payments</w:t>
            </w:r>
          </w:p>
        </w:tc>
        <w:tc>
          <w:tcPr>
            <w:tcW w:w="901" w:type="dxa"/>
          </w:tcPr>
          <w:p w14:paraId="40F17A5A" w14:textId="77777777" w:rsidR="0026102C" w:rsidRPr="0026102C" w:rsidRDefault="0026102C" w:rsidP="0026102C">
            <w:pPr>
              <w:spacing w:after="0"/>
              <w:jc w:val="right"/>
              <w:rPr>
                <w:rFonts w:cs="Arial"/>
              </w:rPr>
            </w:pPr>
          </w:p>
        </w:tc>
        <w:tc>
          <w:tcPr>
            <w:tcW w:w="1048" w:type="dxa"/>
            <w:shd w:val="clear" w:color="auto" w:fill="F5EDC1" w:themeFill="accent4"/>
          </w:tcPr>
          <w:p w14:paraId="0AEF9E7F" w14:textId="3ECF3E28" w:rsidR="0026102C" w:rsidRPr="0026102C" w:rsidRDefault="0026102C" w:rsidP="0026102C">
            <w:pPr>
              <w:spacing w:after="0"/>
              <w:jc w:val="right"/>
              <w:rPr>
                <w:rFonts w:cs="Arial"/>
              </w:rPr>
            </w:pPr>
            <w:r>
              <w:rPr>
                <w:rFonts w:cs="Arial"/>
              </w:rPr>
              <w:t>(852)</w:t>
            </w:r>
          </w:p>
        </w:tc>
        <w:tc>
          <w:tcPr>
            <w:tcW w:w="993" w:type="dxa"/>
            <w:shd w:val="clear" w:color="auto" w:fill="D4E2E0" w:themeFill="accent5"/>
          </w:tcPr>
          <w:p w14:paraId="25A032C6" w14:textId="2F9048A4" w:rsidR="0026102C" w:rsidRPr="0026102C" w:rsidRDefault="0026102C" w:rsidP="0026102C">
            <w:pPr>
              <w:spacing w:after="0"/>
              <w:jc w:val="right"/>
              <w:rPr>
                <w:rFonts w:cs="Arial"/>
              </w:rPr>
            </w:pPr>
            <w:r>
              <w:rPr>
                <w:rFonts w:cs="Arial"/>
              </w:rPr>
              <w:t>(798)</w:t>
            </w:r>
          </w:p>
        </w:tc>
      </w:tr>
      <w:tr w:rsidR="0026102C" w:rsidRPr="0026102C" w14:paraId="1FE6C407" w14:textId="77777777" w:rsidTr="006B302A">
        <w:trPr>
          <w:trHeight w:hRule="exact" w:val="417"/>
        </w:trPr>
        <w:tc>
          <w:tcPr>
            <w:tcW w:w="4860" w:type="dxa"/>
          </w:tcPr>
          <w:p w14:paraId="637F931A" w14:textId="77777777" w:rsidR="0026102C" w:rsidRPr="0026102C" w:rsidRDefault="0026102C" w:rsidP="0026102C">
            <w:pPr>
              <w:spacing w:after="0"/>
              <w:rPr>
                <w:rFonts w:cs="Arial"/>
              </w:rPr>
            </w:pPr>
            <w:r w:rsidRPr="0026102C">
              <w:rPr>
                <w:rFonts w:cs="Arial"/>
              </w:rPr>
              <w:t>Employee benefits</w:t>
            </w:r>
          </w:p>
        </w:tc>
        <w:tc>
          <w:tcPr>
            <w:tcW w:w="901" w:type="dxa"/>
          </w:tcPr>
          <w:p w14:paraId="303B4A1A" w14:textId="77777777" w:rsidR="0026102C" w:rsidRPr="0026102C" w:rsidRDefault="0026102C" w:rsidP="0026102C">
            <w:pPr>
              <w:spacing w:after="0"/>
              <w:jc w:val="right"/>
              <w:rPr>
                <w:rFonts w:cs="Arial"/>
              </w:rPr>
            </w:pPr>
          </w:p>
        </w:tc>
        <w:tc>
          <w:tcPr>
            <w:tcW w:w="1048" w:type="dxa"/>
            <w:shd w:val="clear" w:color="auto" w:fill="F5EDC1" w:themeFill="accent4"/>
          </w:tcPr>
          <w:p w14:paraId="6D96925F" w14:textId="4D3F99B0" w:rsidR="0026102C" w:rsidRPr="0026102C" w:rsidRDefault="0026102C" w:rsidP="0026102C">
            <w:pPr>
              <w:spacing w:after="0"/>
              <w:jc w:val="right"/>
              <w:rPr>
                <w:rFonts w:cs="Arial"/>
              </w:rPr>
            </w:pPr>
            <w:r>
              <w:rPr>
                <w:rFonts w:cs="Arial"/>
              </w:rPr>
              <w:t>(14,701)</w:t>
            </w:r>
          </w:p>
        </w:tc>
        <w:tc>
          <w:tcPr>
            <w:tcW w:w="993" w:type="dxa"/>
            <w:shd w:val="clear" w:color="auto" w:fill="D4E2E0" w:themeFill="accent5"/>
          </w:tcPr>
          <w:p w14:paraId="447A38ED" w14:textId="1BF7D42D" w:rsidR="0026102C" w:rsidRPr="0026102C" w:rsidRDefault="0026102C" w:rsidP="0026102C">
            <w:pPr>
              <w:spacing w:after="0"/>
              <w:jc w:val="right"/>
              <w:rPr>
                <w:rFonts w:cs="Arial"/>
              </w:rPr>
            </w:pPr>
            <w:r>
              <w:rPr>
                <w:rFonts w:cs="Arial"/>
              </w:rPr>
              <w:t>(14,831)</w:t>
            </w:r>
          </w:p>
        </w:tc>
      </w:tr>
      <w:tr w:rsidR="0026102C" w:rsidRPr="0026102C" w14:paraId="060E307F" w14:textId="77777777" w:rsidTr="006B302A">
        <w:trPr>
          <w:trHeight w:hRule="exact" w:val="422"/>
        </w:trPr>
        <w:tc>
          <w:tcPr>
            <w:tcW w:w="4860" w:type="dxa"/>
          </w:tcPr>
          <w:p w14:paraId="72FAF18B" w14:textId="77777777" w:rsidR="0026102C" w:rsidRPr="0026102C" w:rsidRDefault="0026102C" w:rsidP="0026102C">
            <w:pPr>
              <w:spacing w:after="0"/>
              <w:rPr>
                <w:rFonts w:cs="Arial"/>
              </w:rPr>
            </w:pPr>
            <w:r w:rsidRPr="0026102C">
              <w:rPr>
                <w:rFonts w:cs="Arial"/>
              </w:rPr>
              <w:t>Supplies and services</w:t>
            </w:r>
          </w:p>
        </w:tc>
        <w:tc>
          <w:tcPr>
            <w:tcW w:w="901" w:type="dxa"/>
          </w:tcPr>
          <w:p w14:paraId="201159C2" w14:textId="77777777" w:rsidR="0026102C" w:rsidRPr="0026102C" w:rsidRDefault="0026102C" w:rsidP="0026102C">
            <w:pPr>
              <w:spacing w:after="0"/>
              <w:jc w:val="right"/>
              <w:rPr>
                <w:rFonts w:cs="Arial"/>
              </w:rPr>
            </w:pPr>
          </w:p>
        </w:tc>
        <w:tc>
          <w:tcPr>
            <w:tcW w:w="1048" w:type="dxa"/>
            <w:shd w:val="clear" w:color="auto" w:fill="F5EDC1" w:themeFill="accent4"/>
          </w:tcPr>
          <w:p w14:paraId="54AD2F7B" w14:textId="0D9370A8" w:rsidR="0026102C" w:rsidRPr="0026102C" w:rsidRDefault="0026102C" w:rsidP="0026102C">
            <w:pPr>
              <w:spacing w:after="0"/>
              <w:jc w:val="right"/>
              <w:rPr>
                <w:rFonts w:cs="Arial"/>
              </w:rPr>
            </w:pPr>
            <w:r>
              <w:rPr>
                <w:rFonts w:cs="Arial"/>
              </w:rPr>
              <w:t>(2,827)</w:t>
            </w:r>
          </w:p>
        </w:tc>
        <w:tc>
          <w:tcPr>
            <w:tcW w:w="993" w:type="dxa"/>
            <w:shd w:val="clear" w:color="auto" w:fill="D4E2E0" w:themeFill="accent5"/>
          </w:tcPr>
          <w:p w14:paraId="130370E1" w14:textId="6C559A3F" w:rsidR="0026102C" w:rsidRPr="0026102C" w:rsidRDefault="0026102C" w:rsidP="0026102C">
            <w:pPr>
              <w:spacing w:after="0"/>
              <w:jc w:val="right"/>
              <w:rPr>
                <w:rFonts w:cs="Arial"/>
              </w:rPr>
            </w:pPr>
            <w:r>
              <w:rPr>
                <w:rFonts w:cs="Arial"/>
              </w:rPr>
              <w:t>(2,991)</w:t>
            </w:r>
          </w:p>
        </w:tc>
      </w:tr>
      <w:tr w:rsidR="0026102C" w:rsidRPr="0026102C" w14:paraId="1C3BC45B" w14:textId="77777777" w:rsidTr="006B302A">
        <w:trPr>
          <w:trHeight w:hRule="exact" w:val="415"/>
        </w:trPr>
        <w:tc>
          <w:tcPr>
            <w:tcW w:w="4860" w:type="dxa"/>
          </w:tcPr>
          <w:p w14:paraId="696739EC" w14:textId="77777777" w:rsidR="0026102C" w:rsidRPr="0026102C" w:rsidRDefault="0026102C" w:rsidP="0026102C">
            <w:pPr>
              <w:spacing w:after="0"/>
              <w:rPr>
                <w:rFonts w:cs="Arial"/>
              </w:rPr>
            </w:pPr>
            <w:r w:rsidRPr="0026102C">
              <w:rPr>
                <w:rFonts w:cs="Arial"/>
              </w:rPr>
              <w:t>Accommodation</w:t>
            </w:r>
          </w:p>
        </w:tc>
        <w:tc>
          <w:tcPr>
            <w:tcW w:w="901" w:type="dxa"/>
          </w:tcPr>
          <w:p w14:paraId="3825FF02" w14:textId="77777777" w:rsidR="0026102C" w:rsidRPr="0026102C" w:rsidRDefault="0026102C" w:rsidP="0026102C">
            <w:pPr>
              <w:spacing w:after="0"/>
              <w:jc w:val="right"/>
              <w:rPr>
                <w:rFonts w:cs="Arial"/>
              </w:rPr>
            </w:pPr>
          </w:p>
        </w:tc>
        <w:tc>
          <w:tcPr>
            <w:tcW w:w="1048" w:type="dxa"/>
            <w:shd w:val="clear" w:color="auto" w:fill="F5EDC1" w:themeFill="accent4"/>
          </w:tcPr>
          <w:p w14:paraId="24B4B543" w14:textId="2B0B4C16" w:rsidR="0026102C" w:rsidRPr="0026102C" w:rsidRDefault="0026102C" w:rsidP="0026102C">
            <w:pPr>
              <w:spacing w:after="0"/>
              <w:jc w:val="right"/>
              <w:rPr>
                <w:rFonts w:cs="Arial"/>
              </w:rPr>
            </w:pPr>
            <w:r>
              <w:rPr>
                <w:rFonts w:cs="Arial"/>
              </w:rPr>
              <w:t>(677)</w:t>
            </w:r>
          </w:p>
        </w:tc>
        <w:tc>
          <w:tcPr>
            <w:tcW w:w="993" w:type="dxa"/>
            <w:shd w:val="clear" w:color="auto" w:fill="D4E2E0" w:themeFill="accent5"/>
          </w:tcPr>
          <w:p w14:paraId="439A9465" w14:textId="6B72C2BA" w:rsidR="0026102C" w:rsidRPr="0026102C" w:rsidRDefault="0026102C" w:rsidP="0026102C">
            <w:pPr>
              <w:spacing w:after="0"/>
              <w:jc w:val="right"/>
              <w:rPr>
                <w:rFonts w:cs="Arial"/>
              </w:rPr>
            </w:pPr>
            <w:r>
              <w:rPr>
                <w:rFonts w:cs="Arial"/>
              </w:rPr>
              <w:t>(618)</w:t>
            </w:r>
          </w:p>
        </w:tc>
      </w:tr>
      <w:tr w:rsidR="0026102C" w:rsidRPr="0026102C" w14:paraId="32E06724" w14:textId="77777777" w:rsidTr="006B302A">
        <w:trPr>
          <w:trHeight w:hRule="exact" w:val="421"/>
        </w:trPr>
        <w:tc>
          <w:tcPr>
            <w:tcW w:w="4860" w:type="dxa"/>
          </w:tcPr>
          <w:p w14:paraId="3BE88C7C" w14:textId="77777777" w:rsidR="0026102C" w:rsidRPr="0026102C" w:rsidRDefault="0026102C" w:rsidP="0026102C">
            <w:pPr>
              <w:spacing w:after="0"/>
              <w:rPr>
                <w:rFonts w:cs="Arial"/>
              </w:rPr>
            </w:pPr>
            <w:r w:rsidRPr="0026102C">
              <w:rPr>
                <w:rFonts w:cs="Arial"/>
              </w:rPr>
              <w:t>GST payments on purchases</w:t>
            </w:r>
          </w:p>
        </w:tc>
        <w:tc>
          <w:tcPr>
            <w:tcW w:w="901" w:type="dxa"/>
          </w:tcPr>
          <w:p w14:paraId="63623814" w14:textId="77777777" w:rsidR="0026102C" w:rsidRPr="0026102C" w:rsidRDefault="0026102C" w:rsidP="0026102C">
            <w:pPr>
              <w:spacing w:after="0"/>
              <w:jc w:val="right"/>
              <w:rPr>
                <w:rFonts w:cs="Arial"/>
              </w:rPr>
            </w:pPr>
          </w:p>
        </w:tc>
        <w:tc>
          <w:tcPr>
            <w:tcW w:w="1048" w:type="dxa"/>
            <w:shd w:val="clear" w:color="auto" w:fill="F5EDC1" w:themeFill="accent4"/>
          </w:tcPr>
          <w:p w14:paraId="4A0E3899" w14:textId="2CA55880" w:rsidR="0026102C" w:rsidRPr="0026102C" w:rsidRDefault="0026102C" w:rsidP="0026102C">
            <w:pPr>
              <w:spacing w:after="0"/>
              <w:jc w:val="right"/>
              <w:rPr>
                <w:rFonts w:cs="Arial"/>
              </w:rPr>
            </w:pPr>
            <w:r>
              <w:rPr>
                <w:rFonts w:cs="Arial"/>
              </w:rPr>
              <w:t>(471)</w:t>
            </w:r>
          </w:p>
        </w:tc>
        <w:tc>
          <w:tcPr>
            <w:tcW w:w="993" w:type="dxa"/>
            <w:shd w:val="clear" w:color="auto" w:fill="D4E2E0" w:themeFill="accent5"/>
          </w:tcPr>
          <w:p w14:paraId="1E9E1D8D" w14:textId="5E40F4CC" w:rsidR="0026102C" w:rsidRPr="0026102C" w:rsidRDefault="0026102C" w:rsidP="0026102C">
            <w:pPr>
              <w:spacing w:after="0"/>
              <w:jc w:val="right"/>
              <w:rPr>
                <w:rFonts w:cs="Arial"/>
              </w:rPr>
            </w:pPr>
            <w:r>
              <w:rPr>
                <w:rFonts w:cs="Arial"/>
              </w:rPr>
              <w:t>(501)</w:t>
            </w:r>
          </w:p>
        </w:tc>
      </w:tr>
      <w:tr w:rsidR="0026102C" w:rsidRPr="0026102C" w14:paraId="00E115EF" w14:textId="77777777" w:rsidTr="006B302A">
        <w:trPr>
          <w:trHeight w:hRule="exact" w:val="413"/>
        </w:trPr>
        <w:tc>
          <w:tcPr>
            <w:tcW w:w="4860" w:type="dxa"/>
          </w:tcPr>
          <w:p w14:paraId="65E19D67" w14:textId="77777777" w:rsidR="0026102C" w:rsidRPr="0026102C" w:rsidRDefault="0026102C" w:rsidP="0026102C">
            <w:pPr>
              <w:spacing w:after="0"/>
              <w:rPr>
                <w:rFonts w:cs="Arial"/>
              </w:rPr>
            </w:pPr>
            <w:r w:rsidRPr="0026102C">
              <w:rPr>
                <w:rFonts w:cs="Arial"/>
              </w:rPr>
              <w:t>Other payments</w:t>
            </w:r>
          </w:p>
        </w:tc>
        <w:tc>
          <w:tcPr>
            <w:tcW w:w="901" w:type="dxa"/>
          </w:tcPr>
          <w:p w14:paraId="1B6063A5" w14:textId="77777777" w:rsidR="0026102C" w:rsidRPr="0026102C" w:rsidRDefault="0026102C" w:rsidP="0026102C">
            <w:pPr>
              <w:spacing w:after="0"/>
              <w:jc w:val="right"/>
              <w:rPr>
                <w:rFonts w:cs="Arial"/>
              </w:rPr>
            </w:pPr>
          </w:p>
        </w:tc>
        <w:tc>
          <w:tcPr>
            <w:tcW w:w="1048" w:type="dxa"/>
            <w:shd w:val="clear" w:color="auto" w:fill="F5EDC1" w:themeFill="accent4"/>
          </w:tcPr>
          <w:p w14:paraId="5BDB61A5" w14:textId="7CFC2F31" w:rsidR="0026102C" w:rsidRPr="0026102C" w:rsidRDefault="0026102C" w:rsidP="0026102C">
            <w:pPr>
              <w:spacing w:after="0"/>
              <w:jc w:val="right"/>
              <w:rPr>
                <w:rFonts w:cs="Arial"/>
              </w:rPr>
            </w:pPr>
            <w:r>
              <w:rPr>
                <w:rFonts w:cs="Arial"/>
              </w:rPr>
              <w:t>(891)</w:t>
            </w:r>
          </w:p>
        </w:tc>
        <w:tc>
          <w:tcPr>
            <w:tcW w:w="993" w:type="dxa"/>
            <w:shd w:val="clear" w:color="auto" w:fill="D4E2E0" w:themeFill="accent5"/>
          </w:tcPr>
          <w:p w14:paraId="0A3DD355" w14:textId="71AB5905" w:rsidR="0026102C" w:rsidRPr="0026102C" w:rsidRDefault="0026102C" w:rsidP="0026102C">
            <w:pPr>
              <w:spacing w:after="0"/>
              <w:jc w:val="right"/>
              <w:rPr>
                <w:rFonts w:cs="Arial"/>
              </w:rPr>
            </w:pPr>
            <w:r>
              <w:rPr>
                <w:rFonts w:cs="Arial"/>
              </w:rPr>
              <w:t>(620)</w:t>
            </w:r>
          </w:p>
        </w:tc>
      </w:tr>
      <w:tr w:rsidR="0026102C" w:rsidRPr="0026102C" w14:paraId="7E3DBA5F" w14:textId="77777777" w:rsidTr="006B302A">
        <w:trPr>
          <w:trHeight w:hRule="exact" w:val="411"/>
        </w:trPr>
        <w:tc>
          <w:tcPr>
            <w:tcW w:w="4860" w:type="dxa"/>
          </w:tcPr>
          <w:p w14:paraId="56133230" w14:textId="77777777" w:rsidR="0026102C" w:rsidRPr="00DA1E18" w:rsidRDefault="0026102C" w:rsidP="0026102C">
            <w:pPr>
              <w:spacing w:after="0"/>
              <w:rPr>
                <w:rStyle w:val="Strong"/>
              </w:rPr>
            </w:pPr>
            <w:r w:rsidRPr="00DA1E18">
              <w:rPr>
                <w:rStyle w:val="Strong"/>
              </w:rPr>
              <w:t>Net cash provided by operating activities</w:t>
            </w:r>
          </w:p>
        </w:tc>
        <w:tc>
          <w:tcPr>
            <w:tcW w:w="901" w:type="dxa"/>
          </w:tcPr>
          <w:p w14:paraId="39793667" w14:textId="77777777" w:rsidR="0026102C" w:rsidRPr="0026102C" w:rsidRDefault="0026102C" w:rsidP="0026102C">
            <w:pPr>
              <w:spacing w:after="0"/>
              <w:jc w:val="right"/>
              <w:rPr>
                <w:rFonts w:cs="Arial"/>
              </w:rPr>
            </w:pPr>
            <w:r w:rsidRPr="0026102C">
              <w:rPr>
                <w:rFonts w:cs="Arial"/>
              </w:rPr>
              <w:t>29</w:t>
            </w:r>
          </w:p>
        </w:tc>
        <w:tc>
          <w:tcPr>
            <w:tcW w:w="1048" w:type="dxa"/>
            <w:tcBorders>
              <w:bottom w:val="single" w:sz="4" w:space="0" w:color="auto"/>
            </w:tcBorders>
            <w:shd w:val="clear" w:color="auto" w:fill="F5EDC1" w:themeFill="accent4"/>
          </w:tcPr>
          <w:p w14:paraId="7A28DFFC" w14:textId="5582F626" w:rsidR="0026102C" w:rsidRPr="00DA1E18" w:rsidRDefault="0026102C" w:rsidP="0026102C">
            <w:pPr>
              <w:spacing w:after="0"/>
              <w:jc w:val="right"/>
              <w:rPr>
                <w:rStyle w:val="Strong"/>
              </w:rPr>
            </w:pPr>
            <w:r w:rsidRPr="00DA1E18">
              <w:rPr>
                <w:rStyle w:val="Strong"/>
              </w:rPr>
              <w:t>15,025</w:t>
            </w:r>
          </w:p>
        </w:tc>
        <w:tc>
          <w:tcPr>
            <w:tcW w:w="993" w:type="dxa"/>
            <w:tcBorders>
              <w:bottom w:val="single" w:sz="4" w:space="0" w:color="auto"/>
            </w:tcBorders>
            <w:shd w:val="clear" w:color="auto" w:fill="D4E2E0" w:themeFill="accent5"/>
          </w:tcPr>
          <w:p w14:paraId="0D25CD32" w14:textId="1C29E7D9" w:rsidR="0026102C" w:rsidRPr="00DA1E18" w:rsidRDefault="0026102C" w:rsidP="0026102C">
            <w:pPr>
              <w:spacing w:after="0"/>
              <w:jc w:val="right"/>
              <w:rPr>
                <w:rStyle w:val="Strong"/>
              </w:rPr>
            </w:pPr>
            <w:r w:rsidRPr="00DA1E18">
              <w:rPr>
                <w:rStyle w:val="Strong"/>
              </w:rPr>
              <w:t>14,636</w:t>
            </w:r>
          </w:p>
        </w:tc>
      </w:tr>
      <w:tr w:rsidR="0026102C" w:rsidRPr="0026102C" w14:paraId="6583A2B5" w14:textId="77777777" w:rsidTr="00ED6404">
        <w:trPr>
          <w:trHeight w:hRule="exact" w:val="424"/>
        </w:trPr>
        <w:tc>
          <w:tcPr>
            <w:tcW w:w="4860" w:type="dxa"/>
            <w:shd w:val="clear" w:color="auto" w:fill="FFFFFF" w:themeFill="background1"/>
          </w:tcPr>
          <w:p w14:paraId="755978AD" w14:textId="77777777" w:rsidR="0026102C" w:rsidRPr="00DA1E18" w:rsidRDefault="0026102C" w:rsidP="0026102C">
            <w:pPr>
              <w:spacing w:after="0"/>
              <w:rPr>
                <w:rStyle w:val="Strong"/>
              </w:rPr>
            </w:pPr>
            <w:r w:rsidRPr="00DA1E18">
              <w:rPr>
                <w:rStyle w:val="Strong"/>
              </w:rPr>
              <w:t>Cash Flows From Investing Activities</w:t>
            </w:r>
          </w:p>
          <w:p w14:paraId="04777B63" w14:textId="297D8B8A" w:rsidR="0026102C" w:rsidRPr="00DA1E18" w:rsidRDefault="0026102C" w:rsidP="0026102C">
            <w:pPr>
              <w:spacing w:after="0"/>
              <w:rPr>
                <w:rStyle w:val="Strong"/>
              </w:rPr>
            </w:pPr>
          </w:p>
        </w:tc>
        <w:tc>
          <w:tcPr>
            <w:tcW w:w="901" w:type="dxa"/>
            <w:shd w:val="clear" w:color="auto" w:fill="FFFFFF" w:themeFill="background1"/>
          </w:tcPr>
          <w:p w14:paraId="76C54613" w14:textId="77777777" w:rsidR="0026102C" w:rsidRPr="0026102C" w:rsidRDefault="0026102C" w:rsidP="0026102C">
            <w:pPr>
              <w:spacing w:after="0"/>
              <w:jc w:val="right"/>
              <w:rPr>
                <w:rFonts w:cs="Arial"/>
              </w:rPr>
            </w:pPr>
          </w:p>
        </w:tc>
        <w:tc>
          <w:tcPr>
            <w:tcW w:w="1048" w:type="dxa"/>
            <w:tcBorders>
              <w:top w:val="single" w:sz="4" w:space="0" w:color="auto"/>
            </w:tcBorders>
            <w:shd w:val="clear" w:color="auto" w:fill="FFFFFF" w:themeFill="background1"/>
          </w:tcPr>
          <w:p w14:paraId="091E4130" w14:textId="77777777" w:rsidR="0026102C" w:rsidRPr="0026102C" w:rsidRDefault="0026102C" w:rsidP="0026102C">
            <w:pPr>
              <w:spacing w:after="0"/>
              <w:jc w:val="right"/>
              <w:rPr>
                <w:rFonts w:cs="Arial"/>
              </w:rPr>
            </w:pPr>
          </w:p>
        </w:tc>
        <w:tc>
          <w:tcPr>
            <w:tcW w:w="993" w:type="dxa"/>
            <w:tcBorders>
              <w:top w:val="single" w:sz="4" w:space="0" w:color="auto"/>
            </w:tcBorders>
            <w:shd w:val="clear" w:color="auto" w:fill="FFFFFF" w:themeFill="background1"/>
          </w:tcPr>
          <w:p w14:paraId="68B792B2" w14:textId="77777777" w:rsidR="0026102C" w:rsidRPr="0026102C" w:rsidRDefault="0026102C" w:rsidP="0026102C">
            <w:pPr>
              <w:spacing w:after="0"/>
              <w:jc w:val="right"/>
              <w:rPr>
                <w:rFonts w:cs="Arial"/>
              </w:rPr>
            </w:pPr>
          </w:p>
        </w:tc>
      </w:tr>
      <w:tr w:rsidR="0026102C" w:rsidRPr="0026102C" w14:paraId="778B36D4" w14:textId="77777777" w:rsidTr="00ED6404">
        <w:trPr>
          <w:trHeight w:hRule="exact" w:val="443"/>
        </w:trPr>
        <w:tc>
          <w:tcPr>
            <w:tcW w:w="4860" w:type="dxa"/>
            <w:shd w:val="clear" w:color="auto" w:fill="FFFFFF" w:themeFill="background1"/>
          </w:tcPr>
          <w:p w14:paraId="214E2902" w14:textId="505F02C6" w:rsidR="0026102C" w:rsidRPr="00DA1E18" w:rsidRDefault="0026102C" w:rsidP="0026102C">
            <w:pPr>
              <w:spacing w:after="0"/>
              <w:rPr>
                <w:rStyle w:val="Emphasis"/>
              </w:rPr>
            </w:pPr>
            <w:r w:rsidRPr="00DA1E18">
              <w:rPr>
                <w:rStyle w:val="Emphasis"/>
              </w:rPr>
              <w:t>Receipts</w:t>
            </w:r>
          </w:p>
        </w:tc>
        <w:tc>
          <w:tcPr>
            <w:tcW w:w="901" w:type="dxa"/>
            <w:shd w:val="clear" w:color="auto" w:fill="FFFFFF" w:themeFill="background1"/>
          </w:tcPr>
          <w:p w14:paraId="4E87E5A7" w14:textId="77777777" w:rsidR="0026102C" w:rsidRPr="0026102C" w:rsidRDefault="0026102C" w:rsidP="0026102C">
            <w:pPr>
              <w:spacing w:after="0"/>
              <w:jc w:val="right"/>
              <w:rPr>
                <w:rFonts w:cs="Arial"/>
              </w:rPr>
            </w:pPr>
          </w:p>
        </w:tc>
        <w:tc>
          <w:tcPr>
            <w:tcW w:w="1048" w:type="dxa"/>
            <w:shd w:val="clear" w:color="auto" w:fill="FFFFFF" w:themeFill="background1"/>
          </w:tcPr>
          <w:p w14:paraId="4E820CC9" w14:textId="77777777" w:rsidR="0026102C" w:rsidRPr="0026102C" w:rsidRDefault="0026102C" w:rsidP="0026102C">
            <w:pPr>
              <w:spacing w:after="0"/>
              <w:jc w:val="right"/>
              <w:rPr>
                <w:rFonts w:cs="Arial"/>
              </w:rPr>
            </w:pPr>
          </w:p>
        </w:tc>
        <w:tc>
          <w:tcPr>
            <w:tcW w:w="993" w:type="dxa"/>
            <w:shd w:val="clear" w:color="auto" w:fill="FFFFFF" w:themeFill="background1"/>
          </w:tcPr>
          <w:p w14:paraId="6E31620B" w14:textId="77777777" w:rsidR="0026102C" w:rsidRPr="0026102C" w:rsidRDefault="0026102C" w:rsidP="0026102C">
            <w:pPr>
              <w:spacing w:after="0"/>
              <w:jc w:val="right"/>
              <w:rPr>
                <w:rFonts w:cs="Arial"/>
              </w:rPr>
            </w:pPr>
          </w:p>
        </w:tc>
      </w:tr>
      <w:tr w:rsidR="0026102C" w:rsidRPr="0026102C" w14:paraId="2806FAB3" w14:textId="77777777" w:rsidTr="006B302A">
        <w:trPr>
          <w:trHeight w:hRule="exact" w:val="576"/>
        </w:trPr>
        <w:tc>
          <w:tcPr>
            <w:tcW w:w="4860" w:type="dxa"/>
          </w:tcPr>
          <w:p w14:paraId="0605F71D" w14:textId="77777777" w:rsidR="0026102C" w:rsidRPr="0026102C" w:rsidRDefault="0026102C" w:rsidP="0026102C">
            <w:pPr>
              <w:spacing w:after="0" w:line="240" w:lineRule="auto"/>
              <w:rPr>
                <w:rFonts w:cs="Arial"/>
              </w:rPr>
            </w:pPr>
            <w:r w:rsidRPr="0026102C">
              <w:rPr>
                <w:rFonts w:cs="Arial"/>
              </w:rPr>
              <w:t>Proceeds from sale of non-current physical assets</w:t>
            </w:r>
          </w:p>
        </w:tc>
        <w:tc>
          <w:tcPr>
            <w:tcW w:w="901" w:type="dxa"/>
          </w:tcPr>
          <w:p w14:paraId="2DE5C297" w14:textId="77777777" w:rsidR="0026102C" w:rsidRPr="0026102C" w:rsidRDefault="0026102C" w:rsidP="0026102C">
            <w:pPr>
              <w:spacing w:after="0"/>
              <w:jc w:val="right"/>
              <w:rPr>
                <w:rFonts w:cs="Arial"/>
              </w:rPr>
            </w:pPr>
            <w:r w:rsidRPr="0026102C">
              <w:rPr>
                <w:rFonts w:cs="Arial"/>
              </w:rPr>
              <w:t>11</w:t>
            </w:r>
          </w:p>
        </w:tc>
        <w:tc>
          <w:tcPr>
            <w:tcW w:w="1048" w:type="dxa"/>
            <w:shd w:val="clear" w:color="auto" w:fill="F5EDC1" w:themeFill="accent4"/>
          </w:tcPr>
          <w:p w14:paraId="6266F764" w14:textId="77777777" w:rsidR="0026102C" w:rsidRPr="0026102C" w:rsidRDefault="0026102C" w:rsidP="0026102C">
            <w:pPr>
              <w:spacing w:after="0"/>
              <w:jc w:val="right"/>
              <w:rPr>
                <w:rFonts w:cs="Arial"/>
              </w:rPr>
            </w:pPr>
            <w:r w:rsidRPr="0026102C">
              <w:rPr>
                <w:rFonts w:cs="Arial"/>
              </w:rPr>
              <w:t>63</w:t>
            </w:r>
          </w:p>
        </w:tc>
        <w:tc>
          <w:tcPr>
            <w:tcW w:w="993" w:type="dxa"/>
            <w:shd w:val="clear" w:color="auto" w:fill="D4E2E0" w:themeFill="accent5"/>
          </w:tcPr>
          <w:p w14:paraId="232D9DAF" w14:textId="77777777" w:rsidR="0026102C" w:rsidRPr="0026102C" w:rsidRDefault="0026102C" w:rsidP="0026102C">
            <w:pPr>
              <w:spacing w:after="0"/>
              <w:jc w:val="right"/>
              <w:rPr>
                <w:rFonts w:cs="Arial"/>
              </w:rPr>
            </w:pPr>
            <w:r w:rsidRPr="0026102C">
              <w:rPr>
                <w:rFonts w:cs="Arial"/>
              </w:rPr>
              <w:t>53</w:t>
            </w:r>
          </w:p>
        </w:tc>
      </w:tr>
      <w:tr w:rsidR="0026102C" w:rsidRPr="0026102C" w14:paraId="1B197F3E" w14:textId="77777777" w:rsidTr="00ED6404">
        <w:trPr>
          <w:trHeight w:hRule="exact" w:val="422"/>
        </w:trPr>
        <w:tc>
          <w:tcPr>
            <w:tcW w:w="4860" w:type="dxa"/>
            <w:shd w:val="clear" w:color="auto" w:fill="FFFFFF" w:themeFill="background1"/>
          </w:tcPr>
          <w:p w14:paraId="2ECC5A61" w14:textId="77777777" w:rsidR="0026102C" w:rsidRPr="00DA1E18" w:rsidRDefault="0026102C" w:rsidP="0026102C">
            <w:pPr>
              <w:spacing w:after="0"/>
              <w:rPr>
                <w:rStyle w:val="Emphasis"/>
              </w:rPr>
            </w:pPr>
            <w:r w:rsidRPr="00DA1E18">
              <w:rPr>
                <w:rStyle w:val="Emphasis"/>
              </w:rPr>
              <w:t>Payments</w:t>
            </w:r>
          </w:p>
        </w:tc>
        <w:tc>
          <w:tcPr>
            <w:tcW w:w="901" w:type="dxa"/>
            <w:shd w:val="clear" w:color="auto" w:fill="FFFFFF" w:themeFill="background1"/>
          </w:tcPr>
          <w:p w14:paraId="70B3FB4D" w14:textId="77777777" w:rsidR="0026102C" w:rsidRPr="0026102C" w:rsidRDefault="0026102C" w:rsidP="0026102C">
            <w:pPr>
              <w:spacing w:after="0"/>
              <w:jc w:val="right"/>
              <w:rPr>
                <w:rFonts w:cs="Arial"/>
              </w:rPr>
            </w:pPr>
          </w:p>
        </w:tc>
        <w:tc>
          <w:tcPr>
            <w:tcW w:w="1048" w:type="dxa"/>
            <w:shd w:val="clear" w:color="auto" w:fill="FFFFFF" w:themeFill="background1"/>
          </w:tcPr>
          <w:p w14:paraId="43BC9E6D" w14:textId="77777777" w:rsidR="0026102C" w:rsidRPr="0026102C" w:rsidRDefault="0026102C" w:rsidP="0026102C">
            <w:pPr>
              <w:spacing w:after="0"/>
              <w:jc w:val="right"/>
              <w:rPr>
                <w:rFonts w:cs="Arial"/>
              </w:rPr>
            </w:pPr>
          </w:p>
        </w:tc>
        <w:tc>
          <w:tcPr>
            <w:tcW w:w="993" w:type="dxa"/>
            <w:shd w:val="clear" w:color="auto" w:fill="FFFFFF" w:themeFill="background1"/>
          </w:tcPr>
          <w:p w14:paraId="36169331" w14:textId="77777777" w:rsidR="0026102C" w:rsidRPr="0026102C" w:rsidRDefault="0026102C" w:rsidP="0026102C">
            <w:pPr>
              <w:spacing w:after="0"/>
              <w:jc w:val="right"/>
              <w:rPr>
                <w:rFonts w:cs="Arial"/>
              </w:rPr>
            </w:pPr>
          </w:p>
        </w:tc>
      </w:tr>
      <w:tr w:rsidR="0026102C" w:rsidRPr="0026102C" w14:paraId="44341B8D" w14:textId="77777777" w:rsidTr="006B302A">
        <w:trPr>
          <w:trHeight w:hRule="exact" w:val="416"/>
        </w:trPr>
        <w:tc>
          <w:tcPr>
            <w:tcW w:w="4860" w:type="dxa"/>
          </w:tcPr>
          <w:p w14:paraId="3C332918" w14:textId="77777777" w:rsidR="0026102C" w:rsidRPr="0026102C" w:rsidRDefault="0026102C" w:rsidP="0026102C">
            <w:pPr>
              <w:spacing w:after="0"/>
              <w:rPr>
                <w:rFonts w:cs="Arial"/>
              </w:rPr>
            </w:pPr>
            <w:r w:rsidRPr="0026102C">
              <w:rPr>
                <w:rFonts w:cs="Arial"/>
              </w:rPr>
              <w:t>Purchase of non-current physical assets</w:t>
            </w:r>
          </w:p>
        </w:tc>
        <w:tc>
          <w:tcPr>
            <w:tcW w:w="901" w:type="dxa"/>
          </w:tcPr>
          <w:p w14:paraId="11BC40B5" w14:textId="77777777" w:rsidR="0026102C" w:rsidRPr="0026102C" w:rsidRDefault="0026102C" w:rsidP="0026102C">
            <w:pPr>
              <w:spacing w:after="0"/>
              <w:jc w:val="right"/>
              <w:rPr>
                <w:rFonts w:cs="Arial"/>
              </w:rPr>
            </w:pPr>
          </w:p>
        </w:tc>
        <w:tc>
          <w:tcPr>
            <w:tcW w:w="1048" w:type="dxa"/>
            <w:shd w:val="clear" w:color="auto" w:fill="F5EDC1" w:themeFill="accent4"/>
          </w:tcPr>
          <w:p w14:paraId="7E0B2210" w14:textId="67FA575E" w:rsidR="0026102C" w:rsidRPr="0026102C" w:rsidRDefault="0026102C" w:rsidP="0026102C">
            <w:pPr>
              <w:spacing w:after="0"/>
              <w:jc w:val="right"/>
              <w:rPr>
                <w:rFonts w:cs="Arial"/>
              </w:rPr>
            </w:pPr>
            <w:r>
              <w:rPr>
                <w:rFonts w:cs="Arial"/>
              </w:rPr>
              <w:t>(714)</w:t>
            </w:r>
          </w:p>
        </w:tc>
        <w:tc>
          <w:tcPr>
            <w:tcW w:w="993" w:type="dxa"/>
            <w:shd w:val="clear" w:color="auto" w:fill="D4E2E0" w:themeFill="accent5"/>
          </w:tcPr>
          <w:p w14:paraId="0C26B681" w14:textId="09F6B181" w:rsidR="0026102C" w:rsidRPr="0026102C" w:rsidRDefault="0026102C" w:rsidP="0026102C">
            <w:pPr>
              <w:spacing w:after="0"/>
              <w:jc w:val="right"/>
              <w:rPr>
                <w:rFonts w:cs="Arial"/>
              </w:rPr>
            </w:pPr>
            <w:r>
              <w:rPr>
                <w:rFonts w:cs="Arial"/>
              </w:rPr>
              <w:t>(1,272)</w:t>
            </w:r>
          </w:p>
        </w:tc>
      </w:tr>
      <w:tr w:rsidR="0026102C" w:rsidRPr="0026102C" w14:paraId="3A67B505" w14:textId="77777777" w:rsidTr="006B302A">
        <w:trPr>
          <w:trHeight w:hRule="exact" w:val="422"/>
        </w:trPr>
        <w:tc>
          <w:tcPr>
            <w:tcW w:w="4860" w:type="dxa"/>
          </w:tcPr>
          <w:p w14:paraId="1E11BBE7" w14:textId="77777777" w:rsidR="0026102C" w:rsidRPr="0026102C" w:rsidRDefault="0026102C" w:rsidP="0026102C">
            <w:pPr>
              <w:spacing w:after="0"/>
              <w:rPr>
                <w:rFonts w:cs="Arial"/>
              </w:rPr>
            </w:pPr>
            <w:r w:rsidRPr="0026102C">
              <w:rPr>
                <w:rFonts w:cs="Arial"/>
              </w:rPr>
              <w:t>Purchase of investments</w:t>
            </w:r>
          </w:p>
        </w:tc>
        <w:tc>
          <w:tcPr>
            <w:tcW w:w="901" w:type="dxa"/>
          </w:tcPr>
          <w:p w14:paraId="296251EE" w14:textId="77777777" w:rsidR="0026102C" w:rsidRPr="0026102C" w:rsidRDefault="0026102C" w:rsidP="0026102C">
            <w:pPr>
              <w:spacing w:after="0"/>
              <w:jc w:val="right"/>
              <w:rPr>
                <w:rFonts w:cs="Arial"/>
              </w:rPr>
            </w:pPr>
          </w:p>
        </w:tc>
        <w:tc>
          <w:tcPr>
            <w:tcW w:w="1048" w:type="dxa"/>
            <w:shd w:val="clear" w:color="auto" w:fill="F5EDC1" w:themeFill="accent4"/>
          </w:tcPr>
          <w:p w14:paraId="3BEDD61A" w14:textId="3A281252" w:rsidR="0026102C" w:rsidRPr="0026102C" w:rsidRDefault="0026102C" w:rsidP="0026102C">
            <w:pPr>
              <w:spacing w:after="0"/>
              <w:jc w:val="right"/>
              <w:rPr>
                <w:rFonts w:cs="Arial"/>
              </w:rPr>
            </w:pPr>
            <w:r>
              <w:rPr>
                <w:rFonts w:cs="Arial"/>
              </w:rPr>
              <w:t>(3,516)</w:t>
            </w:r>
          </w:p>
        </w:tc>
        <w:tc>
          <w:tcPr>
            <w:tcW w:w="993" w:type="dxa"/>
            <w:shd w:val="clear" w:color="auto" w:fill="D4E2E0" w:themeFill="accent5"/>
          </w:tcPr>
          <w:p w14:paraId="2E3B7797" w14:textId="2E53A2C4" w:rsidR="0026102C" w:rsidRPr="0026102C" w:rsidRDefault="0026102C" w:rsidP="0026102C">
            <w:pPr>
              <w:spacing w:after="0"/>
              <w:jc w:val="right"/>
              <w:rPr>
                <w:rFonts w:cs="Arial"/>
              </w:rPr>
            </w:pPr>
            <w:r>
              <w:rPr>
                <w:rFonts w:cs="Arial"/>
              </w:rPr>
              <w:t>(4,571)</w:t>
            </w:r>
          </w:p>
        </w:tc>
      </w:tr>
      <w:tr w:rsidR="0026102C" w:rsidRPr="0026102C" w14:paraId="3E346895" w14:textId="77777777" w:rsidTr="00ED6404">
        <w:trPr>
          <w:trHeight w:hRule="exact" w:val="429"/>
        </w:trPr>
        <w:tc>
          <w:tcPr>
            <w:tcW w:w="4860" w:type="dxa"/>
            <w:shd w:val="clear" w:color="auto" w:fill="FFFFFF" w:themeFill="background1"/>
          </w:tcPr>
          <w:p w14:paraId="37986080" w14:textId="77777777" w:rsidR="0026102C" w:rsidRPr="00DA1E18" w:rsidRDefault="0026102C" w:rsidP="0026102C">
            <w:pPr>
              <w:spacing w:after="0"/>
              <w:rPr>
                <w:rStyle w:val="Strong"/>
              </w:rPr>
            </w:pPr>
            <w:r w:rsidRPr="00DA1E18">
              <w:rPr>
                <w:rStyle w:val="Strong"/>
              </w:rPr>
              <w:t>Net cash used in investing activities</w:t>
            </w:r>
          </w:p>
        </w:tc>
        <w:tc>
          <w:tcPr>
            <w:tcW w:w="901" w:type="dxa"/>
            <w:shd w:val="clear" w:color="auto" w:fill="FFFFFF" w:themeFill="background1"/>
          </w:tcPr>
          <w:p w14:paraId="6BBAE69D" w14:textId="77777777" w:rsidR="0026102C" w:rsidRPr="00DA1E18" w:rsidRDefault="0026102C" w:rsidP="0026102C">
            <w:pPr>
              <w:spacing w:after="0"/>
              <w:jc w:val="right"/>
              <w:rPr>
                <w:rStyle w:val="Strong"/>
              </w:rPr>
            </w:pPr>
          </w:p>
        </w:tc>
        <w:tc>
          <w:tcPr>
            <w:tcW w:w="1048" w:type="dxa"/>
            <w:tcBorders>
              <w:bottom w:val="single" w:sz="4" w:space="0" w:color="auto"/>
            </w:tcBorders>
            <w:shd w:val="clear" w:color="auto" w:fill="FFFFFF" w:themeFill="background1"/>
          </w:tcPr>
          <w:p w14:paraId="7C2E0640" w14:textId="5997FDE9" w:rsidR="0026102C" w:rsidRPr="00DA1E18" w:rsidRDefault="0026102C" w:rsidP="0026102C">
            <w:pPr>
              <w:spacing w:after="0"/>
              <w:jc w:val="right"/>
              <w:rPr>
                <w:rStyle w:val="Strong"/>
              </w:rPr>
            </w:pPr>
            <w:r w:rsidRPr="00DA1E18">
              <w:rPr>
                <w:rStyle w:val="Strong"/>
              </w:rPr>
              <w:t>(4,176)</w:t>
            </w:r>
          </w:p>
        </w:tc>
        <w:tc>
          <w:tcPr>
            <w:tcW w:w="993" w:type="dxa"/>
            <w:tcBorders>
              <w:bottom w:val="single" w:sz="4" w:space="0" w:color="auto"/>
            </w:tcBorders>
            <w:shd w:val="clear" w:color="auto" w:fill="FFFFFF" w:themeFill="background1"/>
          </w:tcPr>
          <w:p w14:paraId="0CB2B0C7" w14:textId="36F4C324" w:rsidR="0026102C" w:rsidRPr="00DA1E18" w:rsidRDefault="0026102C" w:rsidP="0026102C">
            <w:pPr>
              <w:spacing w:after="0"/>
              <w:jc w:val="right"/>
              <w:rPr>
                <w:rStyle w:val="Strong"/>
              </w:rPr>
            </w:pPr>
            <w:r w:rsidRPr="00DA1E18">
              <w:rPr>
                <w:rStyle w:val="Strong"/>
              </w:rPr>
              <w:t>(5,790)</w:t>
            </w:r>
          </w:p>
        </w:tc>
      </w:tr>
      <w:tr w:rsidR="0026102C" w:rsidRPr="0026102C" w14:paraId="334812BE" w14:textId="77777777" w:rsidTr="00ED6404">
        <w:trPr>
          <w:trHeight w:hRule="exact" w:val="421"/>
        </w:trPr>
        <w:tc>
          <w:tcPr>
            <w:tcW w:w="4860" w:type="dxa"/>
            <w:shd w:val="clear" w:color="auto" w:fill="FFFFFF" w:themeFill="background1"/>
          </w:tcPr>
          <w:p w14:paraId="7B9CEEFF" w14:textId="77777777" w:rsidR="0026102C" w:rsidRPr="00DA1E18" w:rsidRDefault="0026102C" w:rsidP="0026102C">
            <w:pPr>
              <w:spacing w:after="0"/>
              <w:rPr>
                <w:rStyle w:val="Strong"/>
              </w:rPr>
            </w:pPr>
            <w:r w:rsidRPr="00DA1E18">
              <w:rPr>
                <w:rStyle w:val="Strong"/>
              </w:rPr>
              <w:t>Net increase in cash and cash equivalents</w:t>
            </w:r>
          </w:p>
        </w:tc>
        <w:tc>
          <w:tcPr>
            <w:tcW w:w="901" w:type="dxa"/>
            <w:shd w:val="clear" w:color="auto" w:fill="FFFFFF" w:themeFill="background1"/>
          </w:tcPr>
          <w:p w14:paraId="4E89A8CB" w14:textId="77777777" w:rsidR="0026102C" w:rsidRPr="00DA1E18" w:rsidRDefault="0026102C" w:rsidP="0026102C">
            <w:pPr>
              <w:spacing w:after="0"/>
              <w:jc w:val="right"/>
              <w:rPr>
                <w:rStyle w:val="Strong"/>
              </w:rPr>
            </w:pPr>
          </w:p>
        </w:tc>
        <w:tc>
          <w:tcPr>
            <w:tcW w:w="1048" w:type="dxa"/>
            <w:tcBorders>
              <w:top w:val="single" w:sz="4" w:space="0" w:color="auto"/>
              <w:bottom w:val="single" w:sz="4" w:space="0" w:color="auto"/>
            </w:tcBorders>
            <w:shd w:val="clear" w:color="auto" w:fill="FFFFFF" w:themeFill="background1"/>
          </w:tcPr>
          <w:p w14:paraId="121D4CD7" w14:textId="66EEFA57" w:rsidR="0026102C" w:rsidRPr="00DA1E18" w:rsidRDefault="0026102C" w:rsidP="0026102C">
            <w:pPr>
              <w:spacing w:after="0"/>
              <w:jc w:val="right"/>
              <w:rPr>
                <w:rStyle w:val="Strong"/>
              </w:rPr>
            </w:pPr>
            <w:r w:rsidRPr="00DA1E18">
              <w:rPr>
                <w:rStyle w:val="Strong"/>
              </w:rPr>
              <w:t>10,858</w:t>
            </w:r>
          </w:p>
        </w:tc>
        <w:tc>
          <w:tcPr>
            <w:tcW w:w="993" w:type="dxa"/>
            <w:tcBorders>
              <w:top w:val="single" w:sz="4" w:space="0" w:color="auto"/>
              <w:bottom w:val="single" w:sz="4" w:space="0" w:color="auto"/>
            </w:tcBorders>
            <w:shd w:val="clear" w:color="auto" w:fill="FFFFFF" w:themeFill="background1"/>
          </w:tcPr>
          <w:p w14:paraId="09198676" w14:textId="7906D9A2" w:rsidR="0026102C" w:rsidRPr="00DA1E18" w:rsidRDefault="0026102C" w:rsidP="0026102C">
            <w:pPr>
              <w:spacing w:after="0"/>
              <w:jc w:val="right"/>
              <w:rPr>
                <w:rStyle w:val="Strong"/>
              </w:rPr>
            </w:pPr>
            <w:r w:rsidRPr="00DA1E18">
              <w:rPr>
                <w:rStyle w:val="Strong"/>
              </w:rPr>
              <w:t>8,846</w:t>
            </w:r>
          </w:p>
        </w:tc>
      </w:tr>
      <w:tr w:rsidR="00ED6404" w:rsidRPr="0026102C" w14:paraId="73A7FE99" w14:textId="77777777" w:rsidTr="00ED6404">
        <w:trPr>
          <w:trHeight w:hRule="exact" w:val="421"/>
        </w:trPr>
        <w:tc>
          <w:tcPr>
            <w:tcW w:w="4860" w:type="dxa"/>
            <w:shd w:val="clear" w:color="auto" w:fill="FFFFFF" w:themeFill="background1"/>
          </w:tcPr>
          <w:p w14:paraId="6A241B7C" w14:textId="77777777" w:rsidR="00ED6404" w:rsidRPr="0026102C" w:rsidRDefault="00ED6404" w:rsidP="0026102C">
            <w:pPr>
              <w:spacing w:after="0"/>
              <w:rPr>
                <w:rFonts w:cs="Arial"/>
                <w:b/>
              </w:rPr>
            </w:pPr>
          </w:p>
        </w:tc>
        <w:tc>
          <w:tcPr>
            <w:tcW w:w="901" w:type="dxa"/>
            <w:shd w:val="clear" w:color="auto" w:fill="FFFFFF" w:themeFill="background1"/>
          </w:tcPr>
          <w:p w14:paraId="063F5D82" w14:textId="77777777" w:rsidR="00ED6404" w:rsidRPr="0026102C" w:rsidRDefault="00ED6404" w:rsidP="0026102C">
            <w:pPr>
              <w:spacing w:after="0"/>
              <w:jc w:val="right"/>
              <w:rPr>
                <w:rFonts w:cs="Arial"/>
              </w:rPr>
            </w:pPr>
          </w:p>
        </w:tc>
        <w:tc>
          <w:tcPr>
            <w:tcW w:w="1048" w:type="dxa"/>
            <w:tcBorders>
              <w:top w:val="single" w:sz="4" w:space="0" w:color="auto"/>
            </w:tcBorders>
            <w:shd w:val="clear" w:color="auto" w:fill="FFFFFF" w:themeFill="background1"/>
          </w:tcPr>
          <w:p w14:paraId="47F30890" w14:textId="77777777" w:rsidR="00ED6404" w:rsidRPr="0026102C" w:rsidRDefault="00ED6404" w:rsidP="0026102C">
            <w:pPr>
              <w:spacing w:after="0"/>
              <w:jc w:val="right"/>
              <w:rPr>
                <w:rFonts w:cs="Arial"/>
                <w:b/>
              </w:rPr>
            </w:pPr>
          </w:p>
        </w:tc>
        <w:tc>
          <w:tcPr>
            <w:tcW w:w="993" w:type="dxa"/>
            <w:tcBorders>
              <w:top w:val="single" w:sz="4" w:space="0" w:color="auto"/>
            </w:tcBorders>
            <w:shd w:val="clear" w:color="auto" w:fill="FFFFFF" w:themeFill="background1"/>
          </w:tcPr>
          <w:p w14:paraId="519C48F7" w14:textId="77777777" w:rsidR="00ED6404" w:rsidRPr="0026102C" w:rsidRDefault="00ED6404" w:rsidP="0026102C">
            <w:pPr>
              <w:spacing w:after="0"/>
              <w:jc w:val="right"/>
              <w:rPr>
                <w:rFonts w:cs="Arial"/>
                <w:b/>
              </w:rPr>
            </w:pPr>
          </w:p>
        </w:tc>
      </w:tr>
      <w:tr w:rsidR="0026102C" w:rsidRPr="0026102C" w14:paraId="2D06DFE0" w14:textId="77777777" w:rsidTr="00ED6404">
        <w:trPr>
          <w:trHeight w:hRule="exact" w:val="544"/>
        </w:trPr>
        <w:tc>
          <w:tcPr>
            <w:tcW w:w="4860" w:type="dxa"/>
          </w:tcPr>
          <w:p w14:paraId="7FEF9677" w14:textId="77777777" w:rsidR="0026102C" w:rsidRPr="0026102C" w:rsidRDefault="0026102C" w:rsidP="0026102C">
            <w:pPr>
              <w:spacing w:after="0" w:line="240" w:lineRule="auto"/>
              <w:rPr>
                <w:rFonts w:cs="Arial"/>
              </w:rPr>
            </w:pPr>
            <w:r w:rsidRPr="0026102C">
              <w:rPr>
                <w:rFonts w:cs="Arial"/>
              </w:rPr>
              <w:t>Cash and cash equivalents at the beginning of the period</w:t>
            </w:r>
          </w:p>
        </w:tc>
        <w:tc>
          <w:tcPr>
            <w:tcW w:w="901" w:type="dxa"/>
          </w:tcPr>
          <w:p w14:paraId="256C53E2" w14:textId="77777777" w:rsidR="0026102C" w:rsidRPr="0026102C" w:rsidRDefault="0026102C" w:rsidP="0026102C">
            <w:pPr>
              <w:spacing w:after="0"/>
              <w:jc w:val="right"/>
              <w:rPr>
                <w:rFonts w:cs="Arial"/>
              </w:rPr>
            </w:pPr>
          </w:p>
        </w:tc>
        <w:tc>
          <w:tcPr>
            <w:tcW w:w="1048" w:type="dxa"/>
            <w:shd w:val="clear" w:color="auto" w:fill="F5EDC1" w:themeFill="accent4"/>
          </w:tcPr>
          <w:p w14:paraId="47DADA4B" w14:textId="5699818B" w:rsidR="0026102C" w:rsidRPr="0026102C" w:rsidRDefault="006258B8" w:rsidP="0026102C">
            <w:pPr>
              <w:spacing w:after="0"/>
              <w:jc w:val="right"/>
              <w:rPr>
                <w:rFonts w:cs="Arial"/>
              </w:rPr>
            </w:pPr>
            <w:r>
              <w:rPr>
                <w:rFonts w:cs="Arial"/>
              </w:rPr>
              <w:t>81,524</w:t>
            </w:r>
          </w:p>
        </w:tc>
        <w:tc>
          <w:tcPr>
            <w:tcW w:w="993" w:type="dxa"/>
            <w:shd w:val="clear" w:color="auto" w:fill="D4E2E0" w:themeFill="accent5"/>
          </w:tcPr>
          <w:p w14:paraId="31F55D3E" w14:textId="5A0B8BA2" w:rsidR="0026102C" w:rsidRPr="0026102C" w:rsidRDefault="006258B8" w:rsidP="0026102C">
            <w:pPr>
              <w:spacing w:after="0"/>
              <w:jc w:val="right"/>
              <w:rPr>
                <w:rFonts w:cs="Arial"/>
              </w:rPr>
            </w:pPr>
            <w:r>
              <w:rPr>
                <w:rFonts w:cs="Arial"/>
              </w:rPr>
              <w:t>72,678</w:t>
            </w:r>
          </w:p>
        </w:tc>
      </w:tr>
      <w:tr w:rsidR="0026102C" w:rsidRPr="0026102C" w14:paraId="1BAB5ED6" w14:textId="77777777" w:rsidTr="006B302A">
        <w:trPr>
          <w:trHeight w:hRule="exact" w:val="343"/>
        </w:trPr>
        <w:tc>
          <w:tcPr>
            <w:tcW w:w="4860" w:type="dxa"/>
          </w:tcPr>
          <w:p w14:paraId="7BC771BB" w14:textId="77777777" w:rsidR="0026102C" w:rsidRPr="0026102C" w:rsidRDefault="0026102C" w:rsidP="0026102C">
            <w:pPr>
              <w:spacing w:after="0"/>
              <w:rPr>
                <w:rFonts w:cs="Arial"/>
              </w:rPr>
            </w:pPr>
            <w:r w:rsidRPr="00DA1E18">
              <w:rPr>
                <w:rStyle w:val="Strong"/>
              </w:rPr>
              <w:t>Cash and cash equivalent at the end of</w:t>
            </w:r>
            <w:r w:rsidRPr="0026102C">
              <w:rPr>
                <w:rFonts w:cs="Arial"/>
                <w:b/>
                <w:bCs/>
              </w:rPr>
              <w:t xml:space="preserve"> the period</w:t>
            </w:r>
          </w:p>
        </w:tc>
        <w:tc>
          <w:tcPr>
            <w:tcW w:w="901" w:type="dxa"/>
          </w:tcPr>
          <w:p w14:paraId="2D631F93" w14:textId="77777777" w:rsidR="0026102C" w:rsidRPr="0026102C" w:rsidRDefault="0026102C" w:rsidP="0026102C">
            <w:pPr>
              <w:spacing w:after="0"/>
              <w:jc w:val="right"/>
              <w:rPr>
                <w:rFonts w:cs="Arial"/>
              </w:rPr>
            </w:pPr>
            <w:r w:rsidRPr="0026102C">
              <w:rPr>
                <w:rFonts w:cs="Arial"/>
              </w:rPr>
              <w:t>29</w:t>
            </w:r>
          </w:p>
        </w:tc>
        <w:tc>
          <w:tcPr>
            <w:tcW w:w="1048" w:type="dxa"/>
            <w:tcBorders>
              <w:bottom w:val="single" w:sz="4" w:space="0" w:color="auto"/>
            </w:tcBorders>
            <w:shd w:val="clear" w:color="auto" w:fill="F5EDC1" w:themeFill="accent4"/>
          </w:tcPr>
          <w:p w14:paraId="4EBF21FE" w14:textId="07F8B367" w:rsidR="0026102C" w:rsidRPr="0026102C" w:rsidRDefault="006258B8" w:rsidP="0026102C">
            <w:pPr>
              <w:spacing w:after="0"/>
              <w:jc w:val="right"/>
              <w:rPr>
                <w:rFonts w:cs="Arial"/>
              </w:rPr>
            </w:pPr>
            <w:r>
              <w:rPr>
                <w:rFonts w:cs="Arial"/>
              </w:rPr>
              <w:t>92,382</w:t>
            </w:r>
          </w:p>
        </w:tc>
        <w:tc>
          <w:tcPr>
            <w:tcW w:w="993" w:type="dxa"/>
            <w:tcBorders>
              <w:bottom w:val="single" w:sz="4" w:space="0" w:color="auto"/>
            </w:tcBorders>
            <w:shd w:val="clear" w:color="auto" w:fill="D4E2E0" w:themeFill="accent5"/>
          </w:tcPr>
          <w:p w14:paraId="1587F414" w14:textId="6B0718F5" w:rsidR="0026102C" w:rsidRPr="0026102C" w:rsidRDefault="006258B8" w:rsidP="0026102C">
            <w:pPr>
              <w:spacing w:after="0"/>
              <w:jc w:val="right"/>
              <w:rPr>
                <w:rFonts w:cs="Arial"/>
              </w:rPr>
            </w:pPr>
            <w:r>
              <w:rPr>
                <w:rFonts w:cs="Arial"/>
              </w:rPr>
              <w:t>81,524</w:t>
            </w:r>
          </w:p>
        </w:tc>
      </w:tr>
    </w:tbl>
    <w:p w14:paraId="2E72BC25" w14:textId="311A3CC1" w:rsidR="00D1362C" w:rsidRDefault="006258B8" w:rsidP="00D1362C">
      <w:r>
        <w:lastRenderedPageBreak/>
        <w:br/>
        <w:t>The statement of Cash Flows should be read in conjunction with the accompanying notes.</w:t>
      </w:r>
    </w:p>
    <w:p w14:paraId="012A8D77" w14:textId="09037B4B" w:rsidR="00E9602D" w:rsidRPr="00E9602D" w:rsidRDefault="00E9602D" w:rsidP="00E9602D">
      <w:pPr>
        <w:pStyle w:val="Heading1nonumber"/>
        <w:rPr>
          <w:color w:val="000000"/>
        </w:rPr>
      </w:pPr>
      <w:bookmarkStart w:id="679" w:name="_Toc430091357"/>
      <w:r>
        <w:rPr>
          <w:spacing w:val="-14"/>
        </w:rPr>
        <w:t>N</w:t>
      </w:r>
      <w:r>
        <w:rPr>
          <w:spacing w:val="-17"/>
        </w:rPr>
        <w:t>o</w:t>
      </w:r>
      <w:r>
        <w:rPr>
          <w:spacing w:val="-15"/>
        </w:rPr>
        <w:t>t</w:t>
      </w:r>
      <w:r>
        <w:rPr>
          <w:spacing w:val="-18"/>
        </w:rPr>
        <w:t>e</w:t>
      </w:r>
      <w:r>
        <w:t>s</w:t>
      </w:r>
      <w:r>
        <w:rPr>
          <w:spacing w:val="-31"/>
        </w:rPr>
        <w:t xml:space="preserve"> </w:t>
      </w:r>
      <w:r>
        <w:rPr>
          <w:spacing w:val="-16"/>
        </w:rPr>
        <w:t>t</w:t>
      </w:r>
      <w:r>
        <w:t>o</w:t>
      </w:r>
      <w:r>
        <w:rPr>
          <w:spacing w:val="-31"/>
        </w:rPr>
        <w:t xml:space="preserve"> </w:t>
      </w:r>
      <w:r>
        <w:rPr>
          <w:spacing w:val="-9"/>
        </w:rPr>
        <w:t>t</w:t>
      </w:r>
      <w:r>
        <w:rPr>
          <w:spacing w:val="-13"/>
        </w:rPr>
        <w:t>h</w:t>
      </w:r>
      <w:r>
        <w:t>e</w:t>
      </w:r>
      <w:r>
        <w:rPr>
          <w:spacing w:val="-31"/>
        </w:rPr>
        <w:t xml:space="preserve"> </w:t>
      </w:r>
      <w:r>
        <w:rPr>
          <w:spacing w:val="-13"/>
        </w:rPr>
        <w:t>F</w:t>
      </w:r>
      <w:r>
        <w:rPr>
          <w:spacing w:val="-10"/>
        </w:rPr>
        <w:t>i</w:t>
      </w:r>
      <w:r>
        <w:rPr>
          <w:spacing w:val="-13"/>
        </w:rPr>
        <w:t>na</w:t>
      </w:r>
      <w:r>
        <w:rPr>
          <w:spacing w:val="-14"/>
        </w:rPr>
        <w:t>n</w:t>
      </w:r>
      <w:r>
        <w:rPr>
          <w:spacing w:val="-21"/>
        </w:rPr>
        <w:t>c</w:t>
      </w:r>
      <w:r>
        <w:rPr>
          <w:spacing w:val="-13"/>
        </w:rPr>
        <w:t>i</w:t>
      </w:r>
      <w:r>
        <w:rPr>
          <w:spacing w:val="-9"/>
        </w:rPr>
        <w:t>a</w:t>
      </w:r>
      <w:r>
        <w:t>l</w:t>
      </w:r>
      <w:r>
        <w:rPr>
          <w:w w:val="99"/>
        </w:rPr>
        <w:t xml:space="preserve"> </w:t>
      </w:r>
      <w:r>
        <w:rPr>
          <w:spacing w:val="-19"/>
        </w:rPr>
        <w:t>S</w:t>
      </w:r>
      <w:r>
        <w:rPr>
          <w:spacing w:val="-15"/>
        </w:rPr>
        <w:t>t</w:t>
      </w:r>
      <w:r>
        <w:rPr>
          <w:spacing w:val="-10"/>
        </w:rPr>
        <w:t>a</w:t>
      </w:r>
      <w:r>
        <w:rPr>
          <w:spacing w:val="-15"/>
        </w:rPr>
        <w:t>te</w:t>
      </w:r>
      <w:r>
        <w:rPr>
          <w:spacing w:val="-13"/>
        </w:rPr>
        <w:t>m</w:t>
      </w:r>
      <w:r>
        <w:rPr>
          <w:spacing w:val="-15"/>
        </w:rPr>
        <w:t>e</w:t>
      </w:r>
      <w:r>
        <w:rPr>
          <w:spacing w:val="-13"/>
        </w:rPr>
        <w:t>n</w:t>
      </w:r>
      <w:r>
        <w:rPr>
          <w:spacing w:val="-8"/>
        </w:rPr>
        <w:t>t</w:t>
      </w:r>
      <w:r>
        <w:t>s</w:t>
      </w:r>
      <w:bookmarkEnd w:id="679"/>
    </w:p>
    <w:p w14:paraId="5881C2D4" w14:textId="7E155607" w:rsidR="00E9602D" w:rsidRDefault="00E9602D" w:rsidP="00A16123">
      <w:pPr>
        <w:pStyle w:val="Heading2nonumber"/>
        <w:numPr>
          <w:ilvl w:val="0"/>
          <w:numId w:val="15"/>
        </w:numPr>
        <w:rPr>
          <w:color w:val="000000"/>
        </w:rPr>
      </w:pPr>
      <w:bookmarkStart w:id="680" w:name="_Toc430091358"/>
      <w:r>
        <w:rPr>
          <w:spacing w:val="-18"/>
        </w:rPr>
        <w:t>A</w:t>
      </w:r>
      <w:r>
        <w:rPr>
          <w:spacing w:val="-11"/>
        </w:rPr>
        <w:t>u</w:t>
      </w:r>
      <w:r>
        <w:t>s</w:t>
      </w:r>
      <w:r>
        <w:rPr>
          <w:spacing w:val="1"/>
        </w:rPr>
        <w:t>t</w:t>
      </w:r>
      <w:r>
        <w:rPr>
          <w:spacing w:val="-16"/>
        </w:rPr>
        <w:t>r</w:t>
      </w:r>
      <w:r>
        <w:rPr>
          <w:spacing w:val="-6"/>
        </w:rPr>
        <w:t>a</w:t>
      </w:r>
      <w:r>
        <w:rPr>
          <w:spacing w:val="-3"/>
        </w:rPr>
        <w:t>l</w:t>
      </w:r>
      <w:r>
        <w:t>ian</w:t>
      </w:r>
      <w:r>
        <w:rPr>
          <w:spacing w:val="-23"/>
        </w:rPr>
        <w:t xml:space="preserve"> </w:t>
      </w:r>
      <w:r>
        <w:rPr>
          <w:spacing w:val="-18"/>
        </w:rPr>
        <w:t>A</w:t>
      </w:r>
      <w:r>
        <w:rPr>
          <w:spacing w:val="-19"/>
        </w:rPr>
        <w:t>cc</w:t>
      </w:r>
      <w:r>
        <w:rPr>
          <w:spacing w:val="-11"/>
        </w:rPr>
        <w:t>o</w:t>
      </w:r>
      <w:r>
        <w:rPr>
          <w:spacing w:val="-9"/>
        </w:rPr>
        <w:t>u</w:t>
      </w:r>
      <w:r>
        <w:t>n</w:t>
      </w:r>
      <w:r>
        <w:rPr>
          <w:spacing w:val="-5"/>
        </w:rPr>
        <w:t>t</w:t>
      </w:r>
      <w:r>
        <w:rPr>
          <w:spacing w:val="-6"/>
        </w:rPr>
        <w:t>i</w:t>
      </w:r>
      <w:r>
        <w:rPr>
          <w:spacing w:val="-9"/>
        </w:rPr>
        <w:t>n</w:t>
      </w:r>
      <w:r>
        <w:t>g</w:t>
      </w:r>
      <w:r>
        <w:rPr>
          <w:spacing w:val="-23"/>
        </w:rPr>
        <w:t xml:space="preserve"> </w:t>
      </w:r>
      <w:r>
        <w:rPr>
          <w:spacing w:val="-12"/>
        </w:rPr>
        <w:t>S</w:t>
      </w:r>
      <w:r>
        <w:rPr>
          <w:spacing w:val="-10"/>
        </w:rPr>
        <w:t>t</w:t>
      </w:r>
      <w:r>
        <w:t>a</w:t>
      </w:r>
      <w:r>
        <w:rPr>
          <w:spacing w:val="-9"/>
        </w:rPr>
        <w:t>nd</w:t>
      </w:r>
      <w:r>
        <w:rPr>
          <w:spacing w:val="-3"/>
        </w:rPr>
        <w:t>a</w:t>
      </w:r>
      <w:r>
        <w:rPr>
          <w:spacing w:val="-16"/>
        </w:rPr>
        <w:t>r</w:t>
      </w:r>
      <w:r>
        <w:t>ds</w:t>
      </w:r>
      <w:bookmarkEnd w:id="680"/>
    </w:p>
    <w:p w14:paraId="5560B3F4" w14:textId="77777777" w:rsidR="00E9602D" w:rsidRPr="00DA1E18" w:rsidRDefault="00E9602D" w:rsidP="00E9602D">
      <w:pPr>
        <w:pStyle w:val="Normal-Act"/>
        <w:rPr>
          <w:rStyle w:val="Strong"/>
        </w:rPr>
      </w:pPr>
      <w:r w:rsidRPr="00DA1E18">
        <w:rPr>
          <w:rStyle w:val="Strong"/>
        </w:rPr>
        <w:t>General</w:t>
      </w:r>
    </w:p>
    <w:p w14:paraId="6C5D1030" w14:textId="79E48927" w:rsidR="00E9602D" w:rsidRPr="00E9602D" w:rsidRDefault="00E9602D" w:rsidP="00E9602D">
      <w:pPr>
        <w:rPr>
          <w:b/>
          <w:color w:val="000000"/>
        </w:rPr>
      </w:pPr>
      <w:r>
        <w:rPr>
          <w:spacing w:val="-2"/>
        </w:rPr>
        <w:t>T</w:t>
      </w:r>
      <w:r>
        <w:t>he</w:t>
      </w:r>
      <w:r>
        <w:rPr>
          <w:spacing w:val="-1"/>
        </w:rPr>
        <w:t xml:space="preserve"> </w:t>
      </w:r>
      <w:r>
        <w:rPr>
          <w:spacing w:val="-3"/>
        </w:rPr>
        <w:t>A</w:t>
      </w:r>
      <w:r>
        <w:t>uthori</w:t>
      </w:r>
      <w:r>
        <w:rPr>
          <w:spacing w:val="1"/>
        </w:rPr>
        <w:t>t</w:t>
      </w:r>
      <w:r>
        <w:rPr>
          <w:spacing w:val="6"/>
        </w:rPr>
        <w:t>y</w:t>
      </w:r>
      <w:r>
        <w:rPr>
          <w:spacing w:val="-16"/>
        </w:rPr>
        <w:t>’</w:t>
      </w:r>
      <w:r>
        <w:t>s</w:t>
      </w:r>
      <w:r>
        <w:rPr>
          <w:spacing w:val="-1"/>
        </w:rPr>
        <w:t xml:space="preserve"> </w:t>
      </w:r>
      <w:r>
        <w:t>financial</w:t>
      </w:r>
      <w:r>
        <w:rPr>
          <w:spacing w:val="-1"/>
        </w:rPr>
        <w:t xml:space="preserve"> </w:t>
      </w:r>
      <w:r>
        <w:t>st</w:t>
      </w:r>
      <w:r>
        <w:rPr>
          <w:spacing w:val="-1"/>
        </w:rPr>
        <w:t>a</w:t>
      </w:r>
      <w:r>
        <w:rPr>
          <w:spacing w:val="-2"/>
        </w:rPr>
        <w:t>t</w:t>
      </w:r>
      <w:r>
        <w:t>eme</w:t>
      </w:r>
      <w:r>
        <w:rPr>
          <w:spacing w:val="-1"/>
        </w:rPr>
        <w:t>n</w:t>
      </w:r>
      <w:r>
        <w:t xml:space="preserve">ts </w:t>
      </w:r>
      <w:r>
        <w:rPr>
          <w:spacing w:val="-3"/>
        </w:rPr>
        <w:t>f</w:t>
      </w:r>
      <w:r>
        <w:t>or</w:t>
      </w:r>
      <w:r>
        <w:rPr>
          <w:spacing w:val="-1"/>
        </w:rPr>
        <w:t xml:space="preserve"> </w:t>
      </w:r>
      <w:r>
        <w:t>the</w:t>
      </w:r>
      <w:r>
        <w:rPr>
          <w:spacing w:val="-1"/>
        </w:rPr>
        <w:t xml:space="preserve"> </w:t>
      </w:r>
      <w:r>
        <w:rPr>
          <w:spacing w:val="-3"/>
        </w:rPr>
        <w:t>y</w:t>
      </w:r>
      <w:r>
        <w:t>ear ended</w:t>
      </w:r>
      <w:r>
        <w:rPr>
          <w:spacing w:val="-1"/>
        </w:rPr>
        <w:t xml:space="preserve"> </w:t>
      </w:r>
      <w:r>
        <w:t>30</w:t>
      </w:r>
      <w:r>
        <w:rPr>
          <w:spacing w:val="-1"/>
        </w:rPr>
        <w:t xml:space="preserve"> </w:t>
      </w:r>
      <w:r>
        <w:t>June</w:t>
      </w:r>
      <w:r>
        <w:rPr>
          <w:spacing w:val="-1"/>
        </w:rPr>
        <w:t xml:space="preserve"> </w:t>
      </w:r>
      <w:r>
        <w:t>2015 h</w:t>
      </w:r>
      <w:r>
        <w:rPr>
          <w:spacing w:val="-2"/>
        </w:rPr>
        <w:t>a</w:t>
      </w:r>
      <w:r>
        <w:rPr>
          <w:spacing w:val="-3"/>
        </w:rPr>
        <w:t>v</w:t>
      </w:r>
      <w:r>
        <w:t>e been p</w:t>
      </w:r>
      <w:r>
        <w:rPr>
          <w:spacing w:val="-3"/>
        </w:rPr>
        <w:t>r</w:t>
      </w:r>
      <w:r>
        <w:t>epa</w:t>
      </w:r>
      <w:r>
        <w:rPr>
          <w:spacing w:val="-3"/>
        </w:rPr>
        <w:t>r</w:t>
      </w:r>
      <w:r>
        <w:t>ed in a</w:t>
      </w:r>
      <w:r>
        <w:rPr>
          <w:spacing w:val="-2"/>
        </w:rPr>
        <w:t>cc</w:t>
      </w:r>
      <w:r>
        <w:t>o</w:t>
      </w:r>
      <w:r>
        <w:rPr>
          <w:spacing w:val="-3"/>
        </w:rPr>
        <w:t>r</w:t>
      </w:r>
      <w:r>
        <w:t>dan</w:t>
      </w:r>
      <w:r>
        <w:rPr>
          <w:spacing w:val="-2"/>
        </w:rPr>
        <w:t>c</w:t>
      </w:r>
      <w:r>
        <w:t xml:space="preserve">e with </w:t>
      </w:r>
      <w:r>
        <w:rPr>
          <w:spacing w:val="-3"/>
        </w:rPr>
        <w:t>A</w:t>
      </w:r>
      <w:r>
        <w:t>ust</w:t>
      </w:r>
      <w:r>
        <w:rPr>
          <w:spacing w:val="-2"/>
        </w:rPr>
        <w:t>r</w:t>
      </w:r>
      <w:r>
        <w:t xml:space="preserve">alian </w:t>
      </w:r>
      <w:r>
        <w:rPr>
          <w:spacing w:val="-3"/>
        </w:rPr>
        <w:t>A</w:t>
      </w:r>
      <w:r>
        <w:rPr>
          <w:spacing w:val="-2"/>
        </w:rPr>
        <w:t>cc</w:t>
      </w:r>
      <w:r>
        <w:t>ou</w:t>
      </w:r>
      <w:r>
        <w:rPr>
          <w:spacing w:val="-1"/>
        </w:rPr>
        <w:t>n</w:t>
      </w:r>
      <w:r>
        <w:t xml:space="preserve">ting </w:t>
      </w:r>
      <w:r>
        <w:rPr>
          <w:spacing w:val="-1"/>
        </w:rPr>
        <w:t>S</w:t>
      </w:r>
      <w:r>
        <w:t>tanda</w:t>
      </w:r>
      <w:r>
        <w:rPr>
          <w:spacing w:val="-3"/>
        </w:rPr>
        <w:t>r</w:t>
      </w:r>
      <w:r>
        <w:t>d</w:t>
      </w:r>
      <w:r>
        <w:rPr>
          <w:spacing w:val="-3"/>
        </w:rPr>
        <w:t>s</w:t>
      </w:r>
      <w:r>
        <w:t>.</w:t>
      </w:r>
      <w:r>
        <w:rPr>
          <w:spacing w:val="37"/>
        </w:rPr>
        <w:t xml:space="preserve"> </w:t>
      </w:r>
      <w:r>
        <w:rPr>
          <w:spacing w:val="-2"/>
        </w:rPr>
        <w:t>T</w:t>
      </w:r>
      <w:r>
        <w:t xml:space="preserve">he </w:t>
      </w:r>
      <w:r>
        <w:rPr>
          <w:spacing w:val="-2"/>
        </w:rPr>
        <w:t>t</w:t>
      </w:r>
      <w:r>
        <w:t>erm</w:t>
      </w:r>
    </w:p>
    <w:p w14:paraId="4942FCB2" w14:textId="77777777" w:rsidR="00E9602D" w:rsidRDefault="00E9602D" w:rsidP="00E9602D">
      <w:pPr>
        <w:rPr>
          <w:color w:val="000000"/>
        </w:rPr>
      </w:pPr>
      <w:r>
        <w:rPr>
          <w:spacing w:val="-15"/>
        </w:rPr>
        <w:t>‘</w:t>
      </w:r>
      <w:r>
        <w:rPr>
          <w:spacing w:val="-3"/>
        </w:rPr>
        <w:t>A</w:t>
      </w:r>
      <w:r>
        <w:t>ust</w:t>
      </w:r>
      <w:r>
        <w:rPr>
          <w:spacing w:val="-2"/>
        </w:rPr>
        <w:t>r</w:t>
      </w:r>
      <w:r>
        <w:t xml:space="preserve">alian </w:t>
      </w:r>
      <w:r>
        <w:rPr>
          <w:spacing w:val="-3"/>
        </w:rPr>
        <w:t>A</w:t>
      </w:r>
      <w:r>
        <w:rPr>
          <w:spacing w:val="-2"/>
        </w:rPr>
        <w:t>cc</w:t>
      </w:r>
      <w:r>
        <w:t>ou</w:t>
      </w:r>
      <w:r>
        <w:rPr>
          <w:spacing w:val="-1"/>
        </w:rPr>
        <w:t>n</w:t>
      </w:r>
      <w:r>
        <w:t xml:space="preserve">ting </w:t>
      </w:r>
      <w:r>
        <w:rPr>
          <w:spacing w:val="-1"/>
        </w:rPr>
        <w:t>S</w:t>
      </w:r>
      <w:r>
        <w:t>tanda</w:t>
      </w:r>
      <w:r>
        <w:rPr>
          <w:spacing w:val="-3"/>
        </w:rPr>
        <w:t>r</w:t>
      </w:r>
      <w:r>
        <w:t>d</w:t>
      </w:r>
      <w:r>
        <w:rPr>
          <w:spacing w:val="-4"/>
        </w:rPr>
        <w:t>s</w:t>
      </w:r>
      <w:r>
        <w:t>’</w:t>
      </w:r>
      <w:r>
        <w:rPr>
          <w:spacing w:val="-19"/>
        </w:rPr>
        <w:t xml:space="preserve"> </w:t>
      </w:r>
      <w:r>
        <w:t xml:space="preserve">includes </w:t>
      </w:r>
      <w:r>
        <w:rPr>
          <w:spacing w:val="-1"/>
        </w:rPr>
        <w:t>S</w:t>
      </w:r>
      <w:r>
        <w:t>tanda</w:t>
      </w:r>
      <w:r>
        <w:rPr>
          <w:spacing w:val="-3"/>
        </w:rPr>
        <w:t>r</w:t>
      </w:r>
      <w:r>
        <w:t xml:space="preserve">ds and </w:t>
      </w:r>
      <w:r>
        <w:rPr>
          <w:spacing w:val="2"/>
        </w:rPr>
        <w:t>I</w:t>
      </w:r>
      <w:r>
        <w:rPr>
          <w:spacing w:val="-1"/>
        </w:rPr>
        <w:t>n</w:t>
      </w:r>
      <w:r>
        <w:rPr>
          <w:spacing w:val="-2"/>
        </w:rPr>
        <w:t>t</w:t>
      </w:r>
      <w:r>
        <w:t>erp</w:t>
      </w:r>
      <w:r>
        <w:rPr>
          <w:spacing w:val="-3"/>
        </w:rPr>
        <w:t>r</w:t>
      </w:r>
      <w:r>
        <w:t>et</w:t>
      </w:r>
      <w:r>
        <w:rPr>
          <w:spacing w:val="-1"/>
        </w:rPr>
        <w:t>a</w:t>
      </w:r>
      <w:r>
        <w:t xml:space="preserve">tions issued </w:t>
      </w:r>
      <w:r>
        <w:rPr>
          <w:spacing w:val="-2"/>
        </w:rPr>
        <w:t>b</w:t>
      </w:r>
      <w:r>
        <w:t xml:space="preserve">y the </w:t>
      </w:r>
      <w:r>
        <w:rPr>
          <w:spacing w:val="-3"/>
        </w:rPr>
        <w:t>A</w:t>
      </w:r>
      <w:r>
        <w:t>ust</w:t>
      </w:r>
      <w:r>
        <w:rPr>
          <w:spacing w:val="-2"/>
        </w:rPr>
        <w:t>r</w:t>
      </w:r>
      <w:r>
        <w:t xml:space="preserve">alian </w:t>
      </w:r>
      <w:r>
        <w:rPr>
          <w:spacing w:val="-3"/>
        </w:rPr>
        <w:t>A</w:t>
      </w:r>
      <w:r>
        <w:rPr>
          <w:spacing w:val="-2"/>
        </w:rPr>
        <w:t>cc</w:t>
      </w:r>
      <w:r>
        <w:t>ou</w:t>
      </w:r>
      <w:r>
        <w:rPr>
          <w:spacing w:val="-1"/>
        </w:rPr>
        <w:t>n</w:t>
      </w:r>
      <w:r>
        <w:t xml:space="preserve">ting </w:t>
      </w:r>
      <w:r>
        <w:rPr>
          <w:spacing w:val="-1"/>
        </w:rPr>
        <w:t>S</w:t>
      </w:r>
      <w:r>
        <w:t>tanda</w:t>
      </w:r>
      <w:r>
        <w:rPr>
          <w:spacing w:val="-3"/>
        </w:rPr>
        <w:t>r</w:t>
      </w:r>
      <w:r>
        <w:t>ds Boa</w:t>
      </w:r>
      <w:r>
        <w:rPr>
          <w:spacing w:val="-3"/>
        </w:rPr>
        <w:t>r</w:t>
      </w:r>
      <w:r>
        <w:t xml:space="preserve">d </w:t>
      </w:r>
      <w:r>
        <w:rPr>
          <w:spacing w:val="-3"/>
        </w:rPr>
        <w:t>(</w:t>
      </w:r>
      <w:r>
        <w:t>AASB).</w:t>
      </w:r>
    </w:p>
    <w:p w14:paraId="3C8A2050" w14:textId="4F6EA47D" w:rsidR="00E9602D" w:rsidRPr="00E9602D" w:rsidRDefault="00E9602D" w:rsidP="00E9602D">
      <w:pPr>
        <w:rPr>
          <w:color w:val="000000"/>
        </w:rPr>
      </w:pPr>
      <w:r>
        <w:rPr>
          <w:spacing w:val="-2"/>
        </w:rPr>
        <w:t>T</w:t>
      </w:r>
      <w:r>
        <w:t xml:space="preserve">he </w:t>
      </w:r>
      <w:r>
        <w:rPr>
          <w:spacing w:val="-3"/>
        </w:rPr>
        <w:t>A</w:t>
      </w:r>
      <w:r>
        <w:t>uthori</w:t>
      </w:r>
      <w:r>
        <w:rPr>
          <w:spacing w:val="1"/>
        </w:rPr>
        <w:t>t</w:t>
      </w:r>
      <w:r>
        <w:t>y has adop</w:t>
      </w:r>
      <w:r>
        <w:rPr>
          <w:spacing w:val="-2"/>
        </w:rPr>
        <w:t>t</w:t>
      </w:r>
      <w:r>
        <w:t>ed a</w:t>
      </w:r>
      <w:r>
        <w:rPr>
          <w:spacing w:val="-3"/>
        </w:rPr>
        <w:t>n</w:t>
      </w:r>
      <w:r>
        <w:t xml:space="preserve">y applicable new and </w:t>
      </w:r>
      <w:r>
        <w:rPr>
          <w:spacing w:val="-3"/>
        </w:rPr>
        <w:t>r</w:t>
      </w:r>
      <w:r>
        <w:t xml:space="preserve">evised </w:t>
      </w:r>
      <w:r>
        <w:rPr>
          <w:spacing w:val="-3"/>
        </w:rPr>
        <w:t>A</w:t>
      </w:r>
      <w:r>
        <w:t>ust</w:t>
      </w:r>
      <w:r>
        <w:rPr>
          <w:spacing w:val="-2"/>
        </w:rPr>
        <w:t>r</w:t>
      </w:r>
      <w:r>
        <w:t xml:space="preserve">alian </w:t>
      </w:r>
      <w:r>
        <w:rPr>
          <w:spacing w:val="-3"/>
        </w:rPr>
        <w:t>A</w:t>
      </w:r>
      <w:r>
        <w:rPr>
          <w:spacing w:val="-2"/>
        </w:rPr>
        <w:t>cc</w:t>
      </w:r>
      <w:r>
        <w:t>ou</w:t>
      </w:r>
      <w:r>
        <w:rPr>
          <w:spacing w:val="-1"/>
        </w:rPr>
        <w:t>n</w:t>
      </w:r>
      <w:r>
        <w:t xml:space="preserve">ting </w:t>
      </w:r>
      <w:r>
        <w:rPr>
          <w:spacing w:val="-1"/>
        </w:rPr>
        <w:t>S</w:t>
      </w:r>
      <w:r>
        <w:t>tanda</w:t>
      </w:r>
      <w:r>
        <w:rPr>
          <w:spacing w:val="-3"/>
        </w:rPr>
        <w:t>r</w:t>
      </w:r>
      <w:r>
        <w:t>ds f</w:t>
      </w:r>
      <w:r>
        <w:rPr>
          <w:spacing w:val="-3"/>
        </w:rPr>
        <w:t>r</w:t>
      </w:r>
      <w:r>
        <w:t>om their ope</w:t>
      </w:r>
      <w:r>
        <w:rPr>
          <w:spacing w:val="-2"/>
        </w:rPr>
        <w:t>r</w:t>
      </w:r>
      <w:r>
        <w:rPr>
          <w:spacing w:val="-1"/>
        </w:rPr>
        <w:t>a</w:t>
      </w:r>
      <w:r>
        <w:t>ti</w:t>
      </w:r>
      <w:r>
        <w:rPr>
          <w:spacing w:val="-3"/>
        </w:rPr>
        <w:t>v</w:t>
      </w:r>
      <w:r>
        <w:t>e d</w:t>
      </w:r>
      <w:r>
        <w:rPr>
          <w:spacing w:val="-1"/>
        </w:rPr>
        <w:t>a</w:t>
      </w:r>
      <w:r>
        <w:rPr>
          <w:spacing w:val="-2"/>
        </w:rPr>
        <w:t>t</w:t>
      </w:r>
      <w:r>
        <w:t>e</w:t>
      </w:r>
      <w:r>
        <w:rPr>
          <w:spacing w:val="-3"/>
        </w:rPr>
        <w:t>s</w:t>
      </w:r>
      <w:r>
        <w:t>.</w:t>
      </w:r>
    </w:p>
    <w:p w14:paraId="1A066B71" w14:textId="77777777" w:rsidR="00E9602D" w:rsidRPr="00DA1E18" w:rsidRDefault="00E9602D" w:rsidP="00E9602D">
      <w:pPr>
        <w:rPr>
          <w:rStyle w:val="Strong"/>
        </w:rPr>
      </w:pPr>
      <w:r w:rsidRPr="00DA1E18">
        <w:rPr>
          <w:rStyle w:val="Strong"/>
        </w:rPr>
        <w:t>Early adoption of standards</w:t>
      </w:r>
    </w:p>
    <w:p w14:paraId="422EA853" w14:textId="62A92AE5" w:rsidR="00830591" w:rsidRDefault="00E9602D" w:rsidP="00D1362C">
      <w:r>
        <w:rPr>
          <w:spacing w:val="-2"/>
        </w:rPr>
        <w:t>T</w:t>
      </w:r>
      <w:r>
        <w:t xml:space="preserve">he </w:t>
      </w:r>
      <w:r>
        <w:rPr>
          <w:spacing w:val="-3"/>
        </w:rPr>
        <w:t>A</w:t>
      </w:r>
      <w:r>
        <w:t>uthori</w:t>
      </w:r>
      <w:r>
        <w:rPr>
          <w:spacing w:val="1"/>
        </w:rPr>
        <w:t>t</w:t>
      </w:r>
      <w:r>
        <w:t xml:space="preserve">y cannot early adopt an </w:t>
      </w:r>
      <w:r>
        <w:rPr>
          <w:spacing w:val="-3"/>
        </w:rPr>
        <w:t>A</w:t>
      </w:r>
      <w:r>
        <w:t>ust</w:t>
      </w:r>
      <w:r>
        <w:rPr>
          <w:spacing w:val="-2"/>
        </w:rPr>
        <w:t>r</w:t>
      </w:r>
      <w:r>
        <w:t xml:space="preserve">alian </w:t>
      </w:r>
      <w:r>
        <w:rPr>
          <w:spacing w:val="-3"/>
        </w:rPr>
        <w:t>A</w:t>
      </w:r>
      <w:r>
        <w:rPr>
          <w:spacing w:val="-2"/>
        </w:rPr>
        <w:t>cc</w:t>
      </w:r>
      <w:r>
        <w:t>ou</w:t>
      </w:r>
      <w:r>
        <w:rPr>
          <w:spacing w:val="-1"/>
        </w:rPr>
        <w:t>n</w:t>
      </w:r>
      <w:r>
        <w:t xml:space="preserve">ting </w:t>
      </w:r>
      <w:r>
        <w:rPr>
          <w:spacing w:val="-1"/>
        </w:rPr>
        <w:t>S</w:t>
      </w:r>
      <w:r>
        <w:t>tanda</w:t>
      </w:r>
      <w:r>
        <w:rPr>
          <w:spacing w:val="-3"/>
        </w:rPr>
        <w:t>r</w:t>
      </w:r>
      <w:r>
        <w:t>d unless specifically</w:t>
      </w:r>
      <w:r>
        <w:rPr>
          <w:spacing w:val="-2"/>
        </w:rPr>
        <w:t xml:space="preserve"> </w:t>
      </w:r>
      <w:r>
        <w:t>permit</w:t>
      </w:r>
      <w:r>
        <w:rPr>
          <w:spacing w:val="-2"/>
        </w:rPr>
        <w:t>t</w:t>
      </w:r>
      <w:r>
        <w:t>ed</w:t>
      </w:r>
      <w:r>
        <w:rPr>
          <w:spacing w:val="-1"/>
        </w:rPr>
        <w:t xml:space="preserve"> </w:t>
      </w:r>
      <w:r>
        <w:rPr>
          <w:spacing w:val="-2"/>
        </w:rPr>
        <w:t>b</w:t>
      </w:r>
      <w:r>
        <w:t>y</w:t>
      </w:r>
      <w:r>
        <w:rPr>
          <w:spacing w:val="-10"/>
        </w:rPr>
        <w:t xml:space="preserve"> </w:t>
      </w:r>
      <w:r>
        <w:t>TI</w:t>
      </w:r>
      <w:r>
        <w:rPr>
          <w:spacing w:val="-1"/>
        </w:rPr>
        <w:t xml:space="preserve"> </w:t>
      </w:r>
      <w:r>
        <w:t>1101</w:t>
      </w:r>
      <w:r>
        <w:rPr>
          <w:spacing w:val="-1"/>
        </w:rPr>
        <w:t xml:space="preserve"> </w:t>
      </w:r>
      <w:r w:rsidRPr="00DA1E18">
        <w:rPr>
          <w:rStyle w:val="Emphasis"/>
        </w:rPr>
        <w:t xml:space="preserve">Application of Australian Accounting Standards and Other Pronouncements. </w:t>
      </w:r>
      <w:r>
        <w:rPr>
          <w:spacing w:val="-2"/>
        </w:rPr>
        <w:t>T</w:t>
      </w:r>
      <w:r>
        <w:t>he</w:t>
      </w:r>
      <w:r>
        <w:rPr>
          <w:spacing w:val="-3"/>
        </w:rPr>
        <w:t>r</w:t>
      </w:r>
      <w:r>
        <w:t>e has been no early adoption of a</w:t>
      </w:r>
      <w:r>
        <w:rPr>
          <w:spacing w:val="-3"/>
        </w:rPr>
        <w:t>n</w:t>
      </w:r>
      <w:r>
        <w:t xml:space="preserve">y </w:t>
      </w:r>
      <w:r>
        <w:rPr>
          <w:spacing w:val="-3"/>
        </w:rPr>
        <w:t>A</w:t>
      </w:r>
      <w:r>
        <w:t>ust</w:t>
      </w:r>
      <w:r>
        <w:rPr>
          <w:spacing w:val="-2"/>
        </w:rPr>
        <w:t>r</w:t>
      </w:r>
      <w:r>
        <w:t xml:space="preserve">alian </w:t>
      </w:r>
      <w:r>
        <w:rPr>
          <w:spacing w:val="-3"/>
        </w:rPr>
        <w:t>A</w:t>
      </w:r>
      <w:r>
        <w:rPr>
          <w:spacing w:val="-2"/>
        </w:rPr>
        <w:t>cc</w:t>
      </w:r>
      <w:r>
        <w:t>ou</w:t>
      </w:r>
      <w:r>
        <w:rPr>
          <w:spacing w:val="-1"/>
        </w:rPr>
        <w:t>n</w:t>
      </w:r>
      <w:r>
        <w:t xml:space="preserve">ting </w:t>
      </w:r>
      <w:r>
        <w:rPr>
          <w:spacing w:val="-1"/>
        </w:rPr>
        <w:t>S</w:t>
      </w:r>
      <w:r>
        <w:t>tanda</w:t>
      </w:r>
      <w:r>
        <w:rPr>
          <w:spacing w:val="-3"/>
        </w:rPr>
        <w:t>r</w:t>
      </w:r>
      <w:r>
        <w:t>ds issued or amended (but not ope</w:t>
      </w:r>
      <w:r>
        <w:rPr>
          <w:spacing w:val="-2"/>
        </w:rPr>
        <w:t>r</w:t>
      </w:r>
      <w:r>
        <w:rPr>
          <w:spacing w:val="-1"/>
        </w:rPr>
        <w:t>a</w:t>
      </w:r>
      <w:r>
        <w:t>ti</w:t>
      </w:r>
      <w:r>
        <w:rPr>
          <w:spacing w:val="-3"/>
        </w:rPr>
        <w:t>v</w:t>
      </w:r>
      <w:r>
        <w:t xml:space="preserve">e) </w:t>
      </w:r>
      <w:r>
        <w:rPr>
          <w:spacing w:val="-2"/>
        </w:rPr>
        <w:t>b</w:t>
      </w:r>
      <w:r>
        <w:t xml:space="preserve">y the </w:t>
      </w:r>
      <w:r>
        <w:rPr>
          <w:spacing w:val="-3"/>
        </w:rPr>
        <w:t>A</w:t>
      </w:r>
      <w:r>
        <w:t>uthori</w:t>
      </w:r>
      <w:r>
        <w:rPr>
          <w:spacing w:val="1"/>
        </w:rPr>
        <w:t>t</w:t>
      </w:r>
      <w:r>
        <w:t xml:space="preserve">y </w:t>
      </w:r>
      <w:r>
        <w:rPr>
          <w:spacing w:val="-3"/>
        </w:rPr>
        <w:t>f</w:t>
      </w:r>
      <w:r>
        <w:t xml:space="preserve">or the annual </w:t>
      </w:r>
      <w:r>
        <w:rPr>
          <w:spacing w:val="-3"/>
        </w:rPr>
        <w:t>r</w:t>
      </w:r>
      <w:r>
        <w:t>epo</w:t>
      </w:r>
      <w:r>
        <w:rPr>
          <w:spacing w:val="5"/>
        </w:rPr>
        <w:t>r</w:t>
      </w:r>
      <w:r>
        <w:t>ting period ended 30 June 2015.</w:t>
      </w:r>
    </w:p>
    <w:p w14:paraId="7E8B3DB7" w14:textId="4A35A2E4" w:rsidR="000315DA" w:rsidRPr="000315DA" w:rsidRDefault="000315DA" w:rsidP="00A16123">
      <w:pPr>
        <w:pStyle w:val="Heading2nonumber"/>
        <w:numPr>
          <w:ilvl w:val="0"/>
          <w:numId w:val="15"/>
        </w:numPr>
        <w:rPr>
          <w:color w:val="000000"/>
        </w:rPr>
      </w:pPr>
      <w:bookmarkStart w:id="681" w:name="_Toc430091359"/>
      <w:r>
        <w:rPr>
          <w:spacing w:val="-12"/>
        </w:rPr>
        <w:t>S</w:t>
      </w:r>
      <w:r>
        <w:rPr>
          <w:spacing w:val="-9"/>
        </w:rPr>
        <w:t>u</w:t>
      </w:r>
      <w:r>
        <w:rPr>
          <w:spacing w:val="-7"/>
        </w:rPr>
        <w:t>m</w:t>
      </w:r>
      <w:r>
        <w:t>m</w:t>
      </w:r>
      <w:r>
        <w:rPr>
          <w:spacing w:val="-3"/>
        </w:rPr>
        <w:t>a</w:t>
      </w:r>
      <w:r>
        <w:rPr>
          <w:spacing w:val="4"/>
        </w:rPr>
        <w:t>r</w:t>
      </w:r>
      <w:r>
        <w:t>y</w:t>
      </w:r>
      <w:r>
        <w:rPr>
          <w:spacing w:val="-20"/>
        </w:rPr>
        <w:t xml:space="preserve"> </w:t>
      </w:r>
      <w:r>
        <w:rPr>
          <w:spacing w:val="-6"/>
        </w:rPr>
        <w:t>o</w:t>
      </w:r>
      <w:r>
        <w:t>f</w:t>
      </w:r>
      <w:r>
        <w:rPr>
          <w:spacing w:val="-20"/>
        </w:rPr>
        <w:t xml:space="preserve"> </w:t>
      </w:r>
      <w:r>
        <w:rPr>
          <w:spacing w:val="-6"/>
        </w:rPr>
        <w:t>s</w:t>
      </w:r>
      <w:r>
        <w:t>ig</w:t>
      </w:r>
      <w:r>
        <w:rPr>
          <w:spacing w:val="-5"/>
        </w:rPr>
        <w:t>n</w:t>
      </w:r>
      <w:r>
        <w:rPr>
          <w:spacing w:val="2"/>
        </w:rPr>
        <w:t>i</w:t>
      </w:r>
      <w:r>
        <w:t>f</w:t>
      </w:r>
      <w:r>
        <w:rPr>
          <w:spacing w:val="-7"/>
        </w:rPr>
        <w:t>i</w:t>
      </w:r>
      <w:r>
        <w:rPr>
          <w:spacing w:val="-18"/>
        </w:rPr>
        <w:t>c</w:t>
      </w:r>
      <w:r>
        <w:t>ant</w:t>
      </w:r>
      <w:r>
        <w:rPr>
          <w:spacing w:val="-20"/>
        </w:rPr>
        <w:t xml:space="preserve"> </w:t>
      </w:r>
      <w:r>
        <w:rPr>
          <w:spacing w:val="-9"/>
        </w:rPr>
        <w:t>a</w:t>
      </w:r>
      <w:r>
        <w:rPr>
          <w:spacing w:val="-19"/>
        </w:rPr>
        <w:t>cc</w:t>
      </w:r>
      <w:r>
        <w:rPr>
          <w:spacing w:val="-11"/>
        </w:rPr>
        <w:t>o</w:t>
      </w:r>
      <w:r>
        <w:rPr>
          <w:spacing w:val="-9"/>
        </w:rPr>
        <w:t>u</w:t>
      </w:r>
      <w:r>
        <w:t>n</w:t>
      </w:r>
      <w:r>
        <w:rPr>
          <w:spacing w:val="-4"/>
        </w:rPr>
        <w:t>t</w:t>
      </w:r>
      <w:r>
        <w:rPr>
          <w:spacing w:val="-6"/>
        </w:rPr>
        <w:t>i</w:t>
      </w:r>
      <w:r>
        <w:rPr>
          <w:spacing w:val="-9"/>
        </w:rPr>
        <w:t>n</w:t>
      </w:r>
      <w:r>
        <w:t>g</w:t>
      </w:r>
      <w:r>
        <w:rPr>
          <w:spacing w:val="-20"/>
        </w:rPr>
        <w:t xml:space="preserve"> </w:t>
      </w:r>
      <w:r>
        <w:rPr>
          <w:spacing w:val="-9"/>
        </w:rPr>
        <w:t>p</w:t>
      </w:r>
      <w:r>
        <w:rPr>
          <w:spacing w:val="-6"/>
        </w:rPr>
        <w:t>o</w:t>
      </w:r>
      <w:r>
        <w:rPr>
          <w:spacing w:val="-3"/>
        </w:rPr>
        <w:t>l</w:t>
      </w:r>
      <w:r>
        <w:rPr>
          <w:spacing w:val="-7"/>
        </w:rPr>
        <w:t>i</w:t>
      </w:r>
      <w:r>
        <w:rPr>
          <w:spacing w:val="-14"/>
        </w:rPr>
        <w:t>c</w:t>
      </w:r>
      <w:r>
        <w:t>i</w:t>
      </w:r>
      <w:r>
        <w:rPr>
          <w:spacing w:val="-12"/>
        </w:rPr>
        <w:t>e</w:t>
      </w:r>
      <w:r>
        <w:t>s</w:t>
      </w:r>
      <w:bookmarkEnd w:id="681"/>
    </w:p>
    <w:p w14:paraId="3ECB98D5" w14:textId="0226946F" w:rsidR="000315DA" w:rsidRPr="00DA1E18" w:rsidRDefault="000315DA" w:rsidP="000315DA">
      <w:pPr>
        <w:rPr>
          <w:rStyle w:val="Strong"/>
        </w:rPr>
      </w:pPr>
      <w:r w:rsidRPr="00DA1E18">
        <w:rPr>
          <w:rStyle w:val="Strong"/>
        </w:rPr>
        <w:t>(a) General statement</w:t>
      </w:r>
    </w:p>
    <w:p w14:paraId="5EB0F738" w14:textId="550FB10D" w:rsidR="000315DA" w:rsidRPr="000315DA" w:rsidRDefault="000315DA" w:rsidP="000315DA">
      <w:pPr>
        <w:rPr>
          <w:color w:val="000000"/>
        </w:rPr>
      </w:pPr>
      <w:r>
        <w:rPr>
          <w:spacing w:val="-2"/>
        </w:rPr>
        <w:t>T</w:t>
      </w:r>
      <w:r>
        <w:t>he</w:t>
      </w:r>
      <w:r>
        <w:rPr>
          <w:spacing w:val="-1"/>
        </w:rPr>
        <w:t xml:space="preserve"> </w:t>
      </w:r>
      <w:r>
        <w:rPr>
          <w:spacing w:val="-3"/>
        </w:rPr>
        <w:t>A</w:t>
      </w:r>
      <w:r>
        <w:t>uthori</w:t>
      </w:r>
      <w:r>
        <w:rPr>
          <w:spacing w:val="1"/>
        </w:rPr>
        <w:t>t</w:t>
      </w:r>
      <w:r>
        <w:t>y is a</w:t>
      </w:r>
      <w:r>
        <w:rPr>
          <w:spacing w:val="-1"/>
        </w:rPr>
        <w:t xml:space="preserve"> </w:t>
      </w:r>
      <w:r>
        <w:t>no</w:t>
      </w:r>
      <w:r>
        <w:rPr>
          <w:spacing w:val="-2"/>
        </w:rPr>
        <w:t>t</w:t>
      </w:r>
      <w:r>
        <w:t>-</w:t>
      </w:r>
      <w:r>
        <w:rPr>
          <w:spacing w:val="-3"/>
        </w:rPr>
        <w:t>f</w:t>
      </w:r>
      <w:r>
        <w:t>o</w:t>
      </w:r>
      <w:r>
        <w:rPr>
          <w:spacing w:val="-2"/>
        </w:rPr>
        <w:t>r</w:t>
      </w:r>
      <w:r>
        <w:t>-p</w:t>
      </w:r>
      <w:r>
        <w:rPr>
          <w:spacing w:val="-3"/>
        </w:rPr>
        <w:t>r</w:t>
      </w:r>
      <w:r>
        <w:t xml:space="preserve">ofit </w:t>
      </w:r>
      <w:r>
        <w:rPr>
          <w:spacing w:val="-3"/>
        </w:rPr>
        <w:t>r</w:t>
      </w:r>
      <w:r>
        <w:t>epo</w:t>
      </w:r>
      <w:r>
        <w:rPr>
          <w:spacing w:val="5"/>
        </w:rPr>
        <w:t>r</w:t>
      </w:r>
      <w:r>
        <w:t>ting e</w:t>
      </w:r>
      <w:r>
        <w:rPr>
          <w:spacing w:val="-1"/>
        </w:rPr>
        <w:t>n</w:t>
      </w:r>
      <w:r>
        <w:t>ti</w:t>
      </w:r>
      <w:r>
        <w:rPr>
          <w:spacing w:val="1"/>
        </w:rPr>
        <w:t>t</w:t>
      </w:r>
      <w:r>
        <w:t>y</w:t>
      </w:r>
      <w:r>
        <w:rPr>
          <w:spacing w:val="-1"/>
        </w:rPr>
        <w:t xml:space="preserve"> </w:t>
      </w:r>
      <w:r>
        <w:t>th</w:t>
      </w:r>
      <w:r>
        <w:rPr>
          <w:spacing w:val="-1"/>
        </w:rPr>
        <w:t>a</w:t>
      </w:r>
      <w:r>
        <w:t>t p</w:t>
      </w:r>
      <w:r>
        <w:rPr>
          <w:spacing w:val="-3"/>
        </w:rPr>
        <w:t>r</w:t>
      </w:r>
      <w:r>
        <w:t>epa</w:t>
      </w:r>
      <w:r>
        <w:rPr>
          <w:spacing w:val="-3"/>
        </w:rPr>
        <w:t>r</w:t>
      </w:r>
      <w:r>
        <w:t>es gene</w:t>
      </w:r>
      <w:r>
        <w:rPr>
          <w:spacing w:val="-2"/>
        </w:rPr>
        <w:t>r</w:t>
      </w:r>
      <w:r>
        <w:t>al</w:t>
      </w:r>
      <w:r>
        <w:rPr>
          <w:spacing w:val="-1"/>
        </w:rPr>
        <w:t xml:space="preserve"> </w:t>
      </w:r>
      <w:r>
        <w:t>purpose financial</w:t>
      </w:r>
      <w:r>
        <w:rPr>
          <w:spacing w:val="-2"/>
        </w:rPr>
        <w:t xml:space="preserve"> </w:t>
      </w:r>
      <w:r>
        <w:t>st</w:t>
      </w:r>
      <w:r>
        <w:rPr>
          <w:spacing w:val="-1"/>
        </w:rPr>
        <w:t>a</w:t>
      </w:r>
      <w:r>
        <w:rPr>
          <w:spacing w:val="-2"/>
        </w:rPr>
        <w:t>t</w:t>
      </w:r>
      <w:r>
        <w:t>eme</w:t>
      </w:r>
      <w:r>
        <w:rPr>
          <w:spacing w:val="-1"/>
        </w:rPr>
        <w:t>n</w:t>
      </w:r>
      <w:r>
        <w:t>ts</w:t>
      </w:r>
      <w:r>
        <w:rPr>
          <w:spacing w:val="-1"/>
        </w:rPr>
        <w:t xml:space="preserve"> </w:t>
      </w:r>
      <w:r>
        <w:t>in</w:t>
      </w:r>
      <w:r>
        <w:rPr>
          <w:spacing w:val="-1"/>
        </w:rPr>
        <w:t xml:space="preserve"> </w:t>
      </w:r>
      <w:r>
        <w:t>a</w:t>
      </w:r>
      <w:r>
        <w:rPr>
          <w:spacing w:val="-2"/>
        </w:rPr>
        <w:t>cc</w:t>
      </w:r>
      <w:r>
        <w:t>o</w:t>
      </w:r>
      <w:r>
        <w:rPr>
          <w:spacing w:val="-3"/>
        </w:rPr>
        <w:t>r</w:t>
      </w:r>
      <w:r>
        <w:t>dan</w:t>
      </w:r>
      <w:r>
        <w:rPr>
          <w:spacing w:val="-2"/>
        </w:rPr>
        <w:t>c</w:t>
      </w:r>
      <w:r>
        <w:t>e</w:t>
      </w:r>
      <w:r>
        <w:rPr>
          <w:spacing w:val="-1"/>
        </w:rPr>
        <w:t xml:space="preserve"> </w:t>
      </w:r>
      <w:r>
        <w:t>with</w:t>
      </w:r>
      <w:r>
        <w:rPr>
          <w:spacing w:val="-1"/>
        </w:rPr>
        <w:t xml:space="preserve"> </w:t>
      </w:r>
      <w:r>
        <w:rPr>
          <w:spacing w:val="-3"/>
        </w:rPr>
        <w:t>A</w:t>
      </w:r>
      <w:r>
        <w:t>ust</w:t>
      </w:r>
      <w:r>
        <w:rPr>
          <w:spacing w:val="-2"/>
        </w:rPr>
        <w:t>r</w:t>
      </w:r>
      <w:r>
        <w:t>alian</w:t>
      </w:r>
      <w:r>
        <w:rPr>
          <w:spacing w:val="-1"/>
        </w:rPr>
        <w:t xml:space="preserve"> </w:t>
      </w:r>
      <w:r>
        <w:rPr>
          <w:spacing w:val="-3"/>
        </w:rPr>
        <w:t>A</w:t>
      </w:r>
      <w:r>
        <w:rPr>
          <w:spacing w:val="-2"/>
        </w:rPr>
        <w:t>cc</w:t>
      </w:r>
      <w:r>
        <w:t>ou</w:t>
      </w:r>
      <w:r>
        <w:rPr>
          <w:spacing w:val="-1"/>
        </w:rPr>
        <w:t>n</w:t>
      </w:r>
      <w:r>
        <w:t>ting</w:t>
      </w:r>
      <w:r>
        <w:rPr>
          <w:spacing w:val="-1"/>
        </w:rPr>
        <w:t xml:space="preserve"> S</w:t>
      </w:r>
      <w:r>
        <w:t>tanda</w:t>
      </w:r>
      <w:r>
        <w:rPr>
          <w:spacing w:val="-3"/>
        </w:rPr>
        <w:t>r</w:t>
      </w:r>
      <w:r>
        <w:t>d</w:t>
      </w:r>
      <w:r>
        <w:rPr>
          <w:spacing w:val="-3"/>
        </w:rPr>
        <w:t>s</w:t>
      </w:r>
      <w:r>
        <w:t>,</w:t>
      </w:r>
      <w:r>
        <w:rPr>
          <w:color w:val="000000"/>
        </w:rPr>
        <w:t xml:space="preserve"> </w:t>
      </w:r>
      <w:r>
        <w:t xml:space="preserve">the </w:t>
      </w:r>
      <w:r>
        <w:rPr>
          <w:spacing w:val="-6"/>
        </w:rPr>
        <w:t>F</w:t>
      </w:r>
      <w:r>
        <w:rPr>
          <w:spacing w:val="-2"/>
        </w:rPr>
        <w:t>r</w:t>
      </w:r>
      <w:r>
        <w:t>ame</w:t>
      </w:r>
      <w:r>
        <w:rPr>
          <w:spacing w:val="-3"/>
        </w:rPr>
        <w:t>w</w:t>
      </w:r>
      <w:r>
        <w:t>or</w:t>
      </w:r>
      <w:r>
        <w:rPr>
          <w:spacing w:val="3"/>
        </w:rPr>
        <w:t>k</w:t>
      </w:r>
      <w:r>
        <w:t xml:space="preserve">, </w:t>
      </w:r>
      <w:r>
        <w:rPr>
          <w:spacing w:val="-1"/>
        </w:rPr>
        <w:t>S</w:t>
      </w:r>
      <w:r>
        <w:t>t</w:t>
      </w:r>
      <w:r>
        <w:rPr>
          <w:spacing w:val="-1"/>
        </w:rPr>
        <w:t>a</w:t>
      </w:r>
      <w:r>
        <w:rPr>
          <w:spacing w:val="-2"/>
        </w:rPr>
        <w:t>t</w:t>
      </w:r>
      <w:r>
        <w:t>eme</w:t>
      </w:r>
      <w:r>
        <w:rPr>
          <w:spacing w:val="-1"/>
        </w:rPr>
        <w:t>n</w:t>
      </w:r>
      <w:r>
        <w:t xml:space="preserve">ts of </w:t>
      </w:r>
      <w:r>
        <w:rPr>
          <w:spacing w:val="-3"/>
        </w:rPr>
        <w:t>A</w:t>
      </w:r>
      <w:r>
        <w:rPr>
          <w:spacing w:val="-2"/>
        </w:rPr>
        <w:t>cc</w:t>
      </w:r>
      <w:r>
        <w:t>ou</w:t>
      </w:r>
      <w:r>
        <w:rPr>
          <w:spacing w:val="-1"/>
        </w:rPr>
        <w:t>n</w:t>
      </w:r>
      <w:r>
        <w:t xml:space="preserve">ting </w:t>
      </w:r>
      <w:r>
        <w:rPr>
          <w:spacing w:val="-3"/>
        </w:rPr>
        <w:t>C</w:t>
      </w:r>
      <w:r>
        <w:t>on</w:t>
      </w:r>
      <w:r>
        <w:rPr>
          <w:spacing w:val="-2"/>
        </w:rPr>
        <w:t>c</w:t>
      </w:r>
      <w:r>
        <w:t>epts and other authorit</w:t>
      </w:r>
      <w:r>
        <w:rPr>
          <w:spacing w:val="-1"/>
        </w:rPr>
        <w:t>a</w:t>
      </w:r>
      <w:r>
        <w:t>ti</w:t>
      </w:r>
      <w:r>
        <w:rPr>
          <w:spacing w:val="-3"/>
        </w:rPr>
        <w:t>v</w:t>
      </w:r>
      <w:r>
        <w:t xml:space="preserve">e </w:t>
      </w:r>
      <w:r w:rsidRPr="000315DA">
        <w:t xml:space="preserve">pronouncements of the AASB as applied by the </w:t>
      </w:r>
      <w:r w:rsidRPr="00DA1E18">
        <w:rPr>
          <w:rStyle w:val="Emphasis"/>
        </w:rPr>
        <w:t>Treasurer's instructions</w:t>
      </w:r>
      <w:r w:rsidRPr="000315DA">
        <w:t xml:space="preserve">. Several of these are modified by the </w:t>
      </w:r>
      <w:r w:rsidRPr="00DA1E18">
        <w:rPr>
          <w:rStyle w:val="Emphasis"/>
        </w:rPr>
        <w:t>Treasurer's instructions</w:t>
      </w:r>
      <w:r w:rsidRPr="000315DA">
        <w:t xml:space="preserve"> to vary application, disclosure, format and wording.</w:t>
      </w:r>
    </w:p>
    <w:p w14:paraId="63DBB442" w14:textId="77777777" w:rsidR="000315DA" w:rsidRDefault="000315DA" w:rsidP="000315DA">
      <w:pPr>
        <w:rPr>
          <w:color w:val="000000"/>
        </w:rPr>
      </w:pPr>
      <w:r>
        <w:rPr>
          <w:i/>
          <w:iCs/>
          <w:spacing w:val="-1"/>
        </w:rPr>
        <w:t>T</w:t>
      </w:r>
      <w:r>
        <w:rPr>
          <w:i/>
          <w:iCs/>
        </w:rPr>
        <w:t xml:space="preserve">he </w:t>
      </w:r>
      <w:r w:rsidRPr="00DA1E18">
        <w:rPr>
          <w:rStyle w:val="Emphasis"/>
        </w:rPr>
        <w:t>Financial Management Act 2006</w:t>
      </w:r>
      <w:r>
        <w:rPr>
          <w:i/>
          <w:iCs/>
        </w:rPr>
        <w:t xml:space="preserve"> </w:t>
      </w:r>
      <w:r>
        <w:t xml:space="preserve">and the </w:t>
      </w:r>
      <w:r w:rsidRPr="00DA1E18">
        <w:rPr>
          <w:rStyle w:val="Emphasis"/>
        </w:rPr>
        <w:t>Treasurer's instructions</w:t>
      </w:r>
      <w:r>
        <w:rPr>
          <w:i/>
          <w:iCs/>
          <w:spacing w:val="6"/>
        </w:rPr>
        <w:t xml:space="preserve"> </w:t>
      </w:r>
      <w:r>
        <w:t>impose le</w:t>
      </w:r>
      <w:r>
        <w:rPr>
          <w:spacing w:val="-2"/>
        </w:rPr>
        <w:t>g</w:t>
      </w:r>
      <w:r>
        <w:t>isl</w:t>
      </w:r>
      <w:r>
        <w:rPr>
          <w:spacing w:val="-1"/>
        </w:rPr>
        <w:t>a</w:t>
      </w:r>
      <w:r>
        <w:t>ti</w:t>
      </w:r>
      <w:r>
        <w:rPr>
          <w:spacing w:val="-3"/>
        </w:rPr>
        <w:t>v</w:t>
      </w:r>
      <w:r>
        <w:t>e</w:t>
      </w:r>
      <w:r>
        <w:rPr>
          <w:spacing w:val="-1"/>
        </w:rPr>
        <w:t xml:space="preserve"> </w:t>
      </w:r>
      <w:r>
        <w:t>p</w:t>
      </w:r>
      <w:r>
        <w:rPr>
          <w:spacing w:val="-3"/>
        </w:rPr>
        <w:t>r</w:t>
      </w:r>
      <w:r>
        <w:rPr>
          <w:spacing w:val="-2"/>
        </w:rPr>
        <w:t>o</w:t>
      </w:r>
      <w:r>
        <w:t>visions</w:t>
      </w:r>
      <w:r>
        <w:rPr>
          <w:spacing w:val="-1"/>
        </w:rPr>
        <w:t xml:space="preserve"> </w:t>
      </w:r>
      <w:r>
        <w:t>th</w:t>
      </w:r>
      <w:r>
        <w:rPr>
          <w:spacing w:val="-1"/>
        </w:rPr>
        <w:t>a</w:t>
      </w:r>
      <w:r>
        <w:t>t</w:t>
      </w:r>
      <w:r>
        <w:rPr>
          <w:spacing w:val="-1"/>
        </w:rPr>
        <w:t xml:space="preserve"> </w:t>
      </w:r>
      <w:r>
        <w:t>g</w:t>
      </w:r>
      <w:r>
        <w:rPr>
          <w:spacing w:val="-2"/>
        </w:rPr>
        <w:t>o</w:t>
      </w:r>
      <w:r>
        <w:rPr>
          <w:spacing w:val="-3"/>
        </w:rPr>
        <w:t>v</w:t>
      </w:r>
      <w:r>
        <w:t>ern</w:t>
      </w:r>
      <w:r>
        <w:rPr>
          <w:spacing w:val="-1"/>
        </w:rPr>
        <w:t xml:space="preserve"> </w:t>
      </w:r>
      <w:r>
        <w:t>the p</w:t>
      </w:r>
      <w:r>
        <w:rPr>
          <w:spacing w:val="-3"/>
        </w:rPr>
        <w:t>r</w:t>
      </w:r>
      <w:r>
        <w:t>epa</w:t>
      </w:r>
      <w:r>
        <w:rPr>
          <w:spacing w:val="-2"/>
        </w:rPr>
        <w:t>r</w:t>
      </w:r>
      <w:r>
        <w:rPr>
          <w:spacing w:val="-1"/>
        </w:rPr>
        <w:t>a</w:t>
      </w:r>
      <w:r>
        <w:t>tion</w:t>
      </w:r>
      <w:r>
        <w:rPr>
          <w:spacing w:val="-1"/>
        </w:rPr>
        <w:t xml:space="preserve"> </w:t>
      </w:r>
      <w:r>
        <w:t>of</w:t>
      </w:r>
      <w:r>
        <w:rPr>
          <w:spacing w:val="-1"/>
        </w:rPr>
        <w:t xml:space="preserve"> </w:t>
      </w:r>
      <w:r>
        <w:t>financial</w:t>
      </w:r>
      <w:r>
        <w:rPr>
          <w:spacing w:val="-1"/>
        </w:rPr>
        <w:t xml:space="preserve"> </w:t>
      </w:r>
      <w:r>
        <w:t>st</w:t>
      </w:r>
      <w:r>
        <w:rPr>
          <w:spacing w:val="-1"/>
        </w:rPr>
        <w:t>a</w:t>
      </w:r>
      <w:r>
        <w:rPr>
          <w:spacing w:val="-2"/>
        </w:rPr>
        <w:t>t</w:t>
      </w:r>
      <w:r>
        <w:t>eme</w:t>
      </w:r>
      <w:r>
        <w:rPr>
          <w:spacing w:val="-1"/>
        </w:rPr>
        <w:t>n</w:t>
      </w:r>
      <w:r>
        <w:t>ts and</w:t>
      </w:r>
      <w:r>
        <w:rPr>
          <w:spacing w:val="-1"/>
        </w:rPr>
        <w:t xml:space="preserve"> </w:t>
      </w:r>
      <w:r>
        <w:t>take p</w:t>
      </w:r>
      <w:r>
        <w:rPr>
          <w:spacing w:val="-3"/>
        </w:rPr>
        <w:t>r</w:t>
      </w:r>
      <w:r>
        <w:t>e</w:t>
      </w:r>
      <w:r>
        <w:rPr>
          <w:spacing w:val="-2"/>
        </w:rPr>
        <w:t>c</w:t>
      </w:r>
      <w:r>
        <w:t>eden</w:t>
      </w:r>
      <w:r>
        <w:rPr>
          <w:spacing w:val="-2"/>
        </w:rPr>
        <w:t>c</w:t>
      </w:r>
      <w:r>
        <w:t xml:space="preserve">e </w:t>
      </w:r>
      <w:r>
        <w:rPr>
          <w:spacing w:val="-2"/>
        </w:rPr>
        <w:t>o</w:t>
      </w:r>
      <w:r>
        <w:rPr>
          <w:spacing w:val="-3"/>
        </w:rPr>
        <w:t>v</w:t>
      </w:r>
      <w:r>
        <w:t xml:space="preserve">er </w:t>
      </w:r>
      <w:r>
        <w:rPr>
          <w:spacing w:val="-3"/>
        </w:rPr>
        <w:t>A</w:t>
      </w:r>
      <w:r>
        <w:t>ust</w:t>
      </w:r>
      <w:r>
        <w:rPr>
          <w:spacing w:val="-2"/>
        </w:rPr>
        <w:t>r</w:t>
      </w:r>
      <w:r>
        <w:t xml:space="preserve">alian </w:t>
      </w:r>
      <w:r>
        <w:rPr>
          <w:spacing w:val="-3"/>
        </w:rPr>
        <w:t>A</w:t>
      </w:r>
      <w:r>
        <w:rPr>
          <w:spacing w:val="-2"/>
        </w:rPr>
        <w:t>cc</w:t>
      </w:r>
      <w:r>
        <w:t>ou</w:t>
      </w:r>
      <w:r>
        <w:rPr>
          <w:spacing w:val="-1"/>
        </w:rPr>
        <w:t>n</w:t>
      </w:r>
      <w:r>
        <w:t xml:space="preserve">ting </w:t>
      </w:r>
      <w:r>
        <w:rPr>
          <w:spacing w:val="-1"/>
        </w:rPr>
        <w:t>S</w:t>
      </w:r>
      <w:r>
        <w:t>tanda</w:t>
      </w:r>
      <w:r>
        <w:rPr>
          <w:spacing w:val="-3"/>
        </w:rPr>
        <w:t>r</w:t>
      </w:r>
      <w:r>
        <w:t>d</w:t>
      </w:r>
      <w:r>
        <w:rPr>
          <w:spacing w:val="-3"/>
        </w:rPr>
        <w:t>s</w:t>
      </w:r>
      <w:r>
        <w:t xml:space="preserve">, the </w:t>
      </w:r>
      <w:r>
        <w:rPr>
          <w:spacing w:val="-6"/>
        </w:rPr>
        <w:t>F</w:t>
      </w:r>
      <w:r>
        <w:rPr>
          <w:spacing w:val="-2"/>
        </w:rPr>
        <w:t>r</w:t>
      </w:r>
      <w:r>
        <w:t>ame</w:t>
      </w:r>
      <w:r>
        <w:rPr>
          <w:spacing w:val="-3"/>
        </w:rPr>
        <w:t>w</w:t>
      </w:r>
      <w:r>
        <w:t>or</w:t>
      </w:r>
      <w:r>
        <w:rPr>
          <w:spacing w:val="3"/>
        </w:rPr>
        <w:t>k</w:t>
      </w:r>
      <w:r>
        <w:t xml:space="preserve">, </w:t>
      </w:r>
      <w:r>
        <w:rPr>
          <w:spacing w:val="-1"/>
        </w:rPr>
        <w:t>S</w:t>
      </w:r>
      <w:r>
        <w:t>t</w:t>
      </w:r>
      <w:r>
        <w:rPr>
          <w:spacing w:val="-1"/>
        </w:rPr>
        <w:t>a</w:t>
      </w:r>
      <w:r>
        <w:rPr>
          <w:spacing w:val="-2"/>
        </w:rPr>
        <w:t>t</w:t>
      </w:r>
      <w:r>
        <w:t>eme</w:t>
      </w:r>
      <w:r>
        <w:rPr>
          <w:spacing w:val="-1"/>
        </w:rPr>
        <w:t>n</w:t>
      </w:r>
      <w:r>
        <w:t xml:space="preserve">ts of </w:t>
      </w:r>
      <w:r>
        <w:rPr>
          <w:spacing w:val="-3"/>
        </w:rPr>
        <w:t>A</w:t>
      </w:r>
      <w:r>
        <w:rPr>
          <w:spacing w:val="-2"/>
        </w:rPr>
        <w:t>cc</w:t>
      </w:r>
      <w:r>
        <w:t>ou</w:t>
      </w:r>
      <w:r>
        <w:rPr>
          <w:spacing w:val="-1"/>
        </w:rPr>
        <w:t>n</w:t>
      </w:r>
      <w:r>
        <w:t xml:space="preserve">ting </w:t>
      </w:r>
      <w:r>
        <w:rPr>
          <w:spacing w:val="-3"/>
        </w:rPr>
        <w:t>C</w:t>
      </w:r>
      <w:r>
        <w:t>on</w:t>
      </w:r>
      <w:r>
        <w:rPr>
          <w:spacing w:val="-2"/>
        </w:rPr>
        <w:t>c</w:t>
      </w:r>
      <w:r>
        <w:t>epts and other authorit</w:t>
      </w:r>
      <w:r>
        <w:rPr>
          <w:spacing w:val="-1"/>
        </w:rPr>
        <w:t>a</w:t>
      </w:r>
      <w:r>
        <w:t>ti</w:t>
      </w:r>
      <w:r>
        <w:rPr>
          <w:spacing w:val="-3"/>
        </w:rPr>
        <w:t>v</w:t>
      </w:r>
      <w:r>
        <w:t>e p</w:t>
      </w:r>
      <w:r>
        <w:rPr>
          <w:spacing w:val="-3"/>
        </w:rPr>
        <w:t>r</w:t>
      </w:r>
      <w:r>
        <w:t>onoun</w:t>
      </w:r>
      <w:r>
        <w:rPr>
          <w:spacing w:val="-2"/>
        </w:rPr>
        <w:t>c</w:t>
      </w:r>
      <w:r>
        <w:t>eme</w:t>
      </w:r>
      <w:r>
        <w:rPr>
          <w:spacing w:val="-1"/>
        </w:rPr>
        <w:t>n</w:t>
      </w:r>
      <w:r>
        <w:t>ts of the AAS</w:t>
      </w:r>
      <w:r>
        <w:rPr>
          <w:spacing w:val="-3"/>
        </w:rPr>
        <w:t>B</w:t>
      </w:r>
      <w:r>
        <w:t>.</w:t>
      </w:r>
    </w:p>
    <w:p w14:paraId="2920726D" w14:textId="23373EC1" w:rsidR="000315DA" w:rsidRPr="00ED6404" w:rsidRDefault="000315DA" w:rsidP="000315DA">
      <w:r>
        <w:rPr>
          <w:spacing w:val="-2"/>
        </w:rPr>
        <w:lastRenderedPageBreak/>
        <w:t>W</w:t>
      </w:r>
      <w:r>
        <w:t>he</w:t>
      </w:r>
      <w:r>
        <w:rPr>
          <w:spacing w:val="-3"/>
        </w:rPr>
        <w:t>r</w:t>
      </w:r>
      <w:r>
        <w:t>e</w:t>
      </w:r>
      <w:r>
        <w:rPr>
          <w:spacing w:val="-2"/>
        </w:rPr>
        <w:t xml:space="preserve"> </w:t>
      </w:r>
      <w:r>
        <w:t>modific</w:t>
      </w:r>
      <w:r>
        <w:rPr>
          <w:spacing w:val="-1"/>
        </w:rPr>
        <w:t>a</w:t>
      </w:r>
      <w:r>
        <w:t>tion</w:t>
      </w:r>
      <w:r>
        <w:rPr>
          <w:spacing w:val="-2"/>
        </w:rPr>
        <w:t xml:space="preserve"> </w:t>
      </w:r>
      <w:r>
        <w:t>is</w:t>
      </w:r>
      <w:r>
        <w:rPr>
          <w:spacing w:val="-2"/>
        </w:rPr>
        <w:t xml:space="preserve"> </w:t>
      </w:r>
      <w:r>
        <w:rPr>
          <w:spacing w:val="-3"/>
        </w:rPr>
        <w:t>r</w:t>
      </w:r>
      <w:r>
        <w:t>equi</w:t>
      </w:r>
      <w:r>
        <w:rPr>
          <w:spacing w:val="-3"/>
        </w:rPr>
        <w:t>r</w:t>
      </w:r>
      <w:r>
        <w:t>ed</w:t>
      </w:r>
      <w:r>
        <w:rPr>
          <w:spacing w:val="-2"/>
        </w:rPr>
        <w:t xml:space="preserve"> </w:t>
      </w:r>
      <w:r>
        <w:t>and</w:t>
      </w:r>
      <w:r>
        <w:rPr>
          <w:spacing w:val="-2"/>
        </w:rPr>
        <w:t xml:space="preserve"> </w:t>
      </w:r>
      <w:r>
        <w:t>has</w:t>
      </w:r>
      <w:r>
        <w:rPr>
          <w:spacing w:val="-2"/>
        </w:rPr>
        <w:t xml:space="preserve"> </w:t>
      </w:r>
      <w:r>
        <w:t>had</w:t>
      </w:r>
      <w:r>
        <w:rPr>
          <w:spacing w:val="-2"/>
        </w:rPr>
        <w:t xml:space="preserve"> </w:t>
      </w:r>
      <w:r>
        <w:t>a</w:t>
      </w:r>
      <w:r>
        <w:rPr>
          <w:spacing w:val="-2"/>
        </w:rPr>
        <w:t xml:space="preserve"> </w:t>
      </w:r>
      <w:r>
        <w:t>m</w:t>
      </w:r>
      <w:r>
        <w:rPr>
          <w:spacing w:val="-1"/>
        </w:rPr>
        <w:t>a</w:t>
      </w:r>
      <w:r>
        <w:rPr>
          <w:spacing w:val="-2"/>
        </w:rPr>
        <w:t>t</w:t>
      </w:r>
      <w:r>
        <w:t>erial</w:t>
      </w:r>
      <w:r>
        <w:rPr>
          <w:spacing w:val="-2"/>
        </w:rPr>
        <w:t xml:space="preserve"> </w:t>
      </w:r>
      <w:r>
        <w:t>or</w:t>
      </w:r>
      <w:r>
        <w:rPr>
          <w:spacing w:val="-2"/>
        </w:rPr>
        <w:t xml:space="preserve"> </w:t>
      </w:r>
      <w:r>
        <w:t>si</w:t>
      </w:r>
      <w:r>
        <w:rPr>
          <w:spacing w:val="-2"/>
        </w:rPr>
        <w:t>g</w:t>
      </w:r>
      <w:r>
        <w:t>nifica</w:t>
      </w:r>
      <w:r>
        <w:rPr>
          <w:spacing w:val="-1"/>
        </w:rPr>
        <w:t>n</w:t>
      </w:r>
      <w:r>
        <w:t>t</w:t>
      </w:r>
      <w:r>
        <w:rPr>
          <w:spacing w:val="-2"/>
        </w:rPr>
        <w:t xml:space="preserve"> </w:t>
      </w:r>
      <w:r>
        <w:t>financial</w:t>
      </w:r>
      <w:r>
        <w:rPr>
          <w:w w:val="99"/>
        </w:rPr>
        <w:t xml:space="preserve"> </w:t>
      </w:r>
      <w:r>
        <w:t>ef</w:t>
      </w:r>
      <w:r>
        <w:rPr>
          <w:spacing w:val="-3"/>
        </w:rPr>
        <w:t>f</w:t>
      </w:r>
      <w:r>
        <w:t>e</w:t>
      </w:r>
      <w:r>
        <w:rPr>
          <w:spacing w:val="2"/>
        </w:rPr>
        <w:t>c</w:t>
      </w:r>
      <w:r>
        <w:t>t</w:t>
      </w:r>
      <w:r>
        <w:rPr>
          <w:spacing w:val="-1"/>
        </w:rPr>
        <w:t xml:space="preserve"> </w:t>
      </w:r>
      <w:r>
        <w:t>upon</w:t>
      </w:r>
      <w:r>
        <w:rPr>
          <w:spacing w:val="-1"/>
        </w:rPr>
        <w:t xml:space="preserve"> </w:t>
      </w:r>
      <w:r>
        <w:t>the</w:t>
      </w:r>
      <w:r>
        <w:rPr>
          <w:spacing w:val="-1"/>
        </w:rPr>
        <w:t xml:space="preserve"> </w:t>
      </w:r>
      <w:r>
        <w:rPr>
          <w:spacing w:val="-3"/>
        </w:rPr>
        <w:t>r</w:t>
      </w:r>
      <w:r>
        <w:t>epo</w:t>
      </w:r>
      <w:r>
        <w:rPr>
          <w:spacing w:val="5"/>
        </w:rPr>
        <w:t>r</w:t>
      </w:r>
      <w:r>
        <w:rPr>
          <w:spacing w:val="-2"/>
        </w:rPr>
        <w:t>t</w:t>
      </w:r>
      <w:r>
        <w:t>ed</w:t>
      </w:r>
      <w:r>
        <w:rPr>
          <w:spacing w:val="-1"/>
        </w:rPr>
        <w:t xml:space="preserve"> </w:t>
      </w:r>
      <w:r>
        <w:rPr>
          <w:spacing w:val="-3"/>
        </w:rPr>
        <w:t>r</w:t>
      </w:r>
      <w:r>
        <w:t>esult</w:t>
      </w:r>
      <w:r>
        <w:rPr>
          <w:spacing w:val="-3"/>
        </w:rPr>
        <w:t>s</w:t>
      </w:r>
      <w:r>
        <w:t>,</w:t>
      </w:r>
      <w:r>
        <w:rPr>
          <w:spacing w:val="-1"/>
        </w:rPr>
        <w:t xml:space="preserve"> </w:t>
      </w:r>
      <w:r>
        <w:t>details</w:t>
      </w:r>
      <w:r>
        <w:rPr>
          <w:spacing w:val="-1"/>
        </w:rPr>
        <w:t xml:space="preserve"> </w:t>
      </w:r>
      <w:r>
        <w:t>of</w:t>
      </w:r>
      <w:r>
        <w:rPr>
          <w:spacing w:val="-1"/>
        </w:rPr>
        <w:t xml:space="preserve"> </w:t>
      </w:r>
      <w:r>
        <w:t>th</w:t>
      </w:r>
      <w:r>
        <w:rPr>
          <w:spacing w:val="-1"/>
        </w:rPr>
        <w:t>a</w:t>
      </w:r>
      <w:r>
        <w:t>t</w:t>
      </w:r>
      <w:r>
        <w:rPr>
          <w:spacing w:val="-1"/>
        </w:rPr>
        <w:t xml:space="preserve"> </w:t>
      </w:r>
      <w:r>
        <w:t>modific</w:t>
      </w:r>
      <w:r>
        <w:rPr>
          <w:spacing w:val="-1"/>
        </w:rPr>
        <w:t>a</w:t>
      </w:r>
      <w:r>
        <w:t>tion</w:t>
      </w:r>
      <w:r>
        <w:rPr>
          <w:spacing w:val="-1"/>
        </w:rPr>
        <w:t xml:space="preserve"> </w:t>
      </w:r>
      <w:r>
        <w:t>and</w:t>
      </w:r>
      <w:r>
        <w:rPr>
          <w:spacing w:val="-1"/>
        </w:rPr>
        <w:t xml:space="preserve"> </w:t>
      </w:r>
      <w:r>
        <w:t>the</w:t>
      </w:r>
      <w:r>
        <w:rPr>
          <w:spacing w:val="-1"/>
        </w:rPr>
        <w:t xml:space="preserve"> </w:t>
      </w:r>
      <w:r>
        <w:rPr>
          <w:spacing w:val="-3"/>
        </w:rPr>
        <w:t>r</w:t>
      </w:r>
      <w:r>
        <w:t>esulting financial</w:t>
      </w:r>
      <w:r>
        <w:rPr>
          <w:spacing w:val="-2"/>
        </w:rPr>
        <w:t xml:space="preserve"> </w:t>
      </w:r>
      <w:r>
        <w:t>ef</w:t>
      </w:r>
      <w:r>
        <w:rPr>
          <w:spacing w:val="-3"/>
        </w:rPr>
        <w:t>f</w:t>
      </w:r>
      <w:r>
        <w:t>e</w:t>
      </w:r>
      <w:r>
        <w:rPr>
          <w:spacing w:val="2"/>
        </w:rPr>
        <w:t>c</w:t>
      </w:r>
      <w:r>
        <w:t>t</w:t>
      </w:r>
      <w:r>
        <w:rPr>
          <w:spacing w:val="-2"/>
        </w:rPr>
        <w:t xml:space="preserve"> </w:t>
      </w:r>
      <w:r>
        <w:t>a</w:t>
      </w:r>
      <w:r>
        <w:rPr>
          <w:spacing w:val="-3"/>
        </w:rPr>
        <w:t>r</w:t>
      </w:r>
      <w:r>
        <w:t>e</w:t>
      </w:r>
      <w:r>
        <w:rPr>
          <w:spacing w:val="-2"/>
        </w:rPr>
        <w:t xml:space="preserve"> </w:t>
      </w:r>
      <w:r>
        <w:t>disclosed</w:t>
      </w:r>
      <w:r>
        <w:rPr>
          <w:spacing w:val="-2"/>
        </w:rPr>
        <w:t xml:space="preserve"> </w:t>
      </w:r>
      <w:r>
        <w:t>in</w:t>
      </w:r>
      <w:r>
        <w:rPr>
          <w:spacing w:val="-1"/>
        </w:rPr>
        <w:t xml:space="preserve"> </w:t>
      </w:r>
      <w:r>
        <w:t>the</w:t>
      </w:r>
      <w:r>
        <w:rPr>
          <w:spacing w:val="-2"/>
        </w:rPr>
        <w:t xml:space="preserve"> </w:t>
      </w:r>
      <w:r>
        <w:t>no</w:t>
      </w:r>
      <w:r>
        <w:rPr>
          <w:spacing w:val="-2"/>
        </w:rPr>
        <w:t>t</w:t>
      </w:r>
      <w:r>
        <w:t>es</w:t>
      </w:r>
      <w:r>
        <w:rPr>
          <w:spacing w:val="-2"/>
        </w:rPr>
        <w:t xml:space="preserve"> t</w:t>
      </w:r>
      <w:r>
        <w:t>o</w:t>
      </w:r>
      <w:r>
        <w:rPr>
          <w:spacing w:val="-2"/>
        </w:rPr>
        <w:t xml:space="preserve"> </w:t>
      </w:r>
      <w:r>
        <w:t>the</w:t>
      </w:r>
      <w:r>
        <w:rPr>
          <w:spacing w:val="-2"/>
        </w:rPr>
        <w:t xml:space="preserve"> </w:t>
      </w:r>
      <w:r>
        <w:t>financial</w:t>
      </w:r>
      <w:r>
        <w:rPr>
          <w:spacing w:val="-1"/>
        </w:rPr>
        <w:t xml:space="preserve"> </w:t>
      </w:r>
      <w:r>
        <w:t>st</w:t>
      </w:r>
      <w:r>
        <w:rPr>
          <w:spacing w:val="-1"/>
        </w:rPr>
        <w:t>a</w:t>
      </w:r>
      <w:r>
        <w:rPr>
          <w:spacing w:val="-2"/>
        </w:rPr>
        <w:t>t</w:t>
      </w:r>
      <w:r>
        <w:t>eme</w:t>
      </w:r>
      <w:r>
        <w:rPr>
          <w:spacing w:val="-1"/>
        </w:rPr>
        <w:t>n</w:t>
      </w:r>
      <w:r>
        <w:t>t</w:t>
      </w:r>
      <w:r>
        <w:rPr>
          <w:spacing w:val="-3"/>
        </w:rPr>
        <w:t>s</w:t>
      </w:r>
      <w:r w:rsidR="00ED6404">
        <w:t>.</w:t>
      </w:r>
    </w:p>
    <w:p w14:paraId="1B6A48A4" w14:textId="683A8536" w:rsidR="00B4390B" w:rsidRPr="00DA1E18" w:rsidRDefault="00B4390B" w:rsidP="00B4390B">
      <w:pPr>
        <w:rPr>
          <w:rStyle w:val="Strong"/>
        </w:rPr>
      </w:pPr>
      <w:r w:rsidRPr="00DA1E18">
        <w:rPr>
          <w:rStyle w:val="Strong"/>
        </w:rPr>
        <w:t>(b) Basis of preparation</w:t>
      </w:r>
    </w:p>
    <w:p w14:paraId="3A83E6CC" w14:textId="77777777" w:rsidR="00B4390B" w:rsidRDefault="00B4390B" w:rsidP="00B4390B">
      <w:pPr>
        <w:rPr>
          <w:color w:val="000000"/>
        </w:rPr>
      </w:pPr>
      <w:r>
        <w:rPr>
          <w:spacing w:val="-2"/>
        </w:rPr>
        <w:t>T</w:t>
      </w:r>
      <w:r>
        <w:t>he</w:t>
      </w:r>
      <w:r>
        <w:rPr>
          <w:spacing w:val="-1"/>
        </w:rPr>
        <w:t xml:space="preserve"> </w:t>
      </w:r>
      <w:r>
        <w:t>financial</w:t>
      </w:r>
      <w:r>
        <w:rPr>
          <w:spacing w:val="-1"/>
        </w:rPr>
        <w:t xml:space="preserve"> </w:t>
      </w:r>
      <w:r>
        <w:t>st</w:t>
      </w:r>
      <w:r>
        <w:rPr>
          <w:spacing w:val="-1"/>
        </w:rPr>
        <w:t>a</w:t>
      </w:r>
      <w:r>
        <w:rPr>
          <w:spacing w:val="-2"/>
        </w:rPr>
        <w:t>t</w:t>
      </w:r>
      <w:r>
        <w:t>eme</w:t>
      </w:r>
      <w:r>
        <w:rPr>
          <w:spacing w:val="-1"/>
        </w:rPr>
        <w:t>n</w:t>
      </w:r>
      <w:r>
        <w:t>ts</w:t>
      </w:r>
      <w:r>
        <w:rPr>
          <w:spacing w:val="-1"/>
        </w:rPr>
        <w:t xml:space="preserve"> </w:t>
      </w:r>
      <w:r>
        <w:t>h</w:t>
      </w:r>
      <w:r>
        <w:rPr>
          <w:spacing w:val="-2"/>
        </w:rPr>
        <w:t>a</w:t>
      </w:r>
      <w:r>
        <w:rPr>
          <w:spacing w:val="-3"/>
        </w:rPr>
        <w:t>v</w:t>
      </w:r>
      <w:r>
        <w:t>e been</w:t>
      </w:r>
      <w:r>
        <w:rPr>
          <w:spacing w:val="-1"/>
        </w:rPr>
        <w:t xml:space="preserve"> </w:t>
      </w:r>
      <w:r>
        <w:t>p</w:t>
      </w:r>
      <w:r>
        <w:rPr>
          <w:spacing w:val="-3"/>
        </w:rPr>
        <w:t>r</w:t>
      </w:r>
      <w:r>
        <w:t>epa</w:t>
      </w:r>
      <w:r>
        <w:rPr>
          <w:spacing w:val="-3"/>
        </w:rPr>
        <w:t>r</w:t>
      </w:r>
      <w:r>
        <w:t>ed</w:t>
      </w:r>
      <w:r>
        <w:rPr>
          <w:spacing w:val="-1"/>
        </w:rPr>
        <w:t xml:space="preserve"> </w:t>
      </w:r>
      <w:r>
        <w:t>on the</w:t>
      </w:r>
      <w:r>
        <w:rPr>
          <w:spacing w:val="-1"/>
        </w:rPr>
        <w:t xml:space="preserve"> </w:t>
      </w:r>
      <w:r>
        <w:t>a</w:t>
      </w:r>
      <w:r>
        <w:rPr>
          <w:spacing w:val="-2"/>
        </w:rPr>
        <w:t>c</w:t>
      </w:r>
      <w:r>
        <w:t>crual</w:t>
      </w:r>
      <w:r>
        <w:rPr>
          <w:spacing w:val="-1"/>
        </w:rPr>
        <w:t xml:space="preserve"> </w:t>
      </w:r>
      <w:r>
        <w:t>basis</w:t>
      </w:r>
      <w:r>
        <w:rPr>
          <w:spacing w:val="-1"/>
        </w:rPr>
        <w:t xml:space="preserve"> </w:t>
      </w:r>
      <w:r>
        <w:t>of a</w:t>
      </w:r>
      <w:r>
        <w:rPr>
          <w:spacing w:val="-2"/>
        </w:rPr>
        <w:t>cc</w:t>
      </w:r>
      <w:r>
        <w:t>ou</w:t>
      </w:r>
      <w:r>
        <w:rPr>
          <w:spacing w:val="-1"/>
        </w:rPr>
        <w:t>n</w:t>
      </w:r>
      <w:r>
        <w:t>ting using the his</w:t>
      </w:r>
      <w:r>
        <w:rPr>
          <w:spacing w:val="-2"/>
        </w:rPr>
        <w:t>t</w:t>
      </w:r>
      <w:r>
        <w:t xml:space="preserve">orical </w:t>
      </w:r>
      <w:r>
        <w:rPr>
          <w:spacing w:val="-2"/>
        </w:rPr>
        <w:t>c</w:t>
      </w:r>
      <w:r>
        <w:t xml:space="preserve">ost </w:t>
      </w:r>
      <w:r>
        <w:rPr>
          <w:spacing w:val="-2"/>
        </w:rPr>
        <w:t>c</w:t>
      </w:r>
      <w:r>
        <w:t>o</w:t>
      </w:r>
      <w:r>
        <w:rPr>
          <w:spacing w:val="-3"/>
        </w:rPr>
        <w:t>nv</w:t>
      </w:r>
      <w:r>
        <w:t>e</w:t>
      </w:r>
      <w:r>
        <w:rPr>
          <w:spacing w:val="-1"/>
        </w:rPr>
        <w:t>n</w:t>
      </w:r>
      <w:r>
        <w:t xml:space="preserve">tion, </w:t>
      </w:r>
      <w:r>
        <w:rPr>
          <w:spacing w:val="-1"/>
        </w:rPr>
        <w:t>e</w:t>
      </w:r>
      <w:r>
        <w:rPr>
          <w:spacing w:val="-4"/>
        </w:rPr>
        <w:t>x</w:t>
      </w:r>
      <w:r>
        <w:rPr>
          <w:spacing w:val="-2"/>
        </w:rPr>
        <w:t>c</w:t>
      </w:r>
      <w:r>
        <w:t xml:space="preserve">ept </w:t>
      </w:r>
      <w:r>
        <w:rPr>
          <w:spacing w:val="-3"/>
        </w:rPr>
        <w:t>f</w:t>
      </w:r>
      <w:r>
        <w:t>or land and buildings which h</w:t>
      </w:r>
      <w:r>
        <w:rPr>
          <w:spacing w:val="-2"/>
        </w:rPr>
        <w:t>a</w:t>
      </w:r>
      <w:r>
        <w:rPr>
          <w:spacing w:val="-3"/>
        </w:rPr>
        <w:t>v</w:t>
      </w:r>
      <w:r>
        <w:t>e been measu</w:t>
      </w:r>
      <w:r>
        <w:rPr>
          <w:spacing w:val="-3"/>
        </w:rPr>
        <w:t>r</w:t>
      </w:r>
      <w:r>
        <w:t xml:space="preserve">ed </w:t>
      </w:r>
      <w:r>
        <w:rPr>
          <w:spacing w:val="-1"/>
        </w:rPr>
        <w:t>a</w:t>
      </w:r>
      <w:r>
        <w:t xml:space="preserve">t fair </w:t>
      </w:r>
      <w:r>
        <w:rPr>
          <w:spacing w:val="-1"/>
        </w:rPr>
        <w:t>v</w:t>
      </w:r>
      <w:r>
        <w:t>alu</w:t>
      </w:r>
      <w:r>
        <w:rPr>
          <w:spacing w:val="-3"/>
        </w:rPr>
        <w:t>e</w:t>
      </w:r>
      <w:r>
        <w:t>.</w:t>
      </w:r>
    </w:p>
    <w:p w14:paraId="54627D0C" w14:textId="77777777" w:rsidR="00B4390B" w:rsidRDefault="00B4390B" w:rsidP="00B4390B">
      <w:pPr>
        <w:rPr>
          <w:color w:val="000000"/>
        </w:rPr>
      </w:pPr>
      <w:r>
        <w:rPr>
          <w:spacing w:val="-2"/>
        </w:rPr>
        <w:t>T</w:t>
      </w:r>
      <w:r>
        <w:t>he</w:t>
      </w:r>
      <w:r>
        <w:rPr>
          <w:spacing w:val="-1"/>
        </w:rPr>
        <w:t xml:space="preserve"> </w:t>
      </w:r>
      <w:r>
        <w:t>a</w:t>
      </w:r>
      <w:r>
        <w:rPr>
          <w:spacing w:val="-2"/>
        </w:rPr>
        <w:t>cc</w:t>
      </w:r>
      <w:r>
        <w:t>ou</w:t>
      </w:r>
      <w:r>
        <w:rPr>
          <w:spacing w:val="-1"/>
        </w:rPr>
        <w:t>n</w:t>
      </w:r>
      <w:r>
        <w:t>ting</w:t>
      </w:r>
      <w:r>
        <w:rPr>
          <w:spacing w:val="-1"/>
        </w:rPr>
        <w:t xml:space="preserve"> </w:t>
      </w:r>
      <w:r>
        <w:t>policies</w:t>
      </w:r>
      <w:r>
        <w:rPr>
          <w:spacing w:val="-1"/>
        </w:rPr>
        <w:t xml:space="preserve"> </w:t>
      </w:r>
      <w:r>
        <w:t>adop</w:t>
      </w:r>
      <w:r>
        <w:rPr>
          <w:spacing w:val="-2"/>
        </w:rPr>
        <w:t>t</w:t>
      </w:r>
      <w:r>
        <w:t>ed</w:t>
      </w:r>
      <w:r>
        <w:rPr>
          <w:spacing w:val="-1"/>
        </w:rPr>
        <w:t xml:space="preserve"> </w:t>
      </w:r>
      <w:r>
        <w:t>in the</w:t>
      </w:r>
      <w:r>
        <w:rPr>
          <w:spacing w:val="-1"/>
        </w:rPr>
        <w:t xml:space="preserve"> </w:t>
      </w:r>
      <w:r>
        <w:t>p</w:t>
      </w:r>
      <w:r>
        <w:rPr>
          <w:spacing w:val="-3"/>
        </w:rPr>
        <w:t>r</w:t>
      </w:r>
      <w:r>
        <w:t>epa</w:t>
      </w:r>
      <w:r>
        <w:rPr>
          <w:spacing w:val="-2"/>
        </w:rPr>
        <w:t>r</w:t>
      </w:r>
      <w:r>
        <w:rPr>
          <w:spacing w:val="-1"/>
        </w:rPr>
        <w:t>a</w:t>
      </w:r>
      <w:r>
        <w:t>tion</w:t>
      </w:r>
      <w:r>
        <w:rPr>
          <w:spacing w:val="-1"/>
        </w:rPr>
        <w:t xml:space="preserve"> </w:t>
      </w:r>
      <w:r>
        <w:t>of</w:t>
      </w:r>
      <w:r>
        <w:rPr>
          <w:spacing w:val="-1"/>
        </w:rPr>
        <w:t xml:space="preserve"> </w:t>
      </w:r>
      <w:r>
        <w:t>the financial</w:t>
      </w:r>
      <w:r>
        <w:rPr>
          <w:spacing w:val="-1"/>
        </w:rPr>
        <w:t xml:space="preserve"> </w:t>
      </w:r>
      <w:r>
        <w:t>st</w:t>
      </w:r>
      <w:r>
        <w:rPr>
          <w:spacing w:val="-1"/>
        </w:rPr>
        <w:t>a</w:t>
      </w:r>
      <w:r>
        <w:rPr>
          <w:spacing w:val="-2"/>
        </w:rPr>
        <w:t>t</w:t>
      </w:r>
      <w:r>
        <w:t>eme</w:t>
      </w:r>
      <w:r>
        <w:rPr>
          <w:spacing w:val="-1"/>
        </w:rPr>
        <w:t>n</w:t>
      </w:r>
      <w:r>
        <w:t>ts h</w:t>
      </w:r>
      <w:r>
        <w:rPr>
          <w:spacing w:val="-2"/>
        </w:rPr>
        <w:t>a</w:t>
      </w:r>
      <w:r>
        <w:rPr>
          <w:spacing w:val="-3"/>
        </w:rPr>
        <w:t>v</w:t>
      </w:r>
      <w:r>
        <w:t xml:space="preserve">e been </w:t>
      </w:r>
      <w:r>
        <w:rPr>
          <w:spacing w:val="-2"/>
        </w:rPr>
        <w:t>c</w:t>
      </w:r>
      <w:r>
        <w:t>onsis</w:t>
      </w:r>
      <w:r>
        <w:rPr>
          <w:spacing w:val="-2"/>
        </w:rPr>
        <w:t>t</w:t>
      </w:r>
      <w:r>
        <w:t>e</w:t>
      </w:r>
      <w:r>
        <w:rPr>
          <w:spacing w:val="-1"/>
        </w:rPr>
        <w:t>n</w:t>
      </w:r>
      <w:r>
        <w:t>tly applied th</w:t>
      </w:r>
      <w:r>
        <w:rPr>
          <w:spacing w:val="-3"/>
        </w:rPr>
        <w:t>r</w:t>
      </w:r>
      <w:r>
        <w:t>oughout all periods p</w:t>
      </w:r>
      <w:r>
        <w:rPr>
          <w:spacing w:val="-3"/>
        </w:rPr>
        <w:t>r</w:t>
      </w:r>
      <w:r>
        <w:t>ese</w:t>
      </w:r>
      <w:r>
        <w:rPr>
          <w:spacing w:val="-1"/>
        </w:rPr>
        <w:t>n</w:t>
      </w:r>
      <w:r>
        <w:rPr>
          <w:spacing w:val="-2"/>
        </w:rPr>
        <w:t>t</w:t>
      </w:r>
      <w:r>
        <w:t>ed unless othe</w:t>
      </w:r>
      <w:r>
        <w:rPr>
          <w:spacing w:val="5"/>
        </w:rPr>
        <w:t>r</w:t>
      </w:r>
      <w:r>
        <w:t>wise st</w:t>
      </w:r>
      <w:r>
        <w:rPr>
          <w:spacing w:val="-1"/>
        </w:rPr>
        <w:t>a</w:t>
      </w:r>
      <w:r>
        <w:rPr>
          <w:spacing w:val="-2"/>
        </w:rPr>
        <w:t>t</w:t>
      </w:r>
      <w:r>
        <w:t>e</w:t>
      </w:r>
      <w:r>
        <w:rPr>
          <w:spacing w:val="-3"/>
        </w:rPr>
        <w:t>d</w:t>
      </w:r>
      <w:r>
        <w:t>.</w:t>
      </w:r>
    </w:p>
    <w:p w14:paraId="5A3A0013" w14:textId="77777777" w:rsidR="00B4390B" w:rsidRDefault="00B4390B" w:rsidP="00B4390B">
      <w:pPr>
        <w:rPr>
          <w:color w:val="000000"/>
        </w:rPr>
      </w:pPr>
      <w:r>
        <w:rPr>
          <w:spacing w:val="-2"/>
        </w:rPr>
        <w:t>T</w:t>
      </w:r>
      <w:r>
        <w:t>he</w:t>
      </w:r>
      <w:r>
        <w:rPr>
          <w:spacing w:val="-1"/>
        </w:rPr>
        <w:t xml:space="preserve"> </w:t>
      </w:r>
      <w:r>
        <w:t>financial</w:t>
      </w:r>
      <w:r>
        <w:rPr>
          <w:spacing w:val="-1"/>
        </w:rPr>
        <w:t xml:space="preserve"> </w:t>
      </w:r>
      <w:r>
        <w:t>st</w:t>
      </w:r>
      <w:r>
        <w:rPr>
          <w:spacing w:val="-1"/>
        </w:rPr>
        <w:t>a</w:t>
      </w:r>
      <w:r>
        <w:rPr>
          <w:spacing w:val="-2"/>
        </w:rPr>
        <w:t>t</w:t>
      </w:r>
      <w:r>
        <w:t>eme</w:t>
      </w:r>
      <w:r>
        <w:rPr>
          <w:spacing w:val="-1"/>
        </w:rPr>
        <w:t>n</w:t>
      </w:r>
      <w:r>
        <w:t>ts</w:t>
      </w:r>
      <w:r>
        <w:rPr>
          <w:spacing w:val="-1"/>
        </w:rPr>
        <w:t xml:space="preserve"> </w:t>
      </w:r>
      <w:r>
        <w:t>a</w:t>
      </w:r>
      <w:r>
        <w:rPr>
          <w:spacing w:val="-3"/>
        </w:rPr>
        <w:t>r</w:t>
      </w:r>
      <w:r>
        <w:t>e p</w:t>
      </w:r>
      <w:r>
        <w:rPr>
          <w:spacing w:val="-3"/>
        </w:rPr>
        <w:t>r</w:t>
      </w:r>
      <w:r>
        <w:t>ese</w:t>
      </w:r>
      <w:r>
        <w:rPr>
          <w:spacing w:val="-1"/>
        </w:rPr>
        <w:t>n</w:t>
      </w:r>
      <w:r>
        <w:rPr>
          <w:spacing w:val="-2"/>
        </w:rPr>
        <w:t>t</w:t>
      </w:r>
      <w:r>
        <w:t>ed</w:t>
      </w:r>
      <w:r>
        <w:rPr>
          <w:spacing w:val="-1"/>
        </w:rPr>
        <w:t xml:space="preserve"> </w:t>
      </w:r>
      <w:r>
        <w:t>in</w:t>
      </w:r>
      <w:r>
        <w:rPr>
          <w:spacing w:val="-1"/>
        </w:rPr>
        <w:t xml:space="preserve"> </w:t>
      </w:r>
      <w:r>
        <w:rPr>
          <w:spacing w:val="-3"/>
        </w:rPr>
        <w:t>A</w:t>
      </w:r>
      <w:r>
        <w:t>ust</w:t>
      </w:r>
      <w:r>
        <w:rPr>
          <w:spacing w:val="-2"/>
        </w:rPr>
        <w:t>r</w:t>
      </w:r>
      <w:r>
        <w:t>alian dollars</w:t>
      </w:r>
      <w:r>
        <w:rPr>
          <w:spacing w:val="-1"/>
        </w:rPr>
        <w:t xml:space="preserve"> </w:t>
      </w:r>
      <w:r>
        <w:t>and</w:t>
      </w:r>
      <w:r>
        <w:rPr>
          <w:spacing w:val="-1"/>
        </w:rPr>
        <w:t xml:space="preserve"> </w:t>
      </w:r>
      <w:r>
        <w:t>all</w:t>
      </w:r>
      <w:r>
        <w:rPr>
          <w:spacing w:val="-1"/>
        </w:rPr>
        <w:t xml:space="preserve"> v</w:t>
      </w:r>
      <w:r>
        <w:t>alues a</w:t>
      </w:r>
      <w:r>
        <w:rPr>
          <w:spacing w:val="-3"/>
        </w:rPr>
        <w:t>r</w:t>
      </w:r>
      <w:r>
        <w:t xml:space="preserve">e </w:t>
      </w:r>
      <w:r>
        <w:rPr>
          <w:spacing w:val="-3"/>
        </w:rPr>
        <w:t>r</w:t>
      </w:r>
      <w:r>
        <w:t xml:space="preserve">ounded </w:t>
      </w:r>
      <w:r>
        <w:rPr>
          <w:spacing w:val="-2"/>
        </w:rPr>
        <w:t>t</w:t>
      </w:r>
      <w:r>
        <w:t>o the nea</w:t>
      </w:r>
      <w:r>
        <w:rPr>
          <w:spacing w:val="-3"/>
        </w:rPr>
        <w:t>r</w:t>
      </w:r>
      <w:r>
        <w:t>est thousand dollars ($’000).</w:t>
      </w:r>
    </w:p>
    <w:p w14:paraId="6CD60013" w14:textId="77777777" w:rsidR="00B4390B" w:rsidRDefault="00B4390B" w:rsidP="00B4390B">
      <w:pPr>
        <w:rPr>
          <w:color w:val="000000"/>
        </w:rPr>
      </w:pPr>
      <w:r>
        <w:t>No</w:t>
      </w:r>
      <w:r>
        <w:rPr>
          <w:spacing w:val="-2"/>
        </w:rPr>
        <w:t>t</w:t>
      </w:r>
      <w:r>
        <w:t>e 4</w:t>
      </w:r>
      <w:r>
        <w:rPr>
          <w:spacing w:val="-19"/>
        </w:rPr>
        <w:t xml:space="preserve"> </w:t>
      </w:r>
      <w:r>
        <w:rPr>
          <w:spacing w:val="-18"/>
        </w:rPr>
        <w:t>‘</w:t>
      </w:r>
      <w:r>
        <w:t>Judgeme</w:t>
      </w:r>
      <w:r>
        <w:rPr>
          <w:spacing w:val="-1"/>
        </w:rPr>
        <w:t>n</w:t>
      </w:r>
      <w:r>
        <w:t xml:space="preserve">ts made </w:t>
      </w:r>
      <w:r>
        <w:rPr>
          <w:spacing w:val="-2"/>
        </w:rPr>
        <w:t>b</w:t>
      </w:r>
      <w:r>
        <w:t>y manageme</w:t>
      </w:r>
      <w:r>
        <w:rPr>
          <w:spacing w:val="-1"/>
        </w:rPr>
        <w:t>n</w:t>
      </w:r>
      <w:r>
        <w:t>t in applying a</w:t>
      </w:r>
      <w:r>
        <w:rPr>
          <w:spacing w:val="-2"/>
        </w:rPr>
        <w:t>cc</w:t>
      </w:r>
      <w:r>
        <w:t>ou</w:t>
      </w:r>
      <w:r>
        <w:rPr>
          <w:spacing w:val="-1"/>
        </w:rPr>
        <w:t>n</w:t>
      </w:r>
      <w:r>
        <w:t>ting policie</w:t>
      </w:r>
      <w:r>
        <w:rPr>
          <w:spacing w:val="-4"/>
        </w:rPr>
        <w:t>s</w:t>
      </w:r>
      <w:r>
        <w:t>’ discloses judgeme</w:t>
      </w:r>
      <w:r>
        <w:rPr>
          <w:spacing w:val="-1"/>
        </w:rPr>
        <w:t>n</w:t>
      </w:r>
      <w:r>
        <w:t>ts th</w:t>
      </w:r>
      <w:r>
        <w:rPr>
          <w:spacing w:val="-1"/>
        </w:rPr>
        <w:t>a</w:t>
      </w:r>
      <w:r>
        <w:t>t h</w:t>
      </w:r>
      <w:r>
        <w:rPr>
          <w:spacing w:val="-2"/>
        </w:rPr>
        <w:t>a</w:t>
      </w:r>
      <w:r>
        <w:rPr>
          <w:spacing w:val="-3"/>
        </w:rPr>
        <w:t>v</w:t>
      </w:r>
      <w:r>
        <w:t>e been made in the p</w:t>
      </w:r>
      <w:r>
        <w:rPr>
          <w:spacing w:val="-3"/>
        </w:rPr>
        <w:t>r</w:t>
      </w:r>
      <w:r>
        <w:t>o</w:t>
      </w:r>
      <w:r>
        <w:rPr>
          <w:spacing w:val="-2"/>
        </w:rPr>
        <w:t>c</w:t>
      </w:r>
      <w:r>
        <w:t xml:space="preserve">ess of applying the </w:t>
      </w:r>
      <w:r>
        <w:rPr>
          <w:spacing w:val="-3"/>
        </w:rPr>
        <w:t>A</w:t>
      </w:r>
      <w:r>
        <w:t>uthori</w:t>
      </w:r>
      <w:r>
        <w:rPr>
          <w:spacing w:val="1"/>
        </w:rPr>
        <w:t>t</w:t>
      </w:r>
      <w:r>
        <w:rPr>
          <w:spacing w:val="6"/>
        </w:rPr>
        <w:t>y</w:t>
      </w:r>
      <w:r>
        <w:rPr>
          <w:spacing w:val="-16"/>
        </w:rPr>
        <w:t>’</w:t>
      </w:r>
      <w:r>
        <w:t>s</w:t>
      </w:r>
      <w:r>
        <w:rPr>
          <w:spacing w:val="-1"/>
        </w:rPr>
        <w:t xml:space="preserve"> </w:t>
      </w:r>
      <w:r>
        <w:t>a</w:t>
      </w:r>
      <w:r>
        <w:rPr>
          <w:spacing w:val="-2"/>
        </w:rPr>
        <w:t>cc</w:t>
      </w:r>
      <w:r>
        <w:t>ou</w:t>
      </w:r>
      <w:r>
        <w:rPr>
          <w:spacing w:val="-1"/>
        </w:rPr>
        <w:t>n</w:t>
      </w:r>
      <w:r>
        <w:t>ting</w:t>
      </w:r>
      <w:r>
        <w:rPr>
          <w:spacing w:val="-1"/>
        </w:rPr>
        <w:t xml:space="preserve"> </w:t>
      </w:r>
      <w:r>
        <w:t>policies</w:t>
      </w:r>
      <w:r>
        <w:rPr>
          <w:spacing w:val="-1"/>
        </w:rPr>
        <w:t xml:space="preserve"> </w:t>
      </w:r>
      <w:r>
        <w:rPr>
          <w:spacing w:val="-3"/>
        </w:rPr>
        <w:t>r</w:t>
      </w:r>
      <w:r>
        <w:t>esulting</w:t>
      </w:r>
      <w:r>
        <w:rPr>
          <w:spacing w:val="-1"/>
        </w:rPr>
        <w:t xml:space="preserve"> </w:t>
      </w:r>
      <w:r>
        <w:t>in</w:t>
      </w:r>
      <w:r>
        <w:rPr>
          <w:spacing w:val="-1"/>
        </w:rPr>
        <w:t xml:space="preserve"> </w:t>
      </w:r>
      <w:r>
        <w:t>the</w:t>
      </w:r>
      <w:r>
        <w:rPr>
          <w:spacing w:val="-1"/>
        </w:rPr>
        <w:t xml:space="preserve"> </w:t>
      </w:r>
      <w:r>
        <w:t>most si</w:t>
      </w:r>
      <w:r>
        <w:rPr>
          <w:spacing w:val="-2"/>
        </w:rPr>
        <w:t>g</w:t>
      </w:r>
      <w:r>
        <w:t>nifica</w:t>
      </w:r>
      <w:r>
        <w:rPr>
          <w:spacing w:val="-1"/>
        </w:rPr>
        <w:t>n</w:t>
      </w:r>
      <w:r>
        <w:t>t</w:t>
      </w:r>
      <w:r>
        <w:rPr>
          <w:spacing w:val="-1"/>
        </w:rPr>
        <w:t xml:space="preserve"> </w:t>
      </w:r>
      <w:r>
        <w:t>ef</w:t>
      </w:r>
      <w:r>
        <w:rPr>
          <w:spacing w:val="-3"/>
        </w:rPr>
        <w:t>f</w:t>
      </w:r>
      <w:r>
        <w:t>e</w:t>
      </w:r>
      <w:r>
        <w:rPr>
          <w:spacing w:val="2"/>
        </w:rPr>
        <w:t>c</w:t>
      </w:r>
      <w:r>
        <w:t>t</w:t>
      </w:r>
      <w:r>
        <w:rPr>
          <w:spacing w:val="-1"/>
        </w:rPr>
        <w:t xml:space="preserve"> </w:t>
      </w:r>
      <w:r>
        <w:t>on</w:t>
      </w:r>
      <w:r>
        <w:rPr>
          <w:spacing w:val="-1"/>
        </w:rPr>
        <w:t xml:space="preserve"> </w:t>
      </w:r>
      <w:r>
        <w:t>amou</w:t>
      </w:r>
      <w:r>
        <w:rPr>
          <w:spacing w:val="-1"/>
        </w:rPr>
        <w:t>n</w:t>
      </w:r>
      <w:r>
        <w:t xml:space="preserve">ts </w:t>
      </w:r>
      <w:r>
        <w:rPr>
          <w:spacing w:val="-3"/>
        </w:rPr>
        <w:t>r</w:t>
      </w:r>
      <w:r>
        <w:t>e</w:t>
      </w:r>
      <w:r>
        <w:rPr>
          <w:spacing w:val="-2"/>
        </w:rPr>
        <w:t>c</w:t>
      </w:r>
      <w:r>
        <w:t>o</w:t>
      </w:r>
      <w:r>
        <w:rPr>
          <w:spacing w:val="-2"/>
        </w:rPr>
        <w:t>g</w:t>
      </w:r>
      <w:r>
        <w:t>nised</w:t>
      </w:r>
      <w:r>
        <w:rPr>
          <w:spacing w:val="-2"/>
        </w:rPr>
        <w:t xml:space="preserve"> </w:t>
      </w:r>
      <w:r>
        <w:t>in</w:t>
      </w:r>
      <w:r>
        <w:rPr>
          <w:spacing w:val="-2"/>
        </w:rPr>
        <w:t xml:space="preserve"> </w:t>
      </w:r>
      <w:r>
        <w:t>the</w:t>
      </w:r>
      <w:r>
        <w:rPr>
          <w:spacing w:val="-2"/>
        </w:rPr>
        <w:t xml:space="preserve"> </w:t>
      </w:r>
      <w:r>
        <w:t>financial</w:t>
      </w:r>
      <w:r>
        <w:rPr>
          <w:spacing w:val="-2"/>
        </w:rPr>
        <w:t xml:space="preserve"> </w:t>
      </w:r>
      <w:r>
        <w:t>st</w:t>
      </w:r>
      <w:r>
        <w:rPr>
          <w:spacing w:val="-1"/>
        </w:rPr>
        <w:t>a</w:t>
      </w:r>
      <w:r>
        <w:rPr>
          <w:spacing w:val="-2"/>
        </w:rPr>
        <w:t>t</w:t>
      </w:r>
      <w:r>
        <w:t>eme</w:t>
      </w:r>
      <w:r>
        <w:rPr>
          <w:spacing w:val="-1"/>
        </w:rPr>
        <w:t>n</w:t>
      </w:r>
      <w:r>
        <w:t>t</w:t>
      </w:r>
      <w:r>
        <w:rPr>
          <w:spacing w:val="-3"/>
        </w:rPr>
        <w:t>s</w:t>
      </w:r>
      <w:r>
        <w:t>.</w:t>
      </w:r>
    </w:p>
    <w:p w14:paraId="38D8978B" w14:textId="77777777" w:rsidR="00B4390B" w:rsidRDefault="00B4390B" w:rsidP="00B4390B">
      <w:pPr>
        <w:rPr>
          <w:color w:val="000000"/>
        </w:rPr>
      </w:pPr>
      <w:r>
        <w:t>No</w:t>
      </w:r>
      <w:r>
        <w:rPr>
          <w:spacing w:val="-2"/>
        </w:rPr>
        <w:t>t</w:t>
      </w:r>
      <w:r>
        <w:t>e 5</w:t>
      </w:r>
      <w:r>
        <w:rPr>
          <w:spacing w:val="-19"/>
        </w:rPr>
        <w:t xml:space="preserve"> </w:t>
      </w:r>
      <w:r>
        <w:t>‘Key sou</w:t>
      </w:r>
      <w:r>
        <w:rPr>
          <w:spacing w:val="-3"/>
        </w:rPr>
        <w:t>r</w:t>
      </w:r>
      <w:r>
        <w:rPr>
          <w:spacing w:val="-2"/>
        </w:rPr>
        <w:t>c</w:t>
      </w:r>
      <w:r>
        <w:t>es of estim</w:t>
      </w:r>
      <w:r>
        <w:rPr>
          <w:spacing w:val="-1"/>
        </w:rPr>
        <w:t>a</w:t>
      </w:r>
      <w:r>
        <w:t>tion un</w:t>
      </w:r>
      <w:r>
        <w:rPr>
          <w:spacing w:val="-2"/>
        </w:rPr>
        <w:t>c</w:t>
      </w:r>
      <w:r>
        <w:t>e</w:t>
      </w:r>
      <w:r>
        <w:rPr>
          <w:spacing w:val="5"/>
        </w:rPr>
        <w:t>r</w:t>
      </w:r>
      <w:r>
        <w:t>tai</w:t>
      </w:r>
      <w:r>
        <w:rPr>
          <w:spacing w:val="-1"/>
        </w:rPr>
        <w:t>n</w:t>
      </w:r>
      <w:r>
        <w:rPr>
          <w:spacing w:val="2"/>
        </w:rPr>
        <w:t>t</w:t>
      </w:r>
      <w:r>
        <w:rPr>
          <w:spacing w:val="6"/>
        </w:rPr>
        <w:t>y</w:t>
      </w:r>
      <w:r>
        <w:t>’</w:t>
      </w:r>
      <w:r>
        <w:rPr>
          <w:spacing w:val="-19"/>
        </w:rPr>
        <w:t xml:space="preserve"> </w:t>
      </w:r>
      <w:r>
        <w:t xml:space="preserve">discloses key assumptions made </w:t>
      </w:r>
      <w:r>
        <w:rPr>
          <w:spacing w:val="-2"/>
        </w:rPr>
        <w:t>c</w:t>
      </w:r>
      <w:r>
        <w:t>on</w:t>
      </w:r>
      <w:r>
        <w:rPr>
          <w:spacing w:val="-2"/>
        </w:rPr>
        <w:t>c</w:t>
      </w:r>
      <w:r>
        <w:t>erning the futu</w:t>
      </w:r>
      <w:r>
        <w:rPr>
          <w:spacing w:val="-3"/>
        </w:rPr>
        <w:t>re</w:t>
      </w:r>
      <w:r>
        <w:t>, and other key sou</w:t>
      </w:r>
      <w:r>
        <w:rPr>
          <w:spacing w:val="-3"/>
        </w:rPr>
        <w:t>r</w:t>
      </w:r>
      <w:r>
        <w:rPr>
          <w:spacing w:val="-2"/>
        </w:rPr>
        <w:t>c</w:t>
      </w:r>
      <w:r>
        <w:t>es of estim</w:t>
      </w:r>
      <w:r>
        <w:rPr>
          <w:spacing w:val="-1"/>
        </w:rPr>
        <w:t>a</w:t>
      </w:r>
      <w:r>
        <w:t>tion un</w:t>
      </w:r>
      <w:r>
        <w:rPr>
          <w:spacing w:val="-2"/>
        </w:rPr>
        <w:t>c</w:t>
      </w:r>
      <w:r>
        <w:t>e</w:t>
      </w:r>
      <w:r>
        <w:rPr>
          <w:spacing w:val="5"/>
        </w:rPr>
        <w:t>r</w:t>
      </w:r>
      <w:r>
        <w:t>tai</w:t>
      </w:r>
      <w:r>
        <w:rPr>
          <w:spacing w:val="-1"/>
        </w:rPr>
        <w:t>n</w:t>
      </w:r>
      <w:r>
        <w:rPr>
          <w:spacing w:val="2"/>
        </w:rPr>
        <w:t>t</w:t>
      </w:r>
      <w:r>
        <w:t xml:space="preserve">y </w:t>
      </w:r>
      <w:r>
        <w:rPr>
          <w:spacing w:val="-1"/>
        </w:rPr>
        <w:t>a</w:t>
      </w:r>
      <w:r>
        <w:t>t the end</w:t>
      </w:r>
      <w:r>
        <w:rPr>
          <w:spacing w:val="-1"/>
        </w:rPr>
        <w:t xml:space="preserve"> </w:t>
      </w:r>
      <w:r>
        <w:t>of the</w:t>
      </w:r>
      <w:r>
        <w:rPr>
          <w:spacing w:val="-1"/>
        </w:rPr>
        <w:t xml:space="preserve"> </w:t>
      </w:r>
      <w:r>
        <w:rPr>
          <w:spacing w:val="-3"/>
        </w:rPr>
        <w:t>r</w:t>
      </w:r>
      <w:r>
        <w:t>epo</w:t>
      </w:r>
      <w:r>
        <w:rPr>
          <w:spacing w:val="5"/>
        </w:rPr>
        <w:t>r</w:t>
      </w:r>
      <w:r>
        <w:t>ting perio</w:t>
      </w:r>
      <w:r>
        <w:rPr>
          <w:spacing w:val="-3"/>
        </w:rPr>
        <w:t>d</w:t>
      </w:r>
      <w:r>
        <w:t>,</w:t>
      </w:r>
      <w:r>
        <w:rPr>
          <w:spacing w:val="-1"/>
        </w:rPr>
        <w:t xml:space="preserve"> </w:t>
      </w:r>
      <w:r>
        <w:t>th</w:t>
      </w:r>
      <w:r>
        <w:rPr>
          <w:spacing w:val="-1"/>
        </w:rPr>
        <w:t>a</w:t>
      </w:r>
      <w:r>
        <w:t>t h</w:t>
      </w:r>
      <w:r>
        <w:rPr>
          <w:spacing w:val="-2"/>
        </w:rPr>
        <w:t>a</w:t>
      </w:r>
      <w:r>
        <w:rPr>
          <w:spacing w:val="-3"/>
        </w:rPr>
        <w:t>v</w:t>
      </w:r>
      <w:r>
        <w:t>e</w:t>
      </w:r>
      <w:r>
        <w:rPr>
          <w:spacing w:val="-1"/>
        </w:rPr>
        <w:t xml:space="preserve"> </w:t>
      </w:r>
      <w:r>
        <w:t>a si</w:t>
      </w:r>
      <w:r>
        <w:rPr>
          <w:spacing w:val="-2"/>
        </w:rPr>
        <w:t>g</w:t>
      </w:r>
      <w:r>
        <w:t>nifica</w:t>
      </w:r>
      <w:r>
        <w:rPr>
          <w:spacing w:val="-1"/>
        </w:rPr>
        <w:t>n</w:t>
      </w:r>
      <w:r>
        <w:t>t</w:t>
      </w:r>
      <w:r>
        <w:rPr>
          <w:spacing w:val="-1"/>
        </w:rPr>
        <w:t xml:space="preserve"> </w:t>
      </w:r>
      <w:r>
        <w:t>risk of</w:t>
      </w:r>
      <w:r>
        <w:rPr>
          <w:spacing w:val="-1"/>
        </w:rPr>
        <w:t xml:space="preserve"> </w:t>
      </w:r>
      <w:r>
        <w:t>causing a</w:t>
      </w:r>
      <w:r>
        <w:rPr>
          <w:spacing w:val="-1"/>
        </w:rPr>
        <w:t xml:space="preserve"> </w:t>
      </w:r>
      <w:r>
        <w:t>m</w:t>
      </w:r>
      <w:r>
        <w:rPr>
          <w:spacing w:val="-1"/>
        </w:rPr>
        <w:t>a</w:t>
      </w:r>
      <w:r>
        <w:rPr>
          <w:spacing w:val="-2"/>
        </w:rPr>
        <w:t>t</w:t>
      </w:r>
      <w:r>
        <w:t>erial adjustme</w:t>
      </w:r>
      <w:r>
        <w:rPr>
          <w:spacing w:val="-1"/>
        </w:rPr>
        <w:t>n</w:t>
      </w:r>
      <w:r>
        <w:t xml:space="preserve">t </w:t>
      </w:r>
      <w:r>
        <w:rPr>
          <w:spacing w:val="-2"/>
        </w:rPr>
        <w:t>t</w:t>
      </w:r>
      <w:r>
        <w:t>o the car</w:t>
      </w:r>
      <w:r>
        <w:rPr>
          <w:spacing w:val="5"/>
        </w:rPr>
        <w:t>r</w:t>
      </w:r>
      <w:r>
        <w:t>ying amou</w:t>
      </w:r>
      <w:r>
        <w:rPr>
          <w:spacing w:val="-1"/>
        </w:rPr>
        <w:t>n</w:t>
      </w:r>
      <w:r>
        <w:t>ts of assets and liabilities within the n</w:t>
      </w:r>
      <w:r>
        <w:rPr>
          <w:spacing w:val="-1"/>
        </w:rPr>
        <w:t>e</w:t>
      </w:r>
      <w:r>
        <w:rPr>
          <w:spacing w:val="2"/>
        </w:rPr>
        <w:t>x</w:t>
      </w:r>
      <w:r>
        <w:t>t financial</w:t>
      </w:r>
      <w:r>
        <w:rPr>
          <w:spacing w:val="-8"/>
        </w:rPr>
        <w:t xml:space="preserve"> </w:t>
      </w:r>
      <w:r>
        <w:rPr>
          <w:spacing w:val="-3"/>
        </w:rPr>
        <w:t>y</w:t>
      </w:r>
      <w:r>
        <w:t>ea</w:t>
      </w:r>
      <w:r>
        <w:rPr>
          <w:spacing w:val="-12"/>
        </w:rPr>
        <w:t>r</w:t>
      </w:r>
      <w:r>
        <w:t>.</w:t>
      </w:r>
    </w:p>
    <w:p w14:paraId="04C1F447" w14:textId="5FDB8395" w:rsidR="00193E91" w:rsidRPr="00DA1E18" w:rsidRDefault="00193E91" w:rsidP="00193E91">
      <w:pPr>
        <w:rPr>
          <w:rStyle w:val="Strong"/>
        </w:rPr>
      </w:pPr>
      <w:r w:rsidRPr="00DA1E18">
        <w:rPr>
          <w:rStyle w:val="Strong"/>
        </w:rPr>
        <w:t>(c) Reporting entity</w:t>
      </w:r>
    </w:p>
    <w:p w14:paraId="61F6E29A" w14:textId="77777777" w:rsidR="00193E91" w:rsidRDefault="00193E91" w:rsidP="00193E91">
      <w:pPr>
        <w:rPr>
          <w:color w:val="000000"/>
        </w:rPr>
      </w:pPr>
      <w:r>
        <w:rPr>
          <w:spacing w:val="-2"/>
        </w:rPr>
        <w:t>T</w:t>
      </w:r>
      <w:r>
        <w:t xml:space="preserve">he </w:t>
      </w:r>
      <w:r>
        <w:rPr>
          <w:spacing w:val="-3"/>
        </w:rPr>
        <w:t>r</w:t>
      </w:r>
      <w:r>
        <w:t>epo</w:t>
      </w:r>
      <w:r>
        <w:rPr>
          <w:spacing w:val="5"/>
        </w:rPr>
        <w:t>r</w:t>
      </w:r>
      <w:r>
        <w:t>ting e</w:t>
      </w:r>
      <w:r>
        <w:rPr>
          <w:spacing w:val="-1"/>
        </w:rPr>
        <w:t>n</w:t>
      </w:r>
      <w:r>
        <w:t>ti</w:t>
      </w:r>
      <w:r>
        <w:rPr>
          <w:spacing w:val="2"/>
        </w:rPr>
        <w:t>t</w:t>
      </w:r>
      <w:r>
        <w:t xml:space="preserve">y </w:t>
      </w:r>
      <w:r>
        <w:rPr>
          <w:spacing w:val="-2"/>
        </w:rPr>
        <w:t>c</w:t>
      </w:r>
      <w:r>
        <w:t>omprises</w:t>
      </w:r>
      <w:r>
        <w:rPr>
          <w:spacing w:val="-8"/>
        </w:rPr>
        <w:t xml:space="preserve"> W</w:t>
      </w:r>
      <w:r>
        <w:t>ork</w:t>
      </w:r>
      <w:r>
        <w:rPr>
          <w:spacing w:val="-3"/>
        </w:rPr>
        <w:t>C</w:t>
      </w:r>
      <w:r>
        <w:rPr>
          <w:spacing w:val="-2"/>
        </w:rPr>
        <w:t>o</w:t>
      </w:r>
      <w:r>
        <w:rPr>
          <w:spacing w:val="-3"/>
        </w:rPr>
        <w:t>v</w:t>
      </w:r>
      <w:r>
        <w:t>er</w:t>
      </w:r>
      <w:r>
        <w:rPr>
          <w:spacing w:val="-8"/>
        </w:rPr>
        <w:t xml:space="preserve"> W</w:t>
      </w:r>
      <w:r>
        <w:t>es</w:t>
      </w:r>
      <w:r>
        <w:rPr>
          <w:spacing w:val="-2"/>
        </w:rPr>
        <w:t>t</w:t>
      </w:r>
      <w:r>
        <w:t xml:space="preserve">ern </w:t>
      </w:r>
      <w:r>
        <w:rPr>
          <w:spacing w:val="-3"/>
        </w:rPr>
        <w:t>A</w:t>
      </w:r>
      <w:r>
        <w:t>ust</w:t>
      </w:r>
      <w:r>
        <w:rPr>
          <w:spacing w:val="-2"/>
        </w:rPr>
        <w:t>r</w:t>
      </w:r>
      <w:r>
        <w:t xml:space="preserve">alia </w:t>
      </w:r>
      <w:r>
        <w:rPr>
          <w:spacing w:val="-3"/>
        </w:rPr>
        <w:t>A</w:t>
      </w:r>
      <w:r>
        <w:t>uthori</w:t>
      </w:r>
      <w:r>
        <w:rPr>
          <w:spacing w:val="1"/>
        </w:rPr>
        <w:t>t</w:t>
      </w:r>
      <w:r>
        <w:rPr>
          <w:spacing w:val="-9"/>
        </w:rPr>
        <w:t>y</w:t>
      </w:r>
      <w:r>
        <w:t>.</w:t>
      </w:r>
    </w:p>
    <w:p w14:paraId="1A28BAEB" w14:textId="447AF8EE" w:rsidR="00193E91" w:rsidRDefault="00193E91" w:rsidP="00193E91">
      <w:pPr>
        <w:rPr>
          <w:color w:val="000000"/>
        </w:rPr>
      </w:pPr>
      <w:r>
        <w:rPr>
          <w:spacing w:val="-2"/>
        </w:rPr>
        <w:t>T</w:t>
      </w:r>
      <w:r>
        <w:t>he</w:t>
      </w:r>
      <w:r>
        <w:rPr>
          <w:spacing w:val="-2"/>
        </w:rPr>
        <w:t xml:space="preserve"> </w:t>
      </w:r>
      <w:r>
        <w:t>financial</w:t>
      </w:r>
      <w:r>
        <w:rPr>
          <w:spacing w:val="-1"/>
        </w:rPr>
        <w:t xml:space="preserve"> </w:t>
      </w:r>
      <w:r>
        <w:t>st</w:t>
      </w:r>
      <w:r>
        <w:rPr>
          <w:spacing w:val="-1"/>
        </w:rPr>
        <w:t>a</w:t>
      </w:r>
      <w:r>
        <w:rPr>
          <w:spacing w:val="-2"/>
        </w:rPr>
        <w:t>t</w:t>
      </w:r>
      <w:r>
        <w:t>eme</w:t>
      </w:r>
      <w:r>
        <w:rPr>
          <w:spacing w:val="-1"/>
        </w:rPr>
        <w:t>n</w:t>
      </w:r>
      <w:r>
        <w:t>ts</w:t>
      </w:r>
      <w:r>
        <w:rPr>
          <w:spacing w:val="-1"/>
        </w:rPr>
        <w:t xml:space="preserve"> </w:t>
      </w:r>
      <w:r>
        <w:rPr>
          <w:spacing w:val="-3"/>
        </w:rPr>
        <w:t>r</w:t>
      </w:r>
      <w:r>
        <w:t>ep</w:t>
      </w:r>
      <w:r>
        <w:rPr>
          <w:spacing w:val="-3"/>
        </w:rPr>
        <w:t>r</w:t>
      </w:r>
      <w:r>
        <w:t>ese</w:t>
      </w:r>
      <w:r>
        <w:rPr>
          <w:spacing w:val="-1"/>
        </w:rPr>
        <w:t>n</w:t>
      </w:r>
      <w:r>
        <w:t>t</w:t>
      </w:r>
      <w:r>
        <w:rPr>
          <w:spacing w:val="-1"/>
        </w:rPr>
        <w:t xml:space="preserve"> </w:t>
      </w:r>
      <w:r>
        <w:t>t</w:t>
      </w:r>
      <w:r>
        <w:rPr>
          <w:spacing w:val="-2"/>
        </w:rPr>
        <w:t>r</w:t>
      </w:r>
      <w:r>
        <w:t>ansa</w:t>
      </w:r>
      <w:r>
        <w:rPr>
          <w:spacing w:val="2"/>
        </w:rPr>
        <w:t>c</w:t>
      </w:r>
      <w:r>
        <w:t>tions</w:t>
      </w:r>
      <w:r>
        <w:rPr>
          <w:spacing w:val="-1"/>
        </w:rPr>
        <w:t xml:space="preserve"> </w:t>
      </w:r>
      <w:r>
        <w:t>of</w:t>
      </w:r>
      <w:r>
        <w:rPr>
          <w:spacing w:val="-1"/>
        </w:rPr>
        <w:t xml:space="preserve"> </w:t>
      </w:r>
      <w:r>
        <w:t>the</w:t>
      </w:r>
      <w:r>
        <w:rPr>
          <w:spacing w:val="-9"/>
        </w:rPr>
        <w:t xml:space="preserve"> </w:t>
      </w:r>
      <w:r>
        <w:rPr>
          <w:spacing w:val="-8"/>
        </w:rPr>
        <w:t>W</w:t>
      </w:r>
      <w:r>
        <w:t>orker</w:t>
      </w:r>
      <w:r>
        <w:rPr>
          <w:spacing w:val="-4"/>
        </w:rPr>
        <w:t>s</w:t>
      </w:r>
      <w:r>
        <w:t>’</w:t>
      </w:r>
      <w:r>
        <w:rPr>
          <w:spacing w:val="-19"/>
        </w:rPr>
        <w:t xml:space="preserve"> </w:t>
      </w:r>
      <w:r>
        <w:rPr>
          <w:spacing w:val="-3"/>
        </w:rPr>
        <w:t>C</w:t>
      </w:r>
      <w:r>
        <w:t>ompens</w:t>
      </w:r>
      <w:r>
        <w:rPr>
          <w:spacing w:val="-1"/>
        </w:rPr>
        <w:t>a</w:t>
      </w:r>
      <w:r>
        <w:t xml:space="preserve">tion and </w:t>
      </w:r>
      <w:r>
        <w:rPr>
          <w:spacing w:val="2"/>
        </w:rPr>
        <w:t>I</w:t>
      </w:r>
      <w:r>
        <w:t>nju</w:t>
      </w:r>
      <w:r>
        <w:rPr>
          <w:spacing w:val="5"/>
        </w:rPr>
        <w:t>r</w:t>
      </w:r>
      <w:r>
        <w:t xml:space="preserve">y </w:t>
      </w:r>
      <w:r>
        <w:rPr>
          <w:spacing w:val="1"/>
        </w:rPr>
        <w:t>M</w:t>
      </w:r>
      <w:r>
        <w:t>anageme</w:t>
      </w:r>
      <w:r>
        <w:rPr>
          <w:spacing w:val="-1"/>
        </w:rPr>
        <w:t>n</w:t>
      </w:r>
      <w:r>
        <w:t xml:space="preserve">t </w:t>
      </w:r>
      <w:r>
        <w:rPr>
          <w:spacing w:val="1"/>
        </w:rPr>
        <w:t>G</w:t>
      </w:r>
      <w:r>
        <w:t>ene</w:t>
      </w:r>
      <w:r>
        <w:rPr>
          <w:spacing w:val="-2"/>
        </w:rPr>
        <w:t>r</w:t>
      </w:r>
      <w:r>
        <w:t xml:space="preserve">al </w:t>
      </w:r>
      <w:r>
        <w:rPr>
          <w:spacing w:val="-3"/>
        </w:rPr>
        <w:t>A</w:t>
      </w:r>
      <w:r>
        <w:rPr>
          <w:spacing w:val="-2"/>
        </w:rPr>
        <w:t>cc</w:t>
      </w:r>
      <w:r>
        <w:t>ou</w:t>
      </w:r>
      <w:r>
        <w:rPr>
          <w:spacing w:val="-1"/>
        </w:rPr>
        <w:t>n</w:t>
      </w:r>
      <w:r>
        <w:t xml:space="preserve">t established under </w:t>
      </w:r>
      <w:r>
        <w:rPr>
          <w:spacing w:val="1"/>
        </w:rPr>
        <w:t>S</w:t>
      </w:r>
      <w:r>
        <w:t>e</w:t>
      </w:r>
      <w:r>
        <w:rPr>
          <w:spacing w:val="2"/>
        </w:rPr>
        <w:t>c</w:t>
      </w:r>
      <w:r>
        <w:t>tion 106 of the Wor</w:t>
      </w:r>
      <w:r>
        <w:rPr>
          <w:spacing w:val="-4"/>
        </w:rPr>
        <w:t>k</w:t>
      </w:r>
      <w:r>
        <w:t xml:space="preserve">ers' </w:t>
      </w:r>
      <w:r>
        <w:rPr>
          <w:spacing w:val="-2"/>
        </w:rPr>
        <w:t>C</w:t>
      </w:r>
      <w:r>
        <w:t>ompensation and Inju</w:t>
      </w:r>
      <w:r>
        <w:rPr>
          <w:spacing w:val="4"/>
        </w:rPr>
        <w:t>r</w:t>
      </w:r>
      <w:r>
        <w:t xml:space="preserve">y Management </w:t>
      </w:r>
      <w:r>
        <w:rPr>
          <w:spacing w:val="-3"/>
        </w:rPr>
        <w:t>A</w:t>
      </w:r>
      <w:r>
        <w:rPr>
          <w:spacing w:val="1"/>
        </w:rPr>
        <w:t>c</w:t>
      </w:r>
      <w:r>
        <w:t>t 1981, and the Suppleme</w:t>
      </w:r>
      <w:r>
        <w:rPr>
          <w:spacing w:val="-1"/>
        </w:rPr>
        <w:t>n</w:t>
      </w:r>
      <w:r>
        <w:t>t</w:t>
      </w:r>
      <w:r>
        <w:rPr>
          <w:spacing w:val="-1"/>
        </w:rPr>
        <w:t>a</w:t>
      </w:r>
      <w:r>
        <w:t xml:space="preserve">tion </w:t>
      </w:r>
      <w:r>
        <w:rPr>
          <w:spacing w:val="-8"/>
        </w:rPr>
        <w:t>F</w:t>
      </w:r>
      <w:r>
        <w:t xml:space="preserve">und established under </w:t>
      </w:r>
      <w:r>
        <w:rPr>
          <w:spacing w:val="1"/>
        </w:rPr>
        <w:t>S</w:t>
      </w:r>
      <w:r>
        <w:t>e</w:t>
      </w:r>
      <w:r>
        <w:rPr>
          <w:spacing w:val="2"/>
        </w:rPr>
        <w:t>c</w:t>
      </w:r>
      <w:r>
        <w:t>tion 5 of the Empl</w:t>
      </w:r>
      <w:r>
        <w:rPr>
          <w:spacing w:val="-2"/>
        </w:rPr>
        <w:t>oy</w:t>
      </w:r>
      <w:r>
        <w:t>ers' Indemni</w:t>
      </w:r>
      <w:r>
        <w:rPr>
          <w:spacing w:val="2"/>
        </w:rPr>
        <w:t>t</w:t>
      </w:r>
      <w:r>
        <w:t xml:space="preserve">y Supplementation </w:t>
      </w:r>
      <w:r>
        <w:rPr>
          <w:spacing w:val="-6"/>
        </w:rPr>
        <w:t>F</w:t>
      </w:r>
      <w:r>
        <w:t xml:space="preserve">und </w:t>
      </w:r>
      <w:r>
        <w:rPr>
          <w:spacing w:val="-3"/>
        </w:rPr>
        <w:t>A</w:t>
      </w:r>
      <w:r>
        <w:rPr>
          <w:spacing w:val="1"/>
        </w:rPr>
        <w:t>c</w:t>
      </w:r>
      <w:r>
        <w:t>t 1980.</w:t>
      </w:r>
    </w:p>
    <w:p w14:paraId="76419502" w14:textId="3CACAD3D" w:rsidR="00193E91" w:rsidRPr="00193E91" w:rsidRDefault="00193E91" w:rsidP="00193E91">
      <w:pPr>
        <w:rPr>
          <w:color w:val="000000"/>
        </w:rPr>
      </w:pPr>
      <w:r>
        <w:rPr>
          <w:color w:val="231F20"/>
          <w:spacing w:val="-10"/>
        </w:rPr>
        <w:t>T</w:t>
      </w:r>
      <w:r>
        <w:rPr>
          <w:color w:val="231F20"/>
        </w:rPr>
        <w:t xml:space="preserve">rust </w:t>
      </w:r>
      <w:r>
        <w:rPr>
          <w:color w:val="231F20"/>
          <w:spacing w:val="-3"/>
        </w:rPr>
        <w:t>A</w:t>
      </w:r>
      <w:r>
        <w:rPr>
          <w:color w:val="231F20"/>
          <w:spacing w:val="-2"/>
        </w:rPr>
        <w:t>cc</w:t>
      </w:r>
      <w:r>
        <w:rPr>
          <w:color w:val="231F20"/>
        </w:rPr>
        <w:t>ou</w:t>
      </w:r>
      <w:r>
        <w:rPr>
          <w:color w:val="231F20"/>
          <w:spacing w:val="-1"/>
        </w:rPr>
        <w:t>n</w:t>
      </w:r>
      <w:r>
        <w:rPr>
          <w:color w:val="231F20"/>
        </w:rPr>
        <w:t xml:space="preserve">ts under </w:t>
      </w:r>
      <w:r>
        <w:rPr>
          <w:color w:val="231F20"/>
          <w:spacing w:val="1"/>
        </w:rPr>
        <w:t>S</w:t>
      </w:r>
      <w:r>
        <w:rPr>
          <w:color w:val="231F20"/>
        </w:rPr>
        <w:t>e</w:t>
      </w:r>
      <w:r>
        <w:rPr>
          <w:color w:val="231F20"/>
          <w:spacing w:val="2"/>
        </w:rPr>
        <w:t>c</w:t>
      </w:r>
      <w:r>
        <w:rPr>
          <w:color w:val="231F20"/>
        </w:rPr>
        <w:t xml:space="preserve">tion 110 of the </w:t>
      </w:r>
      <w:r>
        <w:rPr>
          <w:color w:val="231F20"/>
          <w:spacing w:val="-7"/>
        </w:rPr>
        <w:t>W</w:t>
      </w:r>
      <w:r>
        <w:rPr>
          <w:color w:val="231F20"/>
        </w:rPr>
        <w:t>or</w:t>
      </w:r>
      <w:r>
        <w:rPr>
          <w:color w:val="231F20"/>
          <w:spacing w:val="-4"/>
        </w:rPr>
        <w:t>k</w:t>
      </w:r>
      <w:r>
        <w:rPr>
          <w:color w:val="231F20"/>
        </w:rPr>
        <w:t>er</w:t>
      </w:r>
      <w:r>
        <w:rPr>
          <w:color w:val="231F20"/>
          <w:spacing w:val="-2"/>
        </w:rPr>
        <w:t>s</w:t>
      </w:r>
      <w:r>
        <w:rPr>
          <w:color w:val="231F20"/>
        </w:rPr>
        <w:t xml:space="preserve">’ </w:t>
      </w:r>
      <w:r>
        <w:rPr>
          <w:color w:val="231F20"/>
          <w:spacing w:val="-2"/>
        </w:rPr>
        <w:t>C</w:t>
      </w:r>
      <w:r>
        <w:rPr>
          <w:color w:val="231F20"/>
        </w:rPr>
        <w:t>ompensation and Inju</w:t>
      </w:r>
      <w:r>
        <w:rPr>
          <w:color w:val="231F20"/>
          <w:spacing w:val="4"/>
        </w:rPr>
        <w:t>r</w:t>
      </w:r>
      <w:r>
        <w:rPr>
          <w:color w:val="231F20"/>
        </w:rPr>
        <w:t xml:space="preserve">y Management </w:t>
      </w:r>
      <w:r>
        <w:rPr>
          <w:color w:val="231F20"/>
          <w:spacing w:val="-3"/>
        </w:rPr>
        <w:t>A</w:t>
      </w:r>
      <w:r>
        <w:rPr>
          <w:color w:val="231F20"/>
          <w:spacing w:val="1"/>
        </w:rPr>
        <w:t>c</w:t>
      </w:r>
      <w:r>
        <w:rPr>
          <w:color w:val="231F20"/>
        </w:rPr>
        <w:t>t 1981</w:t>
      </w:r>
      <w:r>
        <w:rPr>
          <w:color w:val="231F20"/>
          <w:spacing w:val="6"/>
        </w:rPr>
        <w:t xml:space="preserve"> </w:t>
      </w:r>
      <w:r>
        <w:rPr>
          <w:color w:val="231F20"/>
        </w:rPr>
        <w:t>a</w:t>
      </w:r>
      <w:r>
        <w:rPr>
          <w:color w:val="231F20"/>
          <w:spacing w:val="-3"/>
        </w:rPr>
        <w:t>r</w:t>
      </w:r>
      <w:r>
        <w:rPr>
          <w:color w:val="231F20"/>
        </w:rPr>
        <w:t>e adminis</w:t>
      </w:r>
      <w:r>
        <w:rPr>
          <w:color w:val="231F20"/>
          <w:spacing w:val="-2"/>
        </w:rPr>
        <w:t>t</w:t>
      </w:r>
      <w:r>
        <w:rPr>
          <w:color w:val="231F20"/>
        </w:rPr>
        <w:t>e</w:t>
      </w:r>
      <w:r>
        <w:rPr>
          <w:color w:val="231F20"/>
          <w:spacing w:val="-3"/>
        </w:rPr>
        <w:t>r</w:t>
      </w:r>
      <w:r>
        <w:rPr>
          <w:color w:val="231F20"/>
        </w:rPr>
        <w:t>ed independe</w:t>
      </w:r>
      <w:r>
        <w:rPr>
          <w:color w:val="231F20"/>
          <w:spacing w:val="-1"/>
        </w:rPr>
        <w:t>n</w:t>
      </w:r>
      <w:r>
        <w:rPr>
          <w:color w:val="231F20"/>
        </w:rPr>
        <w:t xml:space="preserve">tly of the </w:t>
      </w:r>
      <w:r>
        <w:rPr>
          <w:color w:val="231F20"/>
          <w:spacing w:val="1"/>
        </w:rPr>
        <w:t>G</w:t>
      </w:r>
      <w:r>
        <w:rPr>
          <w:color w:val="231F20"/>
        </w:rPr>
        <w:t>ene</w:t>
      </w:r>
      <w:r>
        <w:rPr>
          <w:color w:val="231F20"/>
          <w:spacing w:val="-2"/>
        </w:rPr>
        <w:t>r</w:t>
      </w:r>
      <w:r>
        <w:rPr>
          <w:color w:val="231F20"/>
        </w:rPr>
        <w:t xml:space="preserve">al </w:t>
      </w:r>
      <w:r>
        <w:rPr>
          <w:color w:val="231F20"/>
          <w:spacing w:val="-3"/>
        </w:rPr>
        <w:t>A</w:t>
      </w:r>
      <w:r>
        <w:rPr>
          <w:color w:val="231F20"/>
          <w:spacing w:val="-2"/>
        </w:rPr>
        <w:t>cc</w:t>
      </w:r>
      <w:r>
        <w:rPr>
          <w:color w:val="231F20"/>
        </w:rPr>
        <w:t>ou</w:t>
      </w:r>
      <w:r>
        <w:rPr>
          <w:color w:val="231F20"/>
          <w:spacing w:val="-1"/>
        </w:rPr>
        <w:t>n</w:t>
      </w:r>
      <w:r>
        <w:rPr>
          <w:color w:val="231F20"/>
        </w:rPr>
        <w:t>t and Suppleme</w:t>
      </w:r>
      <w:r>
        <w:rPr>
          <w:color w:val="231F20"/>
          <w:spacing w:val="-1"/>
        </w:rPr>
        <w:t>n</w:t>
      </w:r>
      <w:r>
        <w:rPr>
          <w:color w:val="231F20"/>
        </w:rPr>
        <w:t>t</w:t>
      </w:r>
      <w:r>
        <w:rPr>
          <w:color w:val="231F20"/>
          <w:spacing w:val="-1"/>
        </w:rPr>
        <w:t>a</w:t>
      </w:r>
      <w:r>
        <w:rPr>
          <w:color w:val="231F20"/>
        </w:rPr>
        <w:t xml:space="preserve">tion </w:t>
      </w:r>
      <w:r>
        <w:rPr>
          <w:color w:val="231F20"/>
          <w:spacing w:val="-8"/>
        </w:rPr>
        <w:t>F</w:t>
      </w:r>
      <w:r>
        <w:rPr>
          <w:color w:val="231F20"/>
        </w:rPr>
        <w:t>un</w:t>
      </w:r>
      <w:r>
        <w:rPr>
          <w:color w:val="231F20"/>
          <w:spacing w:val="-3"/>
        </w:rPr>
        <w:t>d</w:t>
      </w:r>
      <w:r>
        <w:rPr>
          <w:color w:val="231F20"/>
        </w:rPr>
        <w:t xml:space="preserve">.  </w:t>
      </w:r>
      <w:r>
        <w:rPr>
          <w:color w:val="231F20"/>
          <w:spacing w:val="1"/>
        </w:rPr>
        <w:t>S</w:t>
      </w:r>
      <w:r>
        <w:rPr>
          <w:color w:val="231F20"/>
        </w:rPr>
        <w:t>ee no</w:t>
      </w:r>
      <w:r>
        <w:rPr>
          <w:color w:val="231F20"/>
          <w:spacing w:val="-2"/>
        </w:rPr>
        <w:t>t</w:t>
      </w:r>
      <w:r>
        <w:rPr>
          <w:color w:val="231F20"/>
        </w:rPr>
        <w:t>e 38</w:t>
      </w:r>
      <w:r>
        <w:rPr>
          <w:color w:val="231F20"/>
          <w:spacing w:val="-19"/>
        </w:rPr>
        <w:t xml:space="preserve"> </w:t>
      </w:r>
      <w:r>
        <w:rPr>
          <w:color w:val="231F20"/>
          <w:spacing w:val="6"/>
        </w:rPr>
        <w:t>‘</w:t>
      </w:r>
      <w:r>
        <w:rPr>
          <w:color w:val="231F20"/>
          <w:spacing w:val="-8"/>
        </w:rPr>
        <w:t>W</w:t>
      </w:r>
      <w:r>
        <w:rPr>
          <w:color w:val="231F20"/>
        </w:rPr>
        <w:t>orker</w:t>
      </w:r>
      <w:r>
        <w:rPr>
          <w:color w:val="231F20"/>
          <w:spacing w:val="-4"/>
        </w:rPr>
        <w:t>s</w:t>
      </w:r>
      <w:r>
        <w:rPr>
          <w:color w:val="231F20"/>
        </w:rPr>
        <w:t>’</w:t>
      </w:r>
      <w:r>
        <w:rPr>
          <w:color w:val="231F20"/>
          <w:spacing w:val="-19"/>
        </w:rPr>
        <w:t xml:space="preserve"> </w:t>
      </w:r>
      <w:r>
        <w:rPr>
          <w:color w:val="231F20"/>
          <w:spacing w:val="-3"/>
        </w:rPr>
        <w:t>C</w:t>
      </w:r>
      <w:r>
        <w:rPr>
          <w:color w:val="231F20"/>
        </w:rPr>
        <w:t>ompens</w:t>
      </w:r>
      <w:r>
        <w:rPr>
          <w:color w:val="231F20"/>
          <w:spacing w:val="-1"/>
        </w:rPr>
        <w:t>a</w:t>
      </w:r>
      <w:r>
        <w:rPr>
          <w:color w:val="231F20"/>
        </w:rPr>
        <w:t xml:space="preserve">tion &amp; </w:t>
      </w:r>
      <w:r>
        <w:rPr>
          <w:color w:val="231F20"/>
          <w:spacing w:val="2"/>
        </w:rPr>
        <w:t>I</w:t>
      </w:r>
      <w:r>
        <w:rPr>
          <w:color w:val="231F20"/>
        </w:rPr>
        <w:t>nju</w:t>
      </w:r>
      <w:r>
        <w:rPr>
          <w:color w:val="231F20"/>
          <w:spacing w:val="5"/>
        </w:rPr>
        <w:t>r</w:t>
      </w:r>
      <w:r>
        <w:rPr>
          <w:color w:val="231F20"/>
        </w:rPr>
        <w:t xml:space="preserve">y </w:t>
      </w:r>
      <w:r>
        <w:rPr>
          <w:color w:val="231F20"/>
          <w:spacing w:val="1"/>
        </w:rPr>
        <w:t>M</w:t>
      </w:r>
      <w:r>
        <w:rPr>
          <w:color w:val="231F20"/>
        </w:rPr>
        <w:t>anageme</w:t>
      </w:r>
      <w:r>
        <w:rPr>
          <w:color w:val="231F20"/>
          <w:spacing w:val="-1"/>
        </w:rPr>
        <w:t>n</w:t>
      </w:r>
      <w:r>
        <w:rPr>
          <w:color w:val="231F20"/>
        </w:rPr>
        <w:t>t</w:t>
      </w:r>
      <w:r>
        <w:rPr>
          <w:color w:val="231F20"/>
          <w:spacing w:val="-9"/>
        </w:rPr>
        <w:t xml:space="preserve"> </w:t>
      </w:r>
      <w:r>
        <w:rPr>
          <w:color w:val="231F20"/>
          <w:spacing w:val="-10"/>
        </w:rPr>
        <w:t>T</w:t>
      </w:r>
      <w:r>
        <w:rPr>
          <w:color w:val="231F20"/>
        </w:rPr>
        <w:t xml:space="preserve">rust </w:t>
      </w:r>
      <w:r>
        <w:rPr>
          <w:color w:val="231F20"/>
          <w:spacing w:val="-3"/>
        </w:rPr>
        <w:t>A</w:t>
      </w:r>
      <w:r>
        <w:rPr>
          <w:color w:val="231F20"/>
          <w:spacing w:val="-2"/>
        </w:rPr>
        <w:t>cc</w:t>
      </w:r>
      <w:r>
        <w:rPr>
          <w:color w:val="231F20"/>
        </w:rPr>
        <w:t>ou</w:t>
      </w:r>
      <w:r>
        <w:rPr>
          <w:color w:val="231F20"/>
          <w:spacing w:val="-1"/>
        </w:rPr>
        <w:t>n</w:t>
      </w:r>
      <w:r>
        <w:rPr>
          <w:color w:val="231F20"/>
          <w:spacing w:val="4"/>
        </w:rPr>
        <w:t>t</w:t>
      </w:r>
      <w:r>
        <w:rPr>
          <w:color w:val="231F20"/>
        </w:rPr>
        <w:t>’</w:t>
      </w:r>
      <w:r>
        <w:rPr>
          <w:color w:val="231F20"/>
          <w:spacing w:val="-19"/>
        </w:rPr>
        <w:t xml:space="preserve"> </w:t>
      </w:r>
      <w:r>
        <w:rPr>
          <w:color w:val="231F20"/>
          <w:spacing w:val="-3"/>
        </w:rPr>
        <w:t>f</w:t>
      </w:r>
      <w:r>
        <w:rPr>
          <w:color w:val="231F20"/>
        </w:rPr>
        <w:t>or t</w:t>
      </w:r>
      <w:r>
        <w:rPr>
          <w:color w:val="231F20"/>
          <w:spacing w:val="-2"/>
        </w:rPr>
        <w:t>r</w:t>
      </w:r>
      <w:r>
        <w:rPr>
          <w:color w:val="231F20"/>
        </w:rPr>
        <w:t>ansa</w:t>
      </w:r>
      <w:r>
        <w:rPr>
          <w:color w:val="231F20"/>
          <w:spacing w:val="2"/>
        </w:rPr>
        <w:t>c</w:t>
      </w:r>
      <w:r>
        <w:rPr>
          <w:color w:val="231F20"/>
        </w:rPr>
        <w:t xml:space="preserve">tions </w:t>
      </w:r>
      <w:r>
        <w:rPr>
          <w:color w:val="231F20"/>
          <w:spacing w:val="-3"/>
        </w:rPr>
        <w:t>r</w:t>
      </w:r>
      <w:r>
        <w:rPr>
          <w:color w:val="231F20"/>
        </w:rPr>
        <w:t>el</w:t>
      </w:r>
      <w:r>
        <w:rPr>
          <w:color w:val="231F20"/>
          <w:spacing w:val="-1"/>
        </w:rPr>
        <w:t>a</w:t>
      </w:r>
      <w:r>
        <w:rPr>
          <w:color w:val="231F20"/>
        </w:rPr>
        <w:t xml:space="preserve">ting </w:t>
      </w:r>
      <w:r>
        <w:rPr>
          <w:color w:val="231F20"/>
          <w:spacing w:val="-2"/>
        </w:rPr>
        <w:t>t</w:t>
      </w:r>
      <w:r>
        <w:rPr>
          <w:color w:val="231F20"/>
        </w:rPr>
        <w:t>o the</w:t>
      </w:r>
      <w:r>
        <w:rPr>
          <w:color w:val="231F20"/>
          <w:spacing w:val="-9"/>
        </w:rPr>
        <w:t xml:space="preserve"> </w:t>
      </w:r>
      <w:r>
        <w:rPr>
          <w:color w:val="231F20"/>
          <w:spacing w:val="-10"/>
        </w:rPr>
        <w:t>T</w:t>
      </w:r>
      <w:r>
        <w:rPr>
          <w:color w:val="231F20"/>
        </w:rPr>
        <w:t xml:space="preserve">rust </w:t>
      </w:r>
      <w:r>
        <w:rPr>
          <w:color w:val="231F20"/>
          <w:spacing w:val="-3"/>
        </w:rPr>
        <w:t>A</w:t>
      </w:r>
      <w:r>
        <w:rPr>
          <w:color w:val="231F20"/>
          <w:spacing w:val="-2"/>
        </w:rPr>
        <w:t>cc</w:t>
      </w:r>
      <w:r>
        <w:rPr>
          <w:color w:val="231F20"/>
        </w:rPr>
        <w:t>ou</w:t>
      </w:r>
      <w:r>
        <w:rPr>
          <w:color w:val="231F20"/>
          <w:spacing w:val="-1"/>
        </w:rPr>
        <w:t>nt</w:t>
      </w:r>
      <w:r>
        <w:rPr>
          <w:color w:val="231F20"/>
        </w:rPr>
        <w:t>.</w:t>
      </w:r>
    </w:p>
    <w:p w14:paraId="4CFE579A" w14:textId="477EC16B" w:rsidR="00193E91" w:rsidRPr="00DA1E18" w:rsidRDefault="00193E91" w:rsidP="00193E91">
      <w:pPr>
        <w:rPr>
          <w:rStyle w:val="Strong"/>
        </w:rPr>
      </w:pPr>
      <w:r w:rsidRPr="00DA1E18">
        <w:rPr>
          <w:rStyle w:val="Strong"/>
        </w:rPr>
        <w:t>(d) Income</w:t>
      </w:r>
    </w:p>
    <w:p w14:paraId="6D5F2F31" w14:textId="77777777" w:rsidR="00193E91" w:rsidRPr="00DA1E18" w:rsidRDefault="00193E91" w:rsidP="00193E91">
      <w:pPr>
        <w:rPr>
          <w:rStyle w:val="Strong"/>
        </w:rPr>
      </w:pPr>
      <w:r w:rsidRPr="00DA1E18">
        <w:rPr>
          <w:rStyle w:val="Strong"/>
        </w:rPr>
        <w:t>Revenue recognition</w:t>
      </w:r>
    </w:p>
    <w:p w14:paraId="2B186C52" w14:textId="77777777" w:rsidR="00193E91" w:rsidRDefault="00193E91" w:rsidP="00193E91">
      <w:pPr>
        <w:rPr>
          <w:color w:val="000000"/>
        </w:rPr>
      </w:pPr>
      <w:r>
        <w:lastRenderedPageBreak/>
        <w:t>Re</w:t>
      </w:r>
      <w:r>
        <w:rPr>
          <w:spacing w:val="-3"/>
        </w:rPr>
        <w:t>v</w:t>
      </w:r>
      <w:r>
        <w:t xml:space="preserve">enue is </w:t>
      </w:r>
      <w:r>
        <w:rPr>
          <w:spacing w:val="-3"/>
        </w:rPr>
        <w:t>r</w:t>
      </w:r>
      <w:r>
        <w:t>e</w:t>
      </w:r>
      <w:r>
        <w:rPr>
          <w:spacing w:val="-2"/>
        </w:rPr>
        <w:t>c</w:t>
      </w:r>
      <w:r>
        <w:t>o</w:t>
      </w:r>
      <w:r>
        <w:rPr>
          <w:spacing w:val="-2"/>
        </w:rPr>
        <w:t>g</w:t>
      </w:r>
      <w:r>
        <w:t>nised and measu</w:t>
      </w:r>
      <w:r>
        <w:rPr>
          <w:spacing w:val="-3"/>
        </w:rPr>
        <w:t>r</w:t>
      </w:r>
      <w:r>
        <w:t xml:space="preserve">ed </w:t>
      </w:r>
      <w:r>
        <w:rPr>
          <w:spacing w:val="-1"/>
        </w:rPr>
        <w:t>a</w:t>
      </w:r>
      <w:r>
        <w:t xml:space="preserve">t the fair </w:t>
      </w:r>
      <w:r>
        <w:rPr>
          <w:spacing w:val="-1"/>
        </w:rPr>
        <w:t>v</w:t>
      </w:r>
      <w:r>
        <w:t xml:space="preserve">alue of </w:t>
      </w:r>
      <w:r>
        <w:rPr>
          <w:spacing w:val="-2"/>
        </w:rPr>
        <w:t>c</w:t>
      </w:r>
      <w:r>
        <w:t>onside</w:t>
      </w:r>
      <w:r>
        <w:rPr>
          <w:spacing w:val="-2"/>
        </w:rPr>
        <w:t>r</w:t>
      </w:r>
      <w:r>
        <w:rPr>
          <w:spacing w:val="-1"/>
        </w:rPr>
        <w:t>a</w:t>
      </w:r>
      <w:r>
        <w:t xml:space="preserve">tion </w:t>
      </w:r>
      <w:r>
        <w:rPr>
          <w:spacing w:val="-3"/>
        </w:rPr>
        <w:t>r</w:t>
      </w:r>
      <w:r>
        <w:t>e</w:t>
      </w:r>
      <w:r>
        <w:rPr>
          <w:spacing w:val="-2"/>
        </w:rPr>
        <w:t>c</w:t>
      </w:r>
      <w:r>
        <w:t>ei</w:t>
      </w:r>
      <w:r>
        <w:rPr>
          <w:spacing w:val="-3"/>
        </w:rPr>
        <w:t>v</w:t>
      </w:r>
      <w:r>
        <w:t xml:space="preserve">ed or </w:t>
      </w:r>
      <w:r>
        <w:rPr>
          <w:spacing w:val="-3"/>
        </w:rPr>
        <w:t>r</w:t>
      </w:r>
      <w:r>
        <w:t>e</w:t>
      </w:r>
      <w:r>
        <w:rPr>
          <w:spacing w:val="-2"/>
        </w:rPr>
        <w:t>c</w:t>
      </w:r>
      <w:r>
        <w:t>ei</w:t>
      </w:r>
      <w:r>
        <w:rPr>
          <w:spacing w:val="-1"/>
        </w:rPr>
        <w:t>v</w:t>
      </w:r>
      <w:r>
        <w:t>abl</w:t>
      </w:r>
      <w:r>
        <w:rPr>
          <w:spacing w:val="-3"/>
        </w:rPr>
        <w:t>e</w:t>
      </w:r>
      <w:r>
        <w:t>. Re</w:t>
      </w:r>
      <w:r>
        <w:rPr>
          <w:spacing w:val="-3"/>
        </w:rPr>
        <w:t>v</w:t>
      </w:r>
      <w:r>
        <w:t xml:space="preserve">enue is </w:t>
      </w:r>
      <w:r>
        <w:rPr>
          <w:spacing w:val="-3"/>
        </w:rPr>
        <w:t>r</w:t>
      </w:r>
      <w:r>
        <w:t>e</w:t>
      </w:r>
      <w:r>
        <w:rPr>
          <w:spacing w:val="-2"/>
        </w:rPr>
        <w:t>c</w:t>
      </w:r>
      <w:r>
        <w:t>o</w:t>
      </w:r>
      <w:r>
        <w:rPr>
          <w:spacing w:val="-2"/>
        </w:rPr>
        <w:t>g</w:t>
      </w:r>
      <w:r>
        <w:t xml:space="preserve">nised </w:t>
      </w:r>
      <w:r>
        <w:rPr>
          <w:spacing w:val="-3"/>
        </w:rPr>
        <w:t>f</w:t>
      </w:r>
      <w:r>
        <w:t>or the major business a</w:t>
      </w:r>
      <w:r>
        <w:rPr>
          <w:spacing w:val="2"/>
        </w:rPr>
        <w:t>c</w:t>
      </w:r>
      <w:r>
        <w:t xml:space="preserve">tivities as </w:t>
      </w:r>
      <w:r>
        <w:rPr>
          <w:spacing w:val="-3"/>
        </w:rPr>
        <w:t>f</w:t>
      </w:r>
      <w:r>
        <w:t>oll</w:t>
      </w:r>
      <w:r>
        <w:rPr>
          <w:spacing w:val="-2"/>
        </w:rPr>
        <w:t>ow</w:t>
      </w:r>
      <w:r>
        <w:t>s:</w:t>
      </w:r>
    </w:p>
    <w:p w14:paraId="1F2B0321" w14:textId="77777777" w:rsidR="00193E91" w:rsidRPr="00DA1E18" w:rsidRDefault="00193E91" w:rsidP="00193E91">
      <w:pPr>
        <w:rPr>
          <w:rStyle w:val="Strong"/>
          <w:i/>
        </w:rPr>
      </w:pPr>
      <w:r w:rsidRPr="00DA1E18">
        <w:rPr>
          <w:rStyle w:val="Strong"/>
          <w:i/>
        </w:rPr>
        <w:t>Insurer contributions and supplementation fund levies</w:t>
      </w:r>
    </w:p>
    <w:p w14:paraId="09660BD9" w14:textId="3747ADAB" w:rsidR="00193E91" w:rsidRPr="00193E91" w:rsidRDefault="00193E91" w:rsidP="00193E91">
      <w:pPr>
        <w:rPr>
          <w:color w:val="000000"/>
        </w:rPr>
      </w:pPr>
      <w:r>
        <w:t>Re</w:t>
      </w:r>
      <w:r>
        <w:rPr>
          <w:spacing w:val="-3"/>
        </w:rPr>
        <w:t>v</w:t>
      </w:r>
      <w:r>
        <w:t xml:space="preserve">enue is </w:t>
      </w:r>
      <w:r>
        <w:rPr>
          <w:spacing w:val="-3"/>
        </w:rPr>
        <w:t>r</w:t>
      </w:r>
      <w:r>
        <w:t>e</w:t>
      </w:r>
      <w:r>
        <w:rPr>
          <w:spacing w:val="-2"/>
        </w:rPr>
        <w:t>c</w:t>
      </w:r>
      <w:r>
        <w:t>o</w:t>
      </w:r>
      <w:r>
        <w:rPr>
          <w:spacing w:val="-2"/>
        </w:rPr>
        <w:t>g</w:t>
      </w:r>
      <w:r>
        <w:t>nised when the amou</w:t>
      </w:r>
      <w:r>
        <w:rPr>
          <w:spacing w:val="-1"/>
        </w:rPr>
        <w:t>n</w:t>
      </w:r>
      <w:r>
        <w:t>t be</w:t>
      </w:r>
      <w:r>
        <w:rPr>
          <w:spacing w:val="-2"/>
        </w:rPr>
        <w:t>c</w:t>
      </w:r>
      <w:r>
        <w:t>omes due and p</w:t>
      </w:r>
      <w:r>
        <w:rPr>
          <w:spacing w:val="-2"/>
        </w:rPr>
        <w:t>a</w:t>
      </w:r>
      <w:r>
        <w:rPr>
          <w:spacing w:val="-1"/>
        </w:rPr>
        <w:t>y</w:t>
      </w:r>
      <w:r>
        <w:t>abl</w:t>
      </w:r>
      <w:r>
        <w:rPr>
          <w:spacing w:val="-3"/>
        </w:rPr>
        <w:t>e</w:t>
      </w:r>
      <w:r>
        <w:t>.</w:t>
      </w:r>
    </w:p>
    <w:p w14:paraId="2AE14C4A" w14:textId="77777777" w:rsidR="00193E91" w:rsidRPr="00DA1E18" w:rsidRDefault="00193E91" w:rsidP="00193E91">
      <w:pPr>
        <w:rPr>
          <w:rStyle w:val="Strong"/>
          <w:i/>
        </w:rPr>
      </w:pPr>
      <w:r w:rsidRPr="00DA1E18">
        <w:rPr>
          <w:rStyle w:val="Strong"/>
          <w:i/>
        </w:rPr>
        <w:t>Provision of services</w:t>
      </w:r>
    </w:p>
    <w:p w14:paraId="20387F29" w14:textId="77777777" w:rsidR="00193E91" w:rsidRDefault="00193E91" w:rsidP="00193E91">
      <w:pPr>
        <w:rPr>
          <w:color w:val="000000"/>
        </w:rPr>
      </w:pPr>
      <w:r>
        <w:t>Re</w:t>
      </w:r>
      <w:r>
        <w:rPr>
          <w:spacing w:val="-3"/>
        </w:rPr>
        <w:t>v</w:t>
      </w:r>
      <w:r>
        <w:t xml:space="preserve">enue is </w:t>
      </w:r>
      <w:r>
        <w:rPr>
          <w:spacing w:val="-3"/>
        </w:rPr>
        <w:t>r</w:t>
      </w:r>
      <w:r>
        <w:t>e</w:t>
      </w:r>
      <w:r>
        <w:rPr>
          <w:spacing w:val="-2"/>
        </w:rPr>
        <w:t>c</w:t>
      </w:r>
      <w:r>
        <w:t>o</w:t>
      </w:r>
      <w:r>
        <w:rPr>
          <w:spacing w:val="-2"/>
        </w:rPr>
        <w:t>g</w:t>
      </w:r>
      <w:r>
        <w:t>nised on deli</w:t>
      </w:r>
      <w:r>
        <w:rPr>
          <w:spacing w:val="-3"/>
        </w:rPr>
        <w:t>v</w:t>
      </w:r>
      <w:r>
        <w:t>e</w:t>
      </w:r>
      <w:r>
        <w:rPr>
          <w:spacing w:val="5"/>
        </w:rPr>
        <w:t>r</w:t>
      </w:r>
      <w:r>
        <w:t>y of the se</w:t>
      </w:r>
      <w:r>
        <w:rPr>
          <w:spacing w:val="5"/>
        </w:rPr>
        <w:t>r</w:t>
      </w:r>
      <w:r>
        <w:t>vi</w:t>
      </w:r>
      <w:r>
        <w:rPr>
          <w:spacing w:val="-2"/>
        </w:rPr>
        <w:t>c</w:t>
      </w:r>
      <w:r>
        <w:t xml:space="preserve">e </w:t>
      </w:r>
      <w:r>
        <w:rPr>
          <w:spacing w:val="-2"/>
        </w:rPr>
        <w:t>t</w:t>
      </w:r>
      <w:r>
        <w:t>o the clie</w:t>
      </w:r>
      <w:r>
        <w:rPr>
          <w:spacing w:val="-1"/>
        </w:rPr>
        <w:t>n</w:t>
      </w:r>
      <w:r>
        <w:t xml:space="preserve">t or </w:t>
      </w:r>
      <w:r>
        <w:rPr>
          <w:spacing w:val="-2"/>
        </w:rPr>
        <w:t>b</w:t>
      </w:r>
      <w:r>
        <w:t xml:space="preserve">y </w:t>
      </w:r>
      <w:r>
        <w:rPr>
          <w:spacing w:val="-3"/>
        </w:rPr>
        <w:t>r</w:t>
      </w:r>
      <w:r>
        <w:t>e</w:t>
      </w:r>
      <w:r>
        <w:rPr>
          <w:spacing w:val="-3"/>
        </w:rPr>
        <w:t>f</w:t>
      </w:r>
      <w:r>
        <w:t>e</w:t>
      </w:r>
      <w:r>
        <w:rPr>
          <w:spacing w:val="-3"/>
        </w:rPr>
        <w:t>r</w:t>
      </w:r>
      <w:r>
        <w:t>en</w:t>
      </w:r>
      <w:r>
        <w:rPr>
          <w:spacing w:val="-2"/>
        </w:rPr>
        <w:t>c</w:t>
      </w:r>
      <w:r>
        <w:t xml:space="preserve">e </w:t>
      </w:r>
      <w:r>
        <w:rPr>
          <w:spacing w:val="-2"/>
        </w:rPr>
        <w:t>t</w:t>
      </w:r>
      <w:r>
        <w:t xml:space="preserve">o the stage of </w:t>
      </w:r>
      <w:r>
        <w:rPr>
          <w:spacing w:val="-2"/>
        </w:rPr>
        <w:t>c</w:t>
      </w:r>
      <w:r>
        <w:t>ompletion of the t</w:t>
      </w:r>
      <w:r>
        <w:rPr>
          <w:spacing w:val="-2"/>
        </w:rPr>
        <w:t>r</w:t>
      </w:r>
      <w:r>
        <w:t>ansa</w:t>
      </w:r>
      <w:r>
        <w:rPr>
          <w:spacing w:val="2"/>
        </w:rPr>
        <w:t>c</w:t>
      </w:r>
      <w:r>
        <w:t>tion.</w:t>
      </w:r>
    </w:p>
    <w:p w14:paraId="055DC0EC" w14:textId="77777777" w:rsidR="00193E91" w:rsidRPr="00DA1E18" w:rsidRDefault="00193E91" w:rsidP="00193E91">
      <w:pPr>
        <w:rPr>
          <w:rStyle w:val="Strong"/>
          <w:i/>
        </w:rPr>
      </w:pPr>
      <w:r w:rsidRPr="00DA1E18">
        <w:rPr>
          <w:rStyle w:val="Strong"/>
          <w:i/>
        </w:rPr>
        <w:t>Grants, donations, gifts and other non-reciprocal contributions</w:t>
      </w:r>
    </w:p>
    <w:p w14:paraId="78BECE82" w14:textId="77777777" w:rsidR="00193E91" w:rsidRDefault="00193E91" w:rsidP="00193E91">
      <w:pPr>
        <w:rPr>
          <w:color w:val="000000"/>
        </w:rPr>
      </w:pPr>
      <w:r>
        <w:t>Re</w:t>
      </w:r>
      <w:r>
        <w:rPr>
          <w:spacing w:val="-3"/>
        </w:rPr>
        <w:t>v</w:t>
      </w:r>
      <w:r>
        <w:t xml:space="preserve">enue is </w:t>
      </w:r>
      <w:r>
        <w:rPr>
          <w:spacing w:val="-3"/>
        </w:rPr>
        <w:t>r</w:t>
      </w:r>
      <w:r>
        <w:t>e</w:t>
      </w:r>
      <w:r>
        <w:rPr>
          <w:spacing w:val="-2"/>
        </w:rPr>
        <w:t>c</w:t>
      </w:r>
      <w:r>
        <w:t>o</w:t>
      </w:r>
      <w:r>
        <w:rPr>
          <w:spacing w:val="-2"/>
        </w:rPr>
        <w:t>g</w:t>
      </w:r>
      <w:r>
        <w:t xml:space="preserve">nised </w:t>
      </w:r>
      <w:r>
        <w:rPr>
          <w:spacing w:val="-1"/>
        </w:rPr>
        <w:t>a</w:t>
      </w:r>
      <w:r>
        <w:t xml:space="preserve">t fair </w:t>
      </w:r>
      <w:r>
        <w:rPr>
          <w:spacing w:val="-1"/>
        </w:rPr>
        <w:t>v</w:t>
      </w:r>
      <w:r>
        <w:t xml:space="preserve">alue when the </w:t>
      </w:r>
      <w:r>
        <w:rPr>
          <w:spacing w:val="-3"/>
        </w:rPr>
        <w:t>A</w:t>
      </w:r>
      <w:r>
        <w:t>uthori</w:t>
      </w:r>
      <w:r>
        <w:rPr>
          <w:spacing w:val="1"/>
        </w:rPr>
        <w:t>t</w:t>
      </w:r>
      <w:r>
        <w:t xml:space="preserve">y obtains </w:t>
      </w:r>
      <w:r>
        <w:rPr>
          <w:spacing w:val="-2"/>
        </w:rPr>
        <w:t>c</w:t>
      </w:r>
      <w:r>
        <w:t>o</w:t>
      </w:r>
      <w:r>
        <w:rPr>
          <w:spacing w:val="-1"/>
        </w:rPr>
        <w:t>n</w:t>
      </w:r>
      <w:r>
        <w:t>t</w:t>
      </w:r>
      <w:r>
        <w:rPr>
          <w:spacing w:val="-3"/>
        </w:rPr>
        <w:t>r</w:t>
      </w:r>
      <w:r>
        <w:t xml:space="preserve">ol </w:t>
      </w:r>
      <w:r>
        <w:rPr>
          <w:spacing w:val="-2"/>
        </w:rPr>
        <w:t>o</w:t>
      </w:r>
      <w:r>
        <w:rPr>
          <w:spacing w:val="-3"/>
        </w:rPr>
        <w:t>v</w:t>
      </w:r>
      <w:r>
        <w:t xml:space="preserve">er the assets </w:t>
      </w:r>
      <w:r>
        <w:rPr>
          <w:spacing w:val="-2"/>
        </w:rPr>
        <w:t>c</w:t>
      </w:r>
      <w:r>
        <w:t xml:space="preserve">omprising the </w:t>
      </w:r>
      <w:r>
        <w:rPr>
          <w:spacing w:val="-2"/>
        </w:rPr>
        <w:t>c</w:t>
      </w:r>
      <w:r>
        <w:t>o</w:t>
      </w:r>
      <w:r>
        <w:rPr>
          <w:spacing w:val="-1"/>
        </w:rPr>
        <w:t>n</w:t>
      </w:r>
      <w:r>
        <w:t>tribution</w:t>
      </w:r>
      <w:r>
        <w:rPr>
          <w:spacing w:val="-3"/>
        </w:rPr>
        <w:t>s</w:t>
      </w:r>
      <w:r>
        <w:t xml:space="preserve">, usually when cash is </w:t>
      </w:r>
      <w:r>
        <w:rPr>
          <w:spacing w:val="-3"/>
        </w:rPr>
        <w:t>r</w:t>
      </w:r>
      <w:r>
        <w:t>e</w:t>
      </w:r>
      <w:r>
        <w:rPr>
          <w:spacing w:val="-2"/>
        </w:rPr>
        <w:t>c</w:t>
      </w:r>
      <w:r>
        <w:t>ei</w:t>
      </w:r>
      <w:r>
        <w:rPr>
          <w:spacing w:val="-3"/>
        </w:rPr>
        <w:t>v</w:t>
      </w:r>
      <w:r>
        <w:t>e</w:t>
      </w:r>
      <w:r>
        <w:rPr>
          <w:spacing w:val="-3"/>
        </w:rPr>
        <w:t>d</w:t>
      </w:r>
      <w:r>
        <w:t>.</w:t>
      </w:r>
    </w:p>
    <w:p w14:paraId="277ECA36" w14:textId="77777777" w:rsidR="00193E91" w:rsidRDefault="00193E91" w:rsidP="00193E91">
      <w:pPr>
        <w:rPr>
          <w:color w:val="000000"/>
        </w:rPr>
      </w:pPr>
      <w:r>
        <w:rPr>
          <w:spacing w:val="3"/>
        </w:rPr>
        <w:t>O</w:t>
      </w:r>
      <w:r>
        <w:t>ther non-</w:t>
      </w:r>
      <w:r>
        <w:rPr>
          <w:spacing w:val="-3"/>
        </w:rPr>
        <w:t>r</w:t>
      </w:r>
      <w:r>
        <w:t>ecip</w:t>
      </w:r>
      <w:r>
        <w:rPr>
          <w:spacing w:val="-3"/>
        </w:rPr>
        <w:t>r</w:t>
      </w:r>
      <w:r>
        <w:t xml:space="preserve">ocal </w:t>
      </w:r>
      <w:r>
        <w:rPr>
          <w:spacing w:val="-2"/>
        </w:rPr>
        <w:t>c</w:t>
      </w:r>
      <w:r>
        <w:t>o</w:t>
      </w:r>
      <w:r>
        <w:rPr>
          <w:spacing w:val="-1"/>
        </w:rPr>
        <w:t>n</w:t>
      </w:r>
      <w:r>
        <w:t>tributions th</w:t>
      </w:r>
      <w:r>
        <w:rPr>
          <w:spacing w:val="-1"/>
        </w:rPr>
        <w:t>a</w:t>
      </w:r>
      <w:r>
        <w:t>t a</w:t>
      </w:r>
      <w:r>
        <w:rPr>
          <w:spacing w:val="-3"/>
        </w:rPr>
        <w:t>r</w:t>
      </w:r>
      <w:r>
        <w:t xml:space="preserve">e not </w:t>
      </w:r>
      <w:r>
        <w:rPr>
          <w:spacing w:val="-2"/>
        </w:rPr>
        <w:t>c</w:t>
      </w:r>
      <w:r>
        <w:t>o</w:t>
      </w:r>
      <w:r>
        <w:rPr>
          <w:spacing w:val="-1"/>
        </w:rPr>
        <w:t>n</w:t>
      </w:r>
      <w:r>
        <w:t xml:space="preserve">tributions </w:t>
      </w:r>
      <w:r>
        <w:rPr>
          <w:spacing w:val="-2"/>
        </w:rPr>
        <w:t>b</w:t>
      </w:r>
      <w:r>
        <w:t xml:space="preserve">y </w:t>
      </w:r>
      <w:r>
        <w:rPr>
          <w:spacing w:val="-2"/>
        </w:rPr>
        <w:t>o</w:t>
      </w:r>
      <w:r>
        <w:t>wners a</w:t>
      </w:r>
      <w:r>
        <w:rPr>
          <w:spacing w:val="-3"/>
        </w:rPr>
        <w:t>r</w:t>
      </w:r>
      <w:r>
        <w:t xml:space="preserve">e </w:t>
      </w:r>
      <w:r>
        <w:rPr>
          <w:spacing w:val="-3"/>
        </w:rPr>
        <w:t>r</w:t>
      </w:r>
      <w:r>
        <w:t>e</w:t>
      </w:r>
      <w:r>
        <w:rPr>
          <w:spacing w:val="-2"/>
        </w:rPr>
        <w:t>c</w:t>
      </w:r>
      <w:r>
        <w:t>o</w:t>
      </w:r>
      <w:r>
        <w:rPr>
          <w:spacing w:val="-2"/>
        </w:rPr>
        <w:t>g</w:t>
      </w:r>
      <w:r>
        <w:t xml:space="preserve">nised </w:t>
      </w:r>
      <w:r>
        <w:rPr>
          <w:spacing w:val="-1"/>
        </w:rPr>
        <w:t>a</w:t>
      </w:r>
      <w:r>
        <w:t xml:space="preserve">t their fair </w:t>
      </w:r>
      <w:r>
        <w:rPr>
          <w:spacing w:val="-1"/>
        </w:rPr>
        <w:t>v</w:t>
      </w:r>
      <w:r>
        <w:t>alu</w:t>
      </w:r>
      <w:r>
        <w:rPr>
          <w:spacing w:val="-3"/>
        </w:rPr>
        <w:t>e</w:t>
      </w:r>
      <w:r>
        <w:t>.</w:t>
      </w:r>
      <w:r>
        <w:rPr>
          <w:spacing w:val="46"/>
        </w:rPr>
        <w:t xml:space="preserve"> </w:t>
      </w:r>
      <w:r>
        <w:rPr>
          <w:spacing w:val="-3"/>
        </w:rPr>
        <w:t>C</w:t>
      </w:r>
      <w:r>
        <w:t>o</w:t>
      </w:r>
      <w:r>
        <w:rPr>
          <w:spacing w:val="-1"/>
        </w:rPr>
        <w:t>n</w:t>
      </w:r>
      <w:r>
        <w:t>tributions of se</w:t>
      </w:r>
      <w:r>
        <w:rPr>
          <w:spacing w:val="5"/>
        </w:rPr>
        <w:t>r</w:t>
      </w:r>
      <w:r>
        <w:t>vi</w:t>
      </w:r>
      <w:r>
        <w:rPr>
          <w:spacing w:val="-2"/>
        </w:rPr>
        <w:t>c</w:t>
      </w:r>
      <w:r>
        <w:t>es a</w:t>
      </w:r>
      <w:r>
        <w:rPr>
          <w:spacing w:val="-3"/>
        </w:rPr>
        <w:t>r</w:t>
      </w:r>
      <w:r>
        <w:t xml:space="preserve">e only </w:t>
      </w:r>
      <w:r>
        <w:rPr>
          <w:spacing w:val="-3"/>
        </w:rPr>
        <w:t>r</w:t>
      </w:r>
      <w:r>
        <w:t>e</w:t>
      </w:r>
      <w:r>
        <w:rPr>
          <w:spacing w:val="-2"/>
        </w:rPr>
        <w:t>c</w:t>
      </w:r>
      <w:r>
        <w:t>o</w:t>
      </w:r>
      <w:r>
        <w:rPr>
          <w:spacing w:val="-2"/>
        </w:rPr>
        <w:t>g</w:t>
      </w:r>
      <w:r>
        <w:t xml:space="preserve">nised when a fair </w:t>
      </w:r>
      <w:r>
        <w:rPr>
          <w:spacing w:val="-1"/>
        </w:rPr>
        <w:t>v</w:t>
      </w:r>
      <w:r>
        <w:t xml:space="preserve">alue can be </w:t>
      </w:r>
      <w:r>
        <w:rPr>
          <w:spacing w:val="-3"/>
        </w:rPr>
        <w:t>r</w:t>
      </w:r>
      <w:r>
        <w:t>eliably de</w:t>
      </w:r>
      <w:r>
        <w:rPr>
          <w:spacing w:val="-2"/>
        </w:rPr>
        <w:t>t</w:t>
      </w:r>
      <w:r>
        <w:t>ermined and the se</w:t>
      </w:r>
      <w:r>
        <w:rPr>
          <w:spacing w:val="5"/>
        </w:rPr>
        <w:t>r</w:t>
      </w:r>
      <w:r>
        <w:t>vi</w:t>
      </w:r>
      <w:r>
        <w:rPr>
          <w:spacing w:val="-2"/>
        </w:rPr>
        <w:t>c</w:t>
      </w:r>
      <w:r>
        <w:t xml:space="preserve">es </w:t>
      </w:r>
      <w:r>
        <w:rPr>
          <w:spacing w:val="-3"/>
        </w:rPr>
        <w:t>w</w:t>
      </w:r>
      <w:r>
        <w:t>ould be pu</w:t>
      </w:r>
      <w:r>
        <w:rPr>
          <w:spacing w:val="-3"/>
        </w:rPr>
        <w:t>r</w:t>
      </w:r>
      <w:r>
        <w:t>chased if not don</w:t>
      </w:r>
      <w:r>
        <w:rPr>
          <w:spacing w:val="-1"/>
        </w:rPr>
        <w:t>a</w:t>
      </w:r>
      <w:r>
        <w:rPr>
          <w:spacing w:val="-2"/>
        </w:rPr>
        <w:t>t</w:t>
      </w:r>
      <w:r>
        <w:t>e</w:t>
      </w:r>
      <w:r>
        <w:rPr>
          <w:spacing w:val="-3"/>
        </w:rPr>
        <w:t>d</w:t>
      </w:r>
      <w:r>
        <w:t>.</w:t>
      </w:r>
    </w:p>
    <w:p w14:paraId="2C37526E" w14:textId="77777777" w:rsidR="00193E91" w:rsidRPr="00DA1E18" w:rsidRDefault="00193E91" w:rsidP="00E248D0">
      <w:pPr>
        <w:rPr>
          <w:rStyle w:val="Strong"/>
          <w:i/>
        </w:rPr>
      </w:pPr>
      <w:r w:rsidRPr="00DA1E18">
        <w:rPr>
          <w:rStyle w:val="Strong"/>
          <w:i/>
        </w:rPr>
        <w:t>Recoveries from uninsured employers</w:t>
      </w:r>
    </w:p>
    <w:p w14:paraId="61621B74" w14:textId="77777777" w:rsidR="00193E91" w:rsidRDefault="00193E91" w:rsidP="00E248D0">
      <w:pPr>
        <w:rPr>
          <w:color w:val="000000"/>
        </w:rPr>
      </w:pPr>
      <w:r>
        <w:t>Re</w:t>
      </w:r>
      <w:r>
        <w:rPr>
          <w:spacing w:val="-3"/>
        </w:rPr>
        <w:t>v</w:t>
      </w:r>
      <w:r>
        <w:t xml:space="preserve">enue is </w:t>
      </w:r>
      <w:r>
        <w:rPr>
          <w:spacing w:val="-3"/>
        </w:rPr>
        <w:t>r</w:t>
      </w:r>
      <w:r>
        <w:t>e</w:t>
      </w:r>
      <w:r>
        <w:rPr>
          <w:spacing w:val="-2"/>
        </w:rPr>
        <w:t>c</w:t>
      </w:r>
      <w:r>
        <w:t>o</w:t>
      </w:r>
      <w:r>
        <w:rPr>
          <w:spacing w:val="-2"/>
        </w:rPr>
        <w:t>g</w:t>
      </w:r>
      <w:r>
        <w:t xml:space="preserve">nised on </w:t>
      </w:r>
      <w:r>
        <w:rPr>
          <w:spacing w:val="-3"/>
        </w:rPr>
        <w:t>r</w:t>
      </w:r>
      <w:r>
        <w:t>e</w:t>
      </w:r>
      <w:r>
        <w:rPr>
          <w:spacing w:val="-2"/>
        </w:rPr>
        <w:t>c</w:t>
      </w:r>
      <w:r>
        <w:t xml:space="preserve">eipt of the </w:t>
      </w:r>
      <w:r>
        <w:rPr>
          <w:spacing w:val="-3"/>
        </w:rPr>
        <w:t>r</w:t>
      </w:r>
      <w:r>
        <w:t>e</w:t>
      </w:r>
      <w:r>
        <w:rPr>
          <w:spacing w:val="-2"/>
        </w:rPr>
        <w:t>co</w:t>
      </w:r>
      <w:r>
        <w:rPr>
          <w:spacing w:val="-3"/>
        </w:rPr>
        <w:t>v</w:t>
      </w:r>
      <w:r>
        <w:t>e</w:t>
      </w:r>
      <w:r>
        <w:rPr>
          <w:spacing w:val="-3"/>
        </w:rPr>
        <w:t>r</w:t>
      </w:r>
      <w:r>
        <w:t>ed monie</w:t>
      </w:r>
      <w:r>
        <w:rPr>
          <w:spacing w:val="-3"/>
        </w:rPr>
        <w:t>s</w:t>
      </w:r>
      <w:r>
        <w:t>.</w:t>
      </w:r>
    </w:p>
    <w:p w14:paraId="7C58E02B" w14:textId="77777777" w:rsidR="00193E91" w:rsidRPr="00DA1E18" w:rsidRDefault="00193E91" w:rsidP="00E248D0">
      <w:pPr>
        <w:rPr>
          <w:rStyle w:val="Strong"/>
        </w:rPr>
      </w:pPr>
      <w:r w:rsidRPr="00DA1E18">
        <w:rPr>
          <w:rStyle w:val="Strong"/>
        </w:rPr>
        <w:t>Interest</w:t>
      </w:r>
    </w:p>
    <w:p w14:paraId="789CD6D7" w14:textId="77777777" w:rsidR="00193E91" w:rsidRDefault="00193E91" w:rsidP="00E248D0">
      <w:pPr>
        <w:rPr>
          <w:color w:val="000000"/>
        </w:rPr>
      </w:pPr>
      <w:r>
        <w:t>Re</w:t>
      </w:r>
      <w:r>
        <w:rPr>
          <w:spacing w:val="-3"/>
        </w:rPr>
        <w:t>v</w:t>
      </w:r>
      <w:r>
        <w:t xml:space="preserve">enue is </w:t>
      </w:r>
      <w:r>
        <w:rPr>
          <w:spacing w:val="-3"/>
        </w:rPr>
        <w:t>r</w:t>
      </w:r>
      <w:r>
        <w:t>e</w:t>
      </w:r>
      <w:r>
        <w:rPr>
          <w:spacing w:val="-2"/>
        </w:rPr>
        <w:t>c</w:t>
      </w:r>
      <w:r>
        <w:t>o</w:t>
      </w:r>
      <w:r>
        <w:rPr>
          <w:spacing w:val="-2"/>
        </w:rPr>
        <w:t>g</w:t>
      </w:r>
      <w:r>
        <w:t>nised as the i</w:t>
      </w:r>
      <w:r>
        <w:rPr>
          <w:spacing w:val="-1"/>
        </w:rPr>
        <w:t>n</w:t>
      </w:r>
      <w:r>
        <w:rPr>
          <w:spacing w:val="-2"/>
        </w:rPr>
        <w:t>t</w:t>
      </w:r>
      <w:r>
        <w:t>e</w:t>
      </w:r>
      <w:r>
        <w:rPr>
          <w:spacing w:val="-3"/>
        </w:rPr>
        <w:t>r</w:t>
      </w:r>
      <w:r>
        <w:t>est a</w:t>
      </w:r>
      <w:r>
        <w:rPr>
          <w:spacing w:val="-2"/>
        </w:rPr>
        <w:t>c</w:t>
      </w:r>
      <w:r>
        <w:t>crue</w:t>
      </w:r>
      <w:r>
        <w:rPr>
          <w:spacing w:val="-3"/>
        </w:rPr>
        <w:t>s</w:t>
      </w:r>
      <w:r>
        <w:t>.</w:t>
      </w:r>
    </w:p>
    <w:p w14:paraId="57B8C94A" w14:textId="77777777" w:rsidR="00193E91" w:rsidRPr="00DA1E18" w:rsidRDefault="00193E91" w:rsidP="00E248D0">
      <w:pPr>
        <w:rPr>
          <w:rStyle w:val="Strong"/>
        </w:rPr>
      </w:pPr>
      <w:r w:rsidRPr="00DA1E18">
        <w:rPr>
          <w:rStyle w:val="Strong"/>
        </w:rPr>
        <w:t>Gains</w:t>
      </w:r>
    </w:p>
    <w:p w14:paraId="47064893" w14:textId="77777777" w:rsidR="00193E91" w:rsidRDefault="00193E91" w:rsidP="00E248D0">
      <w:pPr>
        <w:rPr>
          <w:color w:val="000000"/>
        </w:rPr>
      </w:pPr>
      <w:r>
        <w:t>Realised and un</w:t>
      </w:r>
      <w:r>
        <w:rPr>
          <w:spacing w:val="-3"/>
        </w:rPr>
        <w:t>r</w:t>
      </w:r>
      <w:r>
        <w:t>ealised gains a</w:t>
      </w:r>
      <w:r>
        <w:rPr>
          <w:spacing w:val="-3"/>
        </w:rPr>
        <w:t>r</w:t>
      </w:r>
      <w:r>
        <w:t xml:space="preserve">e usually </w:t>
      </w:r>
      <w:r>
        <w:rPr>
          <w:spacing w:val="-3"/>
        </w:rPr>
        <w:t>r</w:t>
      </w:r>
      <w:r>
        <w:t>e</w:t>
      </w:r>
      <w:r>
        <w:rPr>
          <w:spacing w:val="-2"/>
        </w:rPr>
        <w:t>c</w:t>
      </w:r>
      <w:r>
        <w:t>o</w:t>
      </w:r>
      <w:r>
        <w:rPr>
          <w:spacing w:val="-2"/>
        </w:rPr>
        <w:t>g</w:t>
      </w:r>
      <w:r>
        <w:t>nised on a net basi</w:t>
      </w:r>
      <w:r>
        <w:rPr>
          <w:spacing w:val="-3"/>
        </w:rPr>
        <w:t>s</w:t>
      </w:r>
      <w:r>
        <w:t>.</w:t>
      </w:r>
      <w:r>
        <w:rPr>
          <w:spacing w:val="37"/>
        </w:rPr>
        <w:t xml:space="preserve"> </w:t>
      </w:r>
      <w:r>
        <w:rPr>
          <w:spacing w:val="-2"/>
        </w:rPr>
        <w:t>T</w:t>
      </w:r>
      <w:r>
        <w:t>hese include gains arising on the disposal of non</w:t>
      </w:r>
      <w:r>
        <w:rPr>
          <w:spacing w:val="3"/>
        </w:rPr>
        <w:t>-</w:t>
      </w:r>
      <w:r>
        <w:t>cur</w:t>
      </w:r>
      <w:r>
        <w:rPr>
          <w:spacing w:val="-3"/>
        </w:rPr>
        <w:t>r</w:t>
      </w:r>
      <w:r>
        <w:t>e</w:t>
      </w:r>
      <w:r>
        <w:rPr>
          <w:spacing w:val="-1"/>
        </w:rPr>
        <w:t>n</w:t>
      </w:r>
      <w:r>
        <w:t xml:space="preserve">t assets and some </w:t>
      </w:r>
      <w:r>
        <w:rPr>
          <w:spacing w:val="-3"/>
        </w:rPr>
        <w:t>r</w:t>
      </w:r>
      <w:r>
        <w:t>e</w:t>
      </w:r>
      <w:r>
        <w:rPr>
          <w:spacing w:val="-1"/>
        </w:rPr>
        <w:t>v</w:t>
      </w:r>
      <w:r>
        <w:t>alu</w:t>
      </w:r>
      <w:r>
        <w:rPr>
          <w:spacing w:val="-1"/>
        </w:rPr>
        <w:t>a</w:t>
      </w:r>
      <w:r>
        <w:t>tions of non- cur</w:t>
      </w:r>
      <w:r>
        <w:rPr>
          <w:spacing w:val="-3"/>
        </w:rPr>
        <w:t>r</w:t>
      </w:r>
      <w:r>
        <w:t>e</w:t>
      </w:r>
      <w:r>
        <w:rPr>
          <w:spacing w:val="-1"/>
        </w:rPr>
        <w:t>n</w:t>
      </w:r>
      <w:r>
        <w:t>t asset</w:t>
      </w:r>
      <w:r>
        <w:rPr>
          <w:spacing w:val="-3"/>
        </w:rPr>
        <w:t>s</w:t>
      </w:r>
      <w:r>
        <w:t>.</w:t>
      </w:r>
    </w:p>
    <w:p w14:paraId="7474A6BB" w14:textId="24E11F6F" w:rsidR="00193E91" w:rsidRPr="00E248D0" w:rsidRDefault="00193E91" w:rsidP="00E248D0">
      <w:pPr>
        <w:rPr>
          <w:color w:val="000000"/>
        </w:rPr>
      </w:pPr>
      <w:r>
        <w:rPr>
          <w:spacing w:val="-2"/>
        </w:rPr>
        <w:t>T</w:t>
      </w:r>
      <w:r>
        <w:t>he</w:t>
      </w:r>
      <w:r>
        <w:rPr>
          <w:spacing w:val="-1"/>
        </w:rPr>
        <w:t xml:space="preserve"> </w:t>
      </w:r>
      <w:r>
        <w:t>ef</w:t>
      </w:r>
      <w:r>
        <w:rPr>
          <w:spacing w:val="-3"/>
        </w:rPr>
        <w:t>f</w:t>
      </w:r>
      <w:r>
        <w:t>e</w:t>
      </w:r>
      <w:r>
        <w:rPr>
          <w:spacing w:val="2"/>
        </w:rPr>
        <w:t>c</w:t>
      </w:r>
      <w:r>
        <w:t>t of an a</w:t>
      </w:r>
      <w:r>
        <w:rPr>
          <w:spacing w:val="2"/>
        </w:rPr>
        <w:t>c</w:t>
      </w:r>
      <w:r>
        <w:t>tuarial assessed</w:t>
      </w:r>
      <w:r>
        <w:rPr>
          <w:spacing w:val="-1"/>
        </w:rPr>
        <w:t xml:space="preserve"> </w:t>
      </w:r>
      <w:r>
        <w:t>dec</w:t>
      </w:r>
      <w:r>
        <w:rPr>
          <w:spacing w:val="-3"/>
        </w:rPr>
        <w:t>r</w:t>
      </w:r>
      <w:r>
        <w:t>ease in the outstanding claims</w:t>
      </w:r>
      <w:r>
        <w:rPr>
          <w:spacing w:val="-1"/>
        </w:rPr>
        <w:t xml:space="preserve"> </w:t>
      </w:r>
      <w:r>
        <w:t>liabili</w:t>
      </w:r>
      <w:r>
        <w:rPr>
          <w:spacing w:val="2"/>
        </w:rPr>
        <w:t>t</w:t>
      </w:r>
      <w:r>
        <w:t xml:space="preserve">y is included in the </w:t>
      </w:r>
      <w:r>
        <w:rPr>
          <w:spacing w:val="-1"/>
        </w:rPr>
        <w:t>S</w:t>
      </w:r>
      <w:r>
        <w:t>t</w:t>
      </w:r>
      <w:r>
        <w:rPr>
          <w:spacing w:val="-1"/>
        </w:rPr>
        <w:t>a</w:t>
      </w:r>
      <w:r>
        <w:rPr>
          <w:spacing w:val="-2"/>
        </w:rPr>
        <w:t>t</w:t>
      </w:r>
      <w:r>
        <w:t>eme</w:t>
      </w:r>
      <w:r>
        <w:rPr>
          <w:spacing w:val="-1"/>
        </w:rPr>
        <w:t>n</w:t>
      </w:r>
      <w:r>
        <w:t xml:space="preserve">t of </w:t>
      </w:r>
      <w:r>
        <w:rPr>
          <w:spacing w:val="-3"/>
        </w:rPr>
        <w:t>C</w:t>
      </w:r>
      <w:r>
        <w:t>omp</w:t>
      </w:r>
      <w:r>
        <w:rPr>
          <w:spacing w:val="-3"/>
        </w:rPr>
        <w:t>r</w:t>
      </w:r>
      <w:r>
        <w:t>ehensi</w:t>
      </w:r>
      <w:r>
        <w:rPr>
          <w:spacing w:val="-3"/>
        </w:rPr>
        <w:t>v</w:t>
      </w:r>
      <w:r>
        <w:t xml:space="preserve">e </w:t>
      </w:r>
      <w:r>
        <w:rPr>
          <w:spacing w:val="2"/>
        </w:rPr>
        <w:t>I</w:t>
      </w:r>
      <w:r>
        <w:t>n</w:t>
      </w:r>
      <w:r>
        <w:rPr>
          <w:spacing w:val="-2"/>
        </w:rPr>
        <w:t>c</w:t>
      </w:r>
      <w:r>
        <w:t xml:space="preserve">ome as a </w:t>
      </w:r>
      <w:r>
        <w:rPr>
          <w:spacing w:val="1"/>
        </w:rPr>
        <w:t>G</w:t>
      </w:r>
      <w:r>
        <w:t>ain.</w:t>
      </w:r>
      <w:r>
        <w:rPr>
          <w:spacing w:val="46"/>
        </w:rPr>
        <w:t xml:space="preserve"> </w:t>
      </w:r>
      <w:r>
        <w:t>Re</w:t>
      </w:r>
      <w:r>
        <w:rPr>
          <w:spacing w:val="-3"/>
        </w:rPr>
        <w:t>f</w:t>
      </w:r>
      <w:r>
        <w:t xml:space="preserve">er </w:t>
      </w:r>
      <w:r>
        <w:rPr>
          <w:spacing w:val="-2"/>
        </w:rPr>
        <w:t>t</w:t>
      </w:r>
      <w:r>
        <w:t xml:space="preserve">o </w:t>
      </w:r>
      <w:r>
        <w:rPr>
          <w:spacing w:val="-4"/>
        </w:rPr>
        <w:t>P</w:t>
      </w:r>
      <w:r>
        <w:rPr>
          <w:spacing w:val="-3"/>
        </w:rPr>
        <w:t>r</w:t>
      </w:r>
      <w:r>
        <w:rPr>
          <w:spacing w:val="-2"/>
        </w:rPr>
        <w:t>o</w:t>
      </w:r>
      <w:r>
        <w:t>visions</w:t>
      </w:r>
      <w:r w:rsidR="00E248D0">
        <w:rPr>
          <w:color w:val="000000"/>
        </w:rPr>
        <w:br/>
      </w:r>
      <w:r>
        <w:t>– Empl</w:t>
      </w:r>
      <w:r>
        <w:rPr>
          <w:spacing w:val="-2"/>
        </w:rPr>
        <w:t>o</w:t>
      </w:r>
      <w:r>
        <w:rPr>
          <w:spacing w:val="-3"/>
        </w:rPr>
        <w:t>y</w:t>
      </w:r>
      <w:r>
        <w:t>er</w:t>
      </w:r>
      <w:r>
        <w:rPr>
          <w:spacing w:val="-4"/>
        </w:rPr>
        <w:t>s</w:t>
      </w:r>
      <w:r>
        <w:t>’</w:t>
      </w:r>
      <w:r>
        <w:rPr>
          <w:spacing w:val="-19"/>
        </w:rPr>
        <w:t xml:space="preserve"> </w:t>
      </w:r>
      <w:r>
        <w:rPr>
          <w:spacing w:val="2"/>
        </w:rPr>
        <w:t>I</w:t>
      </w:r>
      <w:r>
        <w:t>ndemni</w:t>
      </w:r>
      <w:r>
        <w:rPr>
          <w:spacing w:val="2"/>
        </w:rPr>
        <w:t>t</w:t>
      </w:r>
      <w:r>
        <w:t>y Suppleme</w:t>
      </w:r>
      <w:r>
        <w:rPr>
          <w:spacing w:val="-1"/>
        </w:rPr>
        <w:t>n</w:t>
      </w:r>
      <w:r>
        <w:t>t</w:t>
      </w:r>
      <w:r>
        <w:rPr>
          <w:spacing w:val="-1"/>
        </w:rPr>
        <w:t>a</w:t>
      </w:r>
      <w:r>
        <w:t xml:space="preserve">tion </w:t>
      </w:r>
      <w:r>
        <w:rPr>
          <w:spacing w:val="-8"/>
        </w:rPr>
        <w:t>F</w:t>
      </w:r>
      <w:r>
        <w:t xml:space="preserve">und and </w:t>
      </w:r>
      <w:r>
        <w:rPr>
          <w:spacing w:val="1"/>
        </w:rPr>
        <w:t>G</w:t>
      </w:r>
      <w:r>
        <w:t>ene</w:t>
      </w:r>
      <w:r>
        <w:rPr>
          <w:spacing w:val="-2"/>
        </w:rPr>
        <w:t>r</w:t>
      </w:r>
      <w:r>
        <w:t xml:space="preserve">al </w:t>
      </w:r>
      <w:r>
        <w:rPr>
          <w:spacing w:val="-3"/>
        </w:rPr>
        <w:t>A</w:t>
      </w:r>
      <w:r>
        <w:rPr>
          <w:spacing w:val="-2"/>
        </w:rPr>
        <w:t>cc</w:t>
      </w:r>
      <w:r>
        <w:t>ou</w:t>
      </w:r>
      <w:r>
        <w:rPr>
          <w:spacing w:val="-1"/>
        </w:rPr>
        <w:t>nt</w:t>
      </w:r>
      <w:r>
        <w:t>.</w:t>
      </w:r>
    </w:p>
    <w:p w14:paraId="7535D496" w14:textId="6B7FB33F" w:rsidR="00193E91" w:rsidRPr="00DA1E18" w:rsidRDefault="00E248D0" w:rsidP="00E248D0">
      <w:pPr>
        <w:rPr>
          <w:rStyle w:val="Strong"/>
        </w:rPr>
      </w:pPr>
      <w:r w:rsidRPr="00DA1E18">
        <w:rPr>
          <w:rStyle w:val="Strong"/>
        </w:rPr>
        <w:t xml:space="preserve">(e) </w:t>
      </w:r>
      <w:r w:rsidR="00193E91" w:rsidRPr="00DA1E18">
        <w:rPr>
          <w:rStyle w:val="Strong"/>
        </w:rPr>
        <w:t>Property, plant and equipment and vehicles</w:t>
      </w:r>
    </w:p>
    <w:p w14:paraId="2D297495" w14:textId="77777777" w:rsidR="00193E91" w:rsidRPr="00DA1E18" w:rsidRDefault="00193E91" w:rsidP="00E248D0">
      <w:pPr>
        <w:rPr>
          <w:rStyle w:val="Strong"/>
        </w:rPr>
      </w:pPr>
      <w:r w:rsidRPr="00DA1E18">
        <w:rPr>
          <w:rStyle w:val="Strong"/>
        </w:rPr>
        <w:t>Capitalisation/expensing of assets</w:t>
      </w:r>
    </w:p>
    <w:p w14:paraId="2A6F79B4" w14:textId="1046A078" w:rsidR="00193E91" w:rsidRPr="0025648F" w:rsidRDefault="00193E91" w:rsidP="0025648F">
      <w:pPr>
        <w:rPr>
          <w:color w:val="000000"/>
        </w:rPr>
      </w:pPr>
      <w:r>
        <w:rPr>
          <w:spacing w:val="3"/>
        </w:rPr>
        <w:lastRenderedPageBreak/>
        <w:t>I</w:t>
      </w:r>
      <w:r>
        <w:rPr>
          <w:spacing w:val="-2"/>
        </w:rPr>
        <w:t>t</w:t>
      </w:r>
      <w:r>
        <w:t>ems of p</w:t>
      </w:r>
      <w:r>
        <w:rPr>
          <w:spacing w:val="-3"/>
        </w:rPr>
        <w:t>r</w:t>
      </w:r>
      <w:r>
        <w:t>ope</w:t>
      </w:r>
      <w:r>
        <w:rPr>
          <w:spacing w:val="5"/>
        </w:rPr>
        <w:t>r</w:t>
      </w:r>
      <w:r>
        <w:rPr>
          <w:spacing w:val="1"/>
        </w:rPr>
        <w:t>t</w:t>
      </w:r>
      <w:r>
        <w:rPr>
          <w:spacing w:val="-9"/>
        </w:rPr>
        <w:t>y</w:t>
      </w:r>
      <w:r>
        <w:t>, pla</w:t>
      </w:r>
      <w:r>
        <w:rPr>
          <w:spacing w:val="-1"/>
        </w:rPr>
        <w:t>n</w:t>
      </w:r>
      <w:r>
        <w:t>t and equipme</w:t>
      </w:r>
      <w:r>
        <w:rPr>
          <w:spacing w:val="-1"/>
        </w:rPr>
        <w:t>n</w:t>
      </w:r>
      <w:r>
        <w:t xml:space="preserve">t and </w:t>
      </w:r>
      <w:r>
        <w:rPr>
          <w:spacing w:val="-3"/>
        </w:rPr>
        <w:t>v</w:t>
      </w:r>
      <w:r>
        <w:t xml:space="preserve">ehicles </w:t>
      </w:r>
      <w:r>
        <w:rPr>
          <w:spacing w:val="-2"/>
        </w:rPr>
        <w:t>c</w:t>
      </w:r>
      <w:r>
        <w:t>osting $5,000 or mo</w:t>
      </w:r>
      <w:r>
        <w:rPr>
          <w:spacing w:val="-3"/>
        </w:rPr>
        <w:t>r</w:t>
      </w:r>
      <w:r>
        <w:t>e a</w:t>
      </w:r>
      <w:r>
        <w:rPr>
          <w:spacing w:val="-3"/>
        </w:rPr>
        <w:t>r</w:t>
      </w:r>
      <w:r>
        <w:t xml:space="preserve">e </w:t>
      </w:r>
      <w:r>
        <w:rPr>
          <w:spacing w:val="-3"/>
        </w:rPr>
        <w:t>r</w:t>
      </w:r>
      <w:r>
        <w:t>e</w:t>
      </w:r>
      <w:r>
        <w:rPr>
          <w:spacing w:val="-2"/>
        </w:rPr>
        <w:t>c</w:t>
      </w:r>
      <w:r>
        <w:t>o</w:t>
      </w:r>
      <w:r>
        <w:rPr>
          <w:spacing w:val="-2"/>
        </w:rPr>
        <w:t>g</w:t>
      </w:r>
      <w:r>
        <w:t xml:space="preserve">nised as assets and the </w:t>
      </w:r>
      <w:r>
        <w:rPr>
          <w:spacing w:val="-2"/>
        </w:rPr>
        <w:t>c</w:t>
      </w:r>
      <w:r>
        <w:t xml:space="preserve">ost of utilising assets is </w:t>
      </w:r>
      <w:r>
        <w:rPr>
          <w:spacing w:val="-1"/>
        </w:rPr>
        <w:t>e</w:t>
      </w:r>
      <w:r>
        <w:t>xpensed (dep</w:t>
      </w:r>
      <w:r>
        <w:rPr>
          <w:spacing w:val="-3"/>
        </w:rPr>
        <w:t>r</w:t>
      </w:r>
      <w:r>
        <w:t>eci</w:t>
      </w:r>
      <w:r>
        <w:rPr>
          <w:spacing w:val="-1"/>
        </w:rPr>
        <w:t>a</w:t>
      </w:r>
      <w:r>
        <w:rPr>
          <w:spacing w:val="-2"/>
        </w:rPr>
        <w:t>t</w:t>
      </w:r>
      <w:r>
        <w:t xml:space="preserve">ed) </w:t>
      </w:r>
      <w:r>
        <w:rPr>
          <w:spacing w:val="-2"/>
        </w:rPr>
        <w:t>o</w:t>
      </w:r>
      <w:r>
        <w:rPr>
          <w:spacing w:val="-3"/>
        </w:rPr>
        <w:t>v</w:t>
      </w:r>
      <w:r>
        <w:t>er their useful li</w:t>
      </w:r>
      <w:r>
        <w:rPr>
          <w:spacing w:val="-3"/>
        </w:rPr>
        <w:t>v</w:t>
      </w:r>
      <w:r>
        <w:t>e</w:t>
      </w:r>
      <w:r>
        <w:rPr>
          <w:spacing w:val="-3"/>
        </w:rPr>
        <w:t>s</w:t>
      </w:r>
      <w:r>
        <w:t xml:space="preserve">. </w:t>
      </w:r>
      <w:r>
        <w:rPr>
          <w:spacing w:val="46"/>
        </w:rPr>
        <w:t xml:space="preserve"> </w:t>
      </w:r>
      <w:r>
        <w:rPr>
          <w:spacing w:val="3"/>
        </w:rPr>
        <w:t>I</w:t>
      </w:r>
      <w:r>
        <w:rPr>
          <w:spacing w:val="-2"/>
        </w:rPr>
        <w:t>t</w:t>
      </w:r>
      <w:r>
        <w:t>ems of p</w:t>
      </w:r>
      <w:r>
        <w:rPr>
          <w:spacing w:val="-3"/>
        </w:rPr>
        <w:t>r</w:t>
      </w:r>
      <w:r>
        <w:t>ope</w:t>
      </w:r>
      <w:r>
        <w:rPr>
          <w:spacing w:val="5"/>
        </w:rPr>
        <w:t>r</w:t>
      </w:r>
      <w:r>
        <w:rPr>
          <w:spacing w:val="2"/>
        </w:rPr>
        <w:t>t</w:t>
      </w:r>
      <w:r>
        <w:rPr>
          <w:spacing w:val="-9"/>
        </w:rPr>
        <w:t>y</w:t>
      </w:r>
      <w:r>
        <w:t>, pla</w:t>
      </w:r>
      <w:r>
        <w:rPr>
          <w:spacing w:val="-1"/>
        </w:rPr>
        <w:t>n</w:t>
      </w:r>
      <w:r>
        <w:t>t and equipme</w:t>
      </w:r>
      <w:r>
        <w:rPr>
          <w:spacing w:val="-1"/>
        </w:rPr>
        <w:t>n</w:t>
      </w:r>
      <w:r>
        <w:t xml:space="preserve">t and </w:t>
      </w:r>
      <w:r>
        <w:rPr>
          <w:spacing w:val="-3"/>
        </w:rPr>
        <w:t>v</w:t>
      </w:r>
      <w:r>
        <w:t xml:space="preserve">ehicles </w:t>
      </w:r>
      <w:r>
        <w:rPr>
          <w:spacing w:val="-2"/>
        </w:rPr>
        <w:t>c</w:t>
      </w:r>
      <w:r>
        <w:t>osting less than $5,000 a</w:t>
      </w:r>
      <w:r>
        <w:rPr>
          <w:spacing w:val="-3"/>
        </w:rPr>
        <w:t>r</w:t>
      </w:r>
      <w:r>
        <w:t>e immedi</w:t>
      </w:r>
      <w:r>
        <w:rPr>
          <w:spacing w:val="-1"/>
        </w:rPr>
        <w:t>a</w:t>
      </w:r>
      <w:r>
        <w:rPr>
          <w:spacing w:val="-2"/>
        </w:rPr>
        <w:t>t</w:t>
      </w:r>
      <w:r>
        <w:t xml:space="preserve">ely </w:t>
      </w:r>
      <w:r>
        <w:rPr>
          <w:spacing w:val="-1"/>
        </w:rPr>
        <w:t>e</w:t>
      </w:r>
      <w:r>
        <w:t>xpensed di</w:t>
      </w:r>
      <w:r>
        <w:rPr>
          <w:spacing w:val="-3"/>
        </w:rPr>
        <w:t>r</w:t>
      </w:r>
      <w:r>
        <w:t>e</w:t>
      </w:r>
      <w:r>
        <w:rPr>
          <w:spacing w:val="2"/>
        </w:rPr>
        <w:t>c</w:t>
      </w:r>
      <w:r>
        <w:t xml:space="preserve">t </w:t>
      </w:r>
      <w:r>
        <w:rPr>
          <w:spacing w:val="-2"/>
        </w:rPr>
        <w:t>t</w:t>
      </w:r>
      <w:r>
        <w:t xml:space="preserve">o the </w:t>
      </w:r>
      <w:r>
        <w:rPr>
          <w:spacing w:val="-1"/>
        </w:rPr>
        <w:t>S</w:t>
      </w:r>
      <w:r>
        <w:t>t</w:t>
      </w:r>
      <w:r>
        <w:rPr>
          <w:spacing w:val="-1"/>
        </w:rPr>
        <w:t>a</w:t>
      </w:r>
      <w:r>
        <w:rPr>
          <w:spacing w:val="-2"/>
        </w:rPr>
        <w:t>t</w:t>
      </w:r>
      <w:r>
        <w:t>eme</w:t>
      </w:r>
      <w:r>
        <w:rPr>
          <w:spacing w:val="-1"/>
        </w:rPr>
        <w:t>n</w:t>
      </w:r>
      <w:r>
        <w:t xml:space="preserve">t of </w:t>
      </w:r>
      <w:r>
        <w:rPr>
          <w:spacing w:val="-3"/>
        </w:rPr>
        <w:t>C</w:t>
      </w:r>
      <w:r>
        <w:t>omp</w:t>
      </w:r>
      <w:r>
        <w:rPr>
          <w:spacing w:val="-3"/>
        </w:rPr>
        <w:t>r</w:t>
      </w:r>
      <w:r>
        <w:t>ehensi</w:t>
      </w:r>
      <w:r>
        <w:rPr>
          <w:spacing w:val="-3"/>
        </w:rPr>
        <w:t>v</w:t>
      </w:r>
      <w:r>
        <w:t xml:space="preserve">e </w:t>
      </w:r>
      <w:r>
        <w:rPr>
          <w:spacing w:val="2"/>
        </w:rPr>
        <w:t>I</w:t>
      </w:r>
      <w:r>
        <w:t>n</w:t>
      </w:r>
      <w:r>
        <w:rPr>
          <w:spacing w:val="-2"/>
        </w:rPr>
        <w:t>c</w:t>
      </w:r>
      <w:r>
        <w:t>ome (other than whe</w:t>
      </w:r>
      <w:r>
        <w:rPr>
          <w:spacing w:val="-3"/>
        </w:rPr>
        <w:t>r</w:t>
      </w:r>
      <w:r>
        <w:t xml:space="preserve">e they </w:t>
      </w:r>
      <w:r>
        <w:rPr>
          <w:spacing w:val="-3"/>
        </w:rPr>
        <w:t>f</w:t>
      </w:r>
      <w:r>
        <w:t>orm pa</w:t>
      </w:r>
      <w:r>
        <w:rPr>
          <w:spacing w:val="5"/>
        </w:rPr>
        <w:t>r</w:t>
      </w:r>
      <w:r>
        <w:t xml:space="preserve">t of a </w:t>
      </w:r>
      <w:r>
        <w:rPr>
          <w:spacing w:val="-2"/>
        </w:rPr>
        <w:t>g</w:t>
      </w:r>
      <w:r>
        <w:rPr>
          <w:spacing w:val="-3"/>
        </w:rPr>
        <w:t>r</w:t>
      </w:r>
      <w:r>
        <w:t>oup of similar i</w:t>
      </w:r>
      <w:r>
        <w:rPr>
          <w:spacing w:val="-2"/>
        </w:rPr>
        <w:t>t</w:t>
      </w:r>
      <w:r>
        <w:t>ems</w:t>
      </w:r>
      <w:r>
        <w:rPr>
          <w:spacing w:val="-2"/>
        </w:rPr>
        <w:t xml:space="preserve"> </w:t>
      </w:r>
      <w:r>
        <w:t>which</w:t>
      </w:r>
      <w:r>
        <w:rPr>
          <w:spacing w:val="-1"/>
        </w:rPr>
        <w:t xml:space="preserve"> </w:t>
      </w:r>
      <w:r>
        <w:t>a</w:t>
      </w:r>
      <w:r>
        <w:rPr>
          <w:spacing w:val="-3"/>
        </w:rPr>
        <w:t>r</w:t>
      </w:r>
      <w:r>
        <w:t>e</w:t>
      </w:r>
      <w:r>
        <w:rPr>
          <w:spacing w:val="-1"/>
        </w:rPr>
        <w:t xml:space="preserve"> </w:t>
      </w:r>
      <w:r>
        <w:t>si</w:t>
      </w:r>
      <w:r>
        <w:rPr>
          <w:spacing w:val="-2"/>
        </w:rPr>
        <w:t>g</w:t>
      </w:r>
      <w:r>
        <w:t>nifica</w:t>
      </w:r>
      <w:r>
        <w:rPr>
          <w:spacing w:val="-1"/>
        </w:rPr>
        <w:t>n</w:t>
      </w:r>
      <w:r>
        <w:t>t</w:t>
      </w:r>
      <w:r>
        <w:rPr>
          <w:spacing w:val="-1"/>
        </w:rPr>
        <w:t xml:space="preserve"> </w:t>
      </w:r>
      <w:r>
        <w:t>in</w:t>
      </w:r>
      <w:r>
        <w:rPr>
          <w:spacing w:val="-2"/>
        </w:rPr>
        <w:t xml:space="preserve"> t</w:t>
      </w:r>
      <w:r>
        <w:t>otal).</w:t>
      </w:r>
    </w:p>
    <w:p w14:paraId="119CC935" w14:textId="77777777" w:rsidR="00193E91" w:rsidRPr="00DA1E18" w:rsidRDefault="00193E91" w:rsidP="003F0429">
      <w:pPr>
        <w:rPr>
          <w:rStyle w:val="Strong"/>
        </w:rPr>
      </w:pPr>
      <w:r w:rsidRPr="00DA1E18">
        <w:rPr>
          <w:rStyle w:val="Strong"/>
        </w:rPr>
        <w:t>Initial recognition and measurement</w:t>
      </w:r>
    </w:p>
    <w:p w14:paraId="0E59B2C8" w14:textId="77777777" w:rsidR="00193E91" w:rsidRDefault="00193E91" w:rsidP="003F0429">
      <w:pPr>
        <w:rPr>
          <w:color w:val="000000"/>
        </w:rPr>
      </w:pPr>
      <w:r>
        <w:rPr>
          <w:spacing w:val="-4"/>
        </w:rPr>
        <w:t>P</w:t>
      </w:r>
      <w:r>
        <w:rPr>
          <w:spacing w:val="-3"/>
        </w:rPr>
        <w:t>r</w:t>
      </w:r>
      <w:r>
        <w:t>ope</w:t>
      </w:r>
      <w:r>
        <w:rPr>
          <w:spacing w:val="5"/>
        </w:rPr>
        <w:t>r</w:t>
      </w:r>
      <w:r>
        <w:rPr>
          <w:spacing w:val="1"/>
        </w:rPr>
        <w:t>t</w:t>
      </w:r>
      <w:r>
        <w:rPr>
          <w:spacing w:val="-9"/>
        </w:rPr>
        <w:t>y</w:t>
      </w:r>
      <w:r>
        <w:t>, pla</w:t>
      </w:r>
      <w:r>
        <w:rPr>
          <w:spacing w:val="-1"/>
        </w:rPr>
        <w:t>n</w:t>
      </w:r>
      <w:r>
        <w:t>t and equipme</w:t>
      </w:r>
      <w:r>
        <w:rPr>
          <w:spacing w:val="-1"/>
        </w:rPr>
        <w:t>n</w:t>
      </w:r>
      <w:r>
        <w:t xml:space="preserve">t and </w:t>
      </w:r>
      <w:r>
        <w:rPr>
          <w:spacing w:val="-3"/>
        </w:rPr>
        <w:t>v</w:t>
      </w:r>
      <w:r>
        <w:t>ehicles a</w:t>
      </w:r>
      <w:r>
        <w:rPr>
          <w:spacing w:val="-3"/>
        </w:rPr>
        <w:t>r</w:t>
      </w:r>
      <w:r>
        <w:t xml:space="preserve">e initially </w:t>
      </w:r>
      <w:r>
        <w:rPr>
          <w:spacing w:val="-3"/>
        </w:rPr>
        <w:t>r</w:t>
      </w:r>
      <w:r>
        <w:t>e</w:t>
      </w:r>
      <w:r>
        <w:rPr>
          <w:spacing w:val="-2"/>
        </w:rPr>
        <w:t>c</w:t>
      </w:r>
      <w:r>
        <w:t>o</w:t>
      </w:r>
      <w:r>
        <w:rPr>
          <w:spacing w:val="-2"/>
        </w:rPr>
        <w:t>g</w:t>
      </w:r>
      <w:r>
        <w:t xml:space="preserve">nised </w:t>
      </w:r>
      <w:r>
        <w:rPr>
          <w:spacing w:val="-1"/>
        </w:rPr>
        <w:t>a</w:t>
      </w:r>
      <w:r>
        <w:t xml:space="preserve">t </w:t>
      </w:r>
      <w:r>
        <w:rPr>
          <w:spacing w:val="-2"/>
        </w:rPr>
        <w:t>c</w:t>
      </w:r>
      <w:r>
        <w:t>os</w:t>
      </w:r>
      <w:r>
        <w:rPr>
          <w:spacing w:val="-1"/>
        </w:rPr>
        <w:t>t</w:t>
      </w:r>
      <w:r>
        <w:t>.</w:t>
      </w:r>
    </w:p>
    <w:p w14:paraId="18EE73AA" w14:textId="77777777" w:rsidR="00193E91" w:rsidRDefault="00193E91" w:rsidP="003F0429">
      <w:pPr>
        <w:rPr>
          <w:color w:val="000000"/>
        </w:rPr>
      </w:pPr>
      <w:r>
        <w:rPr>
          <w:spacing w:val="-7"/>
        </w:rPr>
        <w:t>F</w:t>
      </w:r>
      <w:r>
        <w:t>or i</w:t>
      </w:r>
      <w:r>
        <w:rPr>
          <w:spacing w:val="-2"/>
        </w:rPr>
        <w:t>t</w:t>
      </w:r>
      <w:r>
        <w:t>ems of p</w:t>
      </w:r>
      <w:r>
        <w:rPr>
          <w:spacing w:val="-3"/>
        </w:rPr>
        <w:t>r</w:t>
      </w:r>
      <w:r>
        <w:t>ope</w:t>
      </w:r>
      <w:r>
        <w:rPr>
          <w:spacing w:val="5"/>
        </w:rPr>
        <w:t>r</w:t>
      </w:r>
      <w:r>
        <w:rPr>
          <w:spacing w:val="2"/>
        </w:rPr>
        <w:t>t</w:t>
      </w:r>
      <w:r>
        <w:rPr>
          <w:spacing w:val="-9"/>
        </w:rPr>
        <w:t>y</w:t>
      </w:r>
      <w:r>
        <w:t>, pla</w:t>
      </w:r>
      <w:r>
        <w:rPr>
          <w:spacing w:val="-1"/>
        </w:rPr>
        <w:t>n</w:t>
      </w:r>
      <w:r>
        <w:t>t and equipme</w:t>
      </w:r>
      <w:r>
        <w:rPr>
          <w:spacing w:val="-1"/>
        </w:rPr>
        <w:t>n</w:t>
      </w:r>
      <w:r>
        <w:t xml:space="preserve">t and </w:t>
      </w:r>
      <w:r>
        <w:rPr>
          <w:spacing w:val="-3"/>
        </w:rPr>
        <w:t>v</w:t>
      </w:r>
      <w:r>
        <w:t>ehicles a</w:t>
      </w:r>
      <w:r>
        <w:rPr>
          <w:spacing w:val="-2"/>
        </w:rPr>
        <w:t>c</w:t>
      </w:r>
      <w:r>
        <w:t>qui</w:t>
      </w:r>
      <w:r>
        <w:rPr>
          <w:spacing w:val="-3"/>
        </w:rPr>
        <w:t>r</w:t>
      </w:r>
      <w:r>
        <w:t xml:space="preserve">ed </w:t>
      </w:r>
      <w:r>
        <w:rPr>
          <w:spacing w:val="-1"/>
        </w:rPr>
        <w:t>a</w:t>
      </w:r>
      <w:r>
        <w:t xml:space="preserve">t no </w:t>
      </w:r>
      <w:r>
        <w:rPr>
          <w:spacing w:val="-2"/>
        </w:rPr>
        <w:t>c</w:t>
      </w:r>
      <w:r>
        <w:t xml:space="preserve">ost or </w:t>
      </w:r>
      <w:r>
        <w:rPr>
          <w:spacing w:val="-3"/>
        </w:rPr>
        <w:t>f</w:t>
      </w:r>
      <w:r>
        <w:t xml:space="preserve">or nominal </w:t>
      </w:r>
      <w:r>
        <w:rPr>
          <w:spacing w:val="-2"/>
        </w:rPr>
        <w:t>c</w:t>
      </w:r>
      <w:r>
        <w:t>os</w:t>
      </w:r>
      <w:r>
        <w:rPr>
          <w:spacing w:val="-1"/>
        </w:rPr>
        <w:t>t</w:t>
      </w:r>
      <w:r>
        <w:t xml:space="preserve">, the </w:t>
      </w:r>
      <w:r>
        <w:rPr>
          <w:spacing w:val="-2"/>
        </w:rPr>
        <w:t>c</w:t>
      </w:r>
      <w:r>
        <w:t xml:space="preserve">ost is the fair </w:t>
      </w:r>
      <w:r>
        <w:rPr>
          <w:spacing w:val="-1"/>
        </w:rPr>
        <w:t>v</w:t>
      </w:r>
      <w:r>
        <w:t xml:space="preserve">alue </w:t>
      </w:r>
      <w:r>
        <w:rPr>
          <w:spacing w:val="-1"/>
        </w:rPr>
        <w:t>a</w:t>
      </w:r>
      <w:r>
        <w:t>t the d</w:t>
      </w:r>
      <w:r>
        <w:rPr>
          <w:spacing w:val="-1"/>
        </w:rPr>
        <w:t>a</w:t>
      </w:r>
      <w:r>
        <w:rPr>
          <w:spacing w:val="-2"/>
        </w:rPr>
        <w:t>t</w:t>
      </w:r>
      <w:r>
        <w:t>e of a</w:t>
      </w:r>
      <w:r>
        <w:rPr>
          <w:spacing w:val="-2"/>
        </w:rPr>
        <w:t>c</w:t>
      </w:r>
      <w:r>
        <w:t>quisition.</w:t>
      </w:r>
    </w:p>
    <w:p w14:paraId="26366E4E" w14:textId="7F3C268E" w:rsidR="00E44526" w:rsidRPr="00DA1E18" w:rsidRDefault="00E44526" w:rsidP="00E44526">
      <w:pPr>
        <w:rPr>
          <w:rStyle w:val="Strong"/>
        </w:rPr>
      </w:pPr>
      <w:r w:rsidRPr="00DA1E18">
        <w:rPr>
          <w:rStyle w:val="Strong"/>
        </w:rPr>
        <w:t>Subsequent measurement</w:t>
      </w:r>
    </w:p>
    <w:p w14:paraId="546FC970" w14:textId="77777777" w:rsidR="00E44526" w:rsidRDefault="00E44526" w:rsidP="00E44526">
      <w:pPr>
        <w:rPr>
          <w:color w:val="000000"/>
        </w:rPr>
      </w:pPr>
      <w:r>
        <w:t>Subseque</w:t>
      </w:r>
      <w:r>
        <w:rPr>
          <w:spacing w:val="-1"/>
        </w:rPr>
        <w:t>n</w:t>
      </w:r>
      <w:r>
        <w:t xml:space="preserve">t </w:t>
      </w:r>
      <w:r>
        <w:rPr>
          <w:spacing w:val="-2"/>
        </w:rPr>
        <w:t>t</w:t>
      </w:r>
      <w:r>
        <w:t xml:space="preserve">o initial </w:t>
      </w:r>
      <w:r>
        <w:rPr>
          <w:spacing w:val="-3"/>
        </w:rPr>
        <w:t>r</w:t>
      </w:r>
      <w:r>
        <w:t>e</w:t>
      </w:r>
      <w:r>
        <w:rPr>
          <w:spacing w:val="-2"/>
        </w:rPr>
        <w:t>c</w:t>
      </w:r>
      <w:r>
        <w:t>o</w:t>
      </w:r>
      <w:r>
        <w:rPr>
          <w:spacing w:val="-2"/>
        </w:rPr>
        <w:t>g</w:t>
      </w:r>
      <w:r>
        <w:t>nition as an asse</w:t>
      </w:r>
      <w:r>
        <w:rPr>
          <w:spacing w:val="-1"/>
        </w:rPr>
        <w:t>t</w:t>
      </w:r>
      <w:r>
        <w:t xml:space="preserve">, the </w:t>
      </w:r>
      <w:r>
        <w:rPr>
          <w:spacing w:val="-3"/>
        </w:rPr>
        <w:t>r</w:t>
      </w:r>
      <w:r>
        <w:t>e</w:t>
      </w:r>
      <w:r>
        <w:rPr>
          <w:spacing w:val="-1"/>
        </w:rPr>
        <w:t>v</w:t>
      </w:r>
      <w:r>
        <w:t>alu</w:t>
      </w:r>
      <w:r>
        <w:rPr>
          <w:spacing w:val="-1"/>
        </w:rPr>
        <w:t>a</w:t>
      </w:r>
      <w:r>
        <w:t xml:space="preserve">tion model is used </w:t>
      </w:r>
      <w:r>
        <w:rPr>
          <w:spacing w:val="-3"/>
        </w:rPr>
        <w:t>f</w:t>
      </w:r>
      <w:r>
        <w:t>or the measu</w:t>
      </w:r>
      <w:r>
        <w:rPr>
          <w:spacing w:val="-3"/>
        </w:rPr>
        <w:t>r</w:t>
      </w:r>
      <w:r>
        <w:t>eme</w:t>
      </w:r>
      <w:r>
        <w:rPr>
          <w:spacing w:val="-1"/>
        </w:rPr>
        <w:t>n</w:t>
      </w:r>
      <w:r>
        <w:t>t of land and buildings and his</w:t>
      </w:r>
      <w:r>
        <w:rPr>
          <w:spacing w:val="-2"/>
        </w:rPr>
        <w:t>t</w:t>
      </w:r>
      <w:r>
        <w:t xml:space="preserve">orical </w:t>
      </w:r>
      <w:r>
        <w:rPr>
          <w:spacing w:val="-2"/>
        </w:rPr>
        <w:t>c</w:t>
      </w:r>
      <w:r>
        <w:t xml:space="preserve">ost </w:t>
      </w:r>
      <w:r>
        <w:rPr>
          <w:spacing w:val="-3"/>
        </w:rPr>
        <w:t>f</w:t>
      </w:r>
      <w:r>
        <w:t>or all other p</w:t>
      </w:r>
      <w:r>
        <w:rPr>
          <w:spacing w:val="-3"/>
        </w:rPr>
        <w:t>r</w:t>
      </w:r>
      <w:r>
        <w:t>ope</w:t>
      </w:r>
      <w:r>
        <w:rPr>
          <w:spacing w:val="5"/>
        </w:rPr>
        <w:t>r</w:t>
      </w:r>
      <w:r>
        <w:rPr>
          <w:spacing w:val="1"/>
        </w:rPr>
        <w:t>t</w:t>
      </w:r>
      <w:r>
        <w:rPr>
          <w:spacing w:val="-9"/>
        </w:rPr>
        <w:t>y</w:t>
      </w:r>
      <w:r>
        <w:t>, pla</w:t>
      </w:r>
      <w:r>
        <w:rPr>
          <w:spacing w:val="-1"/>
        </w:rPr>
        <w:t>n</w:t>
      </w:r>
      <w:r>
        <w:t>t and equipme</w:t>
      </w:r>
      <w:r>
        <w:rPr>
          <w:spacing w:val="-1"/>
        </w:rPr>
        <w:t>nt</w:t>
      </w:r>
      <w:r>
        <w:t>. Land and buildings a</w:t>
      </w:r>
      <w:r>
        <w:rPr>
          <w:spacing w:val="-3"/>
        </w:rPr>
        <w:t>r</w:t>
      </w:r>
      <w:r>
        <w:t xml:space="preserve">e carried </w:t>
      </w:r>
      <w:r>
        <w:rPr>
          <w:spacing w:val="-1"/>
        </w:rPr>
        <w:t>a</w:t>
      </w:r>
      <w:r>
        <w:t xml:space="preserve">t fair </w:t>
      </w:r>
      <w:r>
        <w:rPr>
          <w:spacing w:val="-1"/>
        </w:rPr>
        <w:t>v</w:t>
      </w:r>
      <w:r>
        <w:t>alue less a</w:t>
      </w:r>
      <w:r>
        <w:rPr>
          <w:spacing w:val="-2"/>
        </w:rPr>
        <w:t>c</w:t>
      </w:r>
      <w:r>
        <w:t>cumul</w:t>
      </w:r>
      <w:r>
        <w:rPr>
          <w:spacing w:val="-1"/>
        </w:rPr>
        <w:t>a</w:t>
      </w:r>
      <w:r>
        <w:rPr>
          <w:spacing w:val="-2"/>
        </w:rPr>
        <w:t>t</w:t>
      </w:r>
      <w:r>
        <w:t>ed dep</w:t>
      </w:r>
      <w:r>
        <w:rPr>
          <w:spacing w:val="-3"/>
        </w:rPr>
        <w:t>r</w:t>
      </w:r>
      <w:r>
        <w:t>eci</w:t>
      </w:r>
      <w:r>
        <w:rPr>
          <w:spacing w:val="-1"/>
        </w:rPr>
        <w:t>a</w:t>
      </w:r>
      <w:r>
        <w:t>tion (buildings only) and a</w:t>
      </w:r>
      <w:r>
        <w:rPr>
          <w:spacing w:val="-2"/>
        </w:rPr>
        <w:t>c</w:t>
      </w:r>
      <w:r>
        <w:t>cumul</w:t>
      </w:r>
      <w:r>
        <w:rPr>
          <w:spacing w:val="-1"/>
        </w:rPr>
        <w:t>a</w:t>
      </w:r>
      <w:r>
        <w:rPr>
          <w:spacing w:val="-2"/>
        </w:rPr>
        <w:t>t</w:t>
      </w:r>
      <w:r>
        <w:t>ed impairme</w:t>
      </w:r>
      <w:r>
        <w:rPr>
          <w:spacing w:val="-1"/>
        </w:rPr>
        <w:t>n</w:t>
      </w:r>
      <w:r>
        <w:t>t losse</w:t>
      </w:r>
      <w:r>
        <w:rPr>
          <w:spacing w:val="-3"/>
        </w:rPr>
        <w:t>s</w:t>
      </w:r>
      <w:r>
        <w:t xml:space="preserve">. </w:t>
      </w:r>
      <w:r>
        <w:rPr>
          <w:spacing w:val="-1"/>
        </w:rPr>
        <w:t>A</w:t>
      </w:r>
      <w:r>
        <w:t>ll other i</w:t>
      </w:r>
      <w:r>
        <w:rPr>
          <w:spacing w:val="-2"/>
        </w:rPr>
        <w:t>t</w:t>
      </w:r>
      <w:r>
        <w:t>ems of p</w:t>
      </w:r>
      <w:r>
        <w:rPr>
          <w:spacing w:val="-3"/>
        </w:rPr>
        <w:t>r</w:t>
      </w:r>
      <w:r>
        <w:t>ope</w:t>
      </w:r>
      <w:r>
        <w:rPr>
          <w:spacing w:val="5"/>
        </w:rPr>
        <w:t>r</w:t>
      </w:r>
      <w:r>
        <w:rPr>
          <w:spacing w:val="2"/>
        </w:rPr>
        <w:t>t</w:t>
      </w:r>
      <w:r>
        <w:rPr>
          <w:spacing w:val="-9"/>
        </w:rPr>
        <w:t>y</w:t>
      </w:r>
      <w:r>
        <w:t>, pla</w:t>
      </w:r>
      <w:r>
        <w:rPr>
          <w:spacing w:val="-1"/>
        </w:rPr>
        <w:t>n</w:t>
      </w:r>
      <w:r>
        <w:t>t and equipme</w:t>
      </w:r>
      <w:r>
        <w:rPr>
          <w:spacing w:val="-1"/>
        </w:rPr>
        <w:t>n</w:t>
      </w:r>
      <w:r>
        <w:t>t a</w:t>
      </w:r>
      <w:r>
        <w:rPr>
          <w:spacing w:val="-3"/>
        </w:rPr>
        <w:t>r</w:t>
      </w:r>
      <w:r>
        <w:t>e st</w:t>
      </w:r>
      <w:r>
        <w:rPr>
          <w:spacing w:val="-1"/>
        </w:rPr>
        <w:t>a</w:t>
      </w:r>
      <w:r>
        <w:rPr>
          <w:spacing w:val="-2"/>
        </w:rPr>
        <w:t>t</w:t>
      </w:r>
      <w:r>
        <w:t xml:space="preserve">ed </w:t>
      </w:r>
      <w:r>
        <w:rPr>
          <w:spacing w:val="-1"/>
        </w:rPr>
        <w:t>a</w:t>
      </w:r>
      <w:r>
        <w:t>t his</w:t>
      </w:r>
      <w:r>
        <w:rPr>
          <w:spacing w:val="-2"/>
        </w:rPr>
        <w:t>t</w:t>
      </w:r>
      <w:r>
        <w:t xml:space="preserve">orical </w:t>
      </w:r>
      <w:r>
        <w:rPr>
          <w:spacing w:val="-2"/>
        </w:rPr>
        <w:t>c</w:t>
      </w:r>
      <w:r>
        <w:t>ost less a</w:t>
      </w:r>
      <w:r>
        <w:rPr>
          <w:spacing w:val="-2"/>
        </w:rPr>
        <w:t>c</w:t>
      </w:r>
      <w:r>
        <w:t>cumul</w:t>
      </w:r>
      <w:r>
        <w:rPr>
          <w:spacing w:val="-1"/>
        </w:rPr>
        <w:t>a</w:t>
      </w:r>
      <w:r>
        <w:rPr>
          <w:spacing w:val="-2"/>
        </w:rPr>
        <w:t>t</w:t>
      </w:r>
      <w:r>
        <w:t>ed dep</w:t>
      </w:r>
      <w:r>
        <w:rPr>
          <w:spacing w:val="-3"/>
        </w:rPr>
        <w:t>r</w:t>
      </w:r>
      <w:r>
        <w:t>eci</w:t>
      </w:r>
      <w:r>
        <w:rPr>
          <w:spacing w:val="-1"/>
        </w:rPr>
        <w:t>a</w:t>
      </w:r>
      <w:r>
        <w:t>tion and a</w:t>
      </w:r>
      <w:r>
        <w:rPr>
          <w:spacing w:val="-2"/>
        </w:rPr>
        <w:t>c</w:t>
      </w:r>
      <w:r>
        <w:t>cumul</w:t>
      </w:r>
      <w:r>
        <w:rPr>
          <w:spacing w:val="-1"/>
        </w:rPr>
        <w:t>a</w:t>
      </w:r>
      <w:r>
        <w:rPr>
          <w:spacing w:val="-2"/>
        </w:rPr>
        <w:t>t</w:t>
      </w:r>
      <w:r>
        <w:t>ed impairme</w:t>
      </w:r>
      <w:r>
        <w:rPr>
          <w:spacing w:val="-1"/>
        </w:rPr>
        <w:t>n</w:t>
      </w:r>
      <w:r>
        <w:t>t losse</w:t>
      </w:r>
      <w:r>
        <w:rPr>
          <w:spacing w:val="-3"/>
        </w:rPr>
        <w:t>s</w:t>
      </w:r>
      <w:r>
        <w:t>.</w:t>
      </w:r>
    </w:p>
    <w:p w14:paraId="2908CA74" w14:textId="77777777" w:rsidR="00E44526" w:rsidRDefault="00E44526" w:rsidP="00E44526">
      <w:pPr>
        <w:rPr>
          <w:color w:val="000000"/>
        </w:rPr>
      </w:pPr>
      <w:r>
        <w:rPr>
          <w:spacing w:val="-2"/>
        </w:rPr>
        <w:t>W</w:t>
      </w:r>
      <w:r>
        <w:t>he</w:t>
      </w:r>
      <w:r>
        <w:rPr>
          <w:spacing w:val="-3"/>
        </w:rPr>
        <w:t>r</w:t>
      </w:r>
      <w:r>
        <w:t>e marke</w:t>
      </w:r>
      <w:r>
        <w:rPr>
          <w:spacing w:val="-2"/>
        </w:rPr>
        <w:t>t</w:t>
      </w:r>
      <w:r>
        <w:t>-based eviden</w:t>
      </w:r>
      <w:r>
        <w:rPr>
          <w:spacing w:val="-2"/>
        </w:rPr>
        <w:t>c</w:t>
      </w:r>
      <w:r>
        <w:t xml:space="preserve">e is </w:t>
      </w:r>
      <w:r>
        <w:rPr>
          <w:spacing w:val="-2"/>
        </w:rPr>
        <w:t>a</w:t>
      </w:r>
      <w:r>
        <w:rPr>
          <w:spacing w:val="-1"/>
        </w:rPr>
        <w:t>v</w:t>
      </w:r>
      <w:r>
        <w:t>ailabl</w:t>
      </w:r>
      <w:r>
        <w:rPr>
          <w:spacing w:val="-3"/>
        </w:rPr>
        <w:t>e</w:t>
      </w:r>
      <w:r>
        <w:t xml:space="preserve">, the fair </w:t>
      </w:r>
      <w:r>
        <w:rPr>
          <w:spacing w:val="-1"/>
        </w:rPr>
        <w:t>v</w:t>
      </w:r>
      <w:r>
        <w:t>alue of land and buildings is de</w:t>
      </w:r>
      <w:r>
        <w:rPr>
          <w:spacing w:val="-2"/>
        </w:rPr>
        <w:t>t</w:t>
      </w:r>
      <w:r>
        <w:t>ermined on the basis of cur</w:t>
      </w:r>
      <w:r>
        <w:rPr>
          <w:spacing w:val="-3"/>
        </w:rPr>
        <w:t>r</w:t>
      </w:r>
      <w:r>
        <w:t>e</w:t>
      </w:r>
      <w:r>
        <w:rPr>
          <w:spacing w:val="-1"/>
        </w:rPr>
        <w:t>n</w:t>
      </w:r>
      <w:r>
        <w:t xml:space="preserve">t market </w:t>
      </w:r>
      <w:r>
        <w:rPr>
          <w:spacing w:val="-1"/>
        </w:rPr>
        <w:t>v</w:t>
      </w:r>
      <w:r>
        <w:t>alues de</w:t>
      </w:r>
      <w:r>
        <w:rPr>
          <w:spacing w:val="-2"/>
        </w:rPr>
        <w:t>t</w:t>
      </w:r>
      <w:r>
        <w:t xml:space="preserve">ermined </w:t>
      </w:r>
      <w:r>
        <w:rPr>
          <w:spacing w:val="-2"/>
        </w:rPr>
        <w:t>b</w:t>
      </w:r>
      <w:r>
        <w:t xml:space="preserve">y </w:t>
      </w:r>
      <w:r>
        <w:rPr>
          <w:spacing w:val="-3"/>
        </w:rPr>
        <w:t>r</w:t>
      </w:r>
      <w:r>
        <w:t>e</w:t>
      </w:r>
      <w:r>
        <w:rPr>
          <w:spacing w:val="-3"/>
        </w:rPr>
        <w:t>f</w:t>
      </w:r>
      <w:r>
        <w:t>e</w:t>
      </w:r>
      <w:r>
        <w:rPr>
          <w:spacing w:val="-3"/>
        </w:rPr>
        <w:t>r</w:t>
      </w:r>
      <w:r>
        <w:t>en</w:t>
      </w:r>
      <w:r>
        <w:rPr>
          <w:spacing w:val="-2"/>
        </w:rPr>
        <w:t>c</w:t>
      </w:r>
      <w:r>
        <w:t xml:space="preserve">e </w:t>
      </w:r>
      <w:r>
        <w:rPr>
          <w:spacing w:val="-2"/>
        </w:rPr>
        <w:t>t</w:t>
      </w:r>
      <w:r>
        <w:t xml:space="preserve">o </w:t>
      </w:r>
      <w:r>
        <w:rPr>
          <w:spacing w:val="-3"/>
        </w:rPr>
        <w:t>r</w:t>
      </w:r>
      <w:r>
        <w:t>e</w:t>
      </w:r>
      <w:r>
        <w:rPr>
          <w:spacing w:val="-2"/>
        </w:rPr>
        <w:t>c</w:t>
      </w:r>
      <w:r>
        <w:t>e</w:t>
      </w:r>
      <w:r>
        <w:rPr>
          <w:spacing w:val="-1"/>
        </w:rPr>
        <w:t>n</w:t>
      </w:r>
      <w:r>
        <w:t>t market t</w:t>
      </w:r>
      <w:r>
        <w:rPr>
          <w:spacing w:val="-2"/>
        </w:rPr>
        <w:t>r</w:t>
      </w:r>
      <w:r>
        <w:t>ansa</w:t>
      </w:r>
      <w:r>
        <w:rPr>
          <w:spacing w:val="2"/>
        </w:rPr>
        <w:t>c</w:t>
      </w:r>
      <w:r>
        <w:t>tion</w:t>
      </w:r>
      <w:r>
        <w:rPr>
          <w:spacing w:val="-3"/>
        </w:rPr>
        <w:t>s</w:t>
      </w:r>
      <w:r>
        <w:t>.</w:t>
      </w:r>
      <w:r>
        <w:rPr>
          <w:spacing w:val="38"/>
        </w:rPr>
        <w:t xml:space="preserve"> </w:t>
      </w:r>
      <w:r>
        <w:rPr>
          <w:spacing w:val="-2"/>
        </w:rPr>
        <w:t>W</w:t>
      </w:r>
      <w:r>
        <w:t>hen buildings a</w:t>
      </w:r>
      <w:r>
        <w:rPr>
          <w:spacing w:val="-3"/>
        </w:rPr>
        <w:t>r</w:t>
      </w:r>
      <w:r>
        <w:t xml:space="preserve">e </w:t>
      </w:r>
      <w:r>
        <w:rPr>
          <w:spacing w:val="-3"/>
        </w:rPr>
        <w:t>r</w:t>
      </w:r>
      <w:r>
        <w:t>e</w:t>
      </w:r>
      <w:r>
        <w:rPr>
          <w:spacing w:val="-1"/>
        </w:rPr>
        <w:t>v</w:t>
      </w:r>
      <w:r>
        <w:t xml:space="preserve">alued </w:t>
      </w:r>
      <w:r>
        <w:rPr>
          <w:spacing w:val="-2"/>
        </w:rPr>
        <w:t>b</w:t>
      </w:r>
      <w:r>
        <w:t xml:space="preserve">y </w:t>
      </w:r>
      <w:r>
        <w:rPr>
          <w:spacing w:val="-3"/>
        </w:rPr>
        <w:t>r</w:t>
      </w:r>
      <w:r>
        <w:t>e</w:t>
      </w:r>
      <w:r>
        <w:rPr>
          <w:spacing w:val="-3"/>
        </w:rPr>
        <w:t>f</w:t>
      </w:r>
      <w:r>
        <w:t>e</w:t>
      </w:r>
      <w:r>
        <w:rPr>
          <w:spacing w:val="-3"/>
        </w:rPr>
        <w:t>r</w:t>
      </w:r>
      <w:r>
        <w:t>en</w:t>
      </w:r>
      <w:r>
        <w:rPr>
          <w:spacing w:val="-2"/>
        </w:rPr>
        <w:t>c</w:t>
      </w:r>
      <w:r>
        <w:t xml:space="preserve">e </w:t>
      </w:r>
      <w:r>
        <w:rPr>
          <w:spacing w:val="-2"/>
        </w:rPr>
        <w:t>t</w:t>
      </w:r>
      <w:r>
        <w:t xml:space="preserve">o </w:t>
      </w:r>
      <w:r>
        <w:rPr>
          <w:spacing w:val="-3"/>
        </w:rPr>
        <w:t>r</w:t>
      </w:r>
      <w:r>
        <w:t>e</w:t>
      </w:r>
      <w:r>
        <w:rPr>
          <w:spacing w:val="-2"/>
        </w:rPr>
        <w:t>c</w:t>
      </w:r>
      <w:r>
        <w:t>e</w:t>
      </w:r>
      <w:r>
        <w:rPr>
          <w:spacing w:val="-1"/>
        </w:rPr>
        <w:t>n</w:t>
      </w:r>
      <w:r>
        <w:t>t market t</w:t>
      </w:r>
      <w:r>
        <w:rPr>
          <w:spacing w:val="-2"/>
        </w:rPr>
        <w:t>r</w:t>
      </w:r>
      <w:r>
        <w:t>ansa</w:t>
      </w:r>
      <w:r>
        <w:rPr>
          <w:spacing w:val="2"/>
        </w:rPr>
        <w:t>c</w:t>
      </w:r>
      <w:r>
        <w:t>tion</w:t>
      </w:r>
      <w:r>
        <w:rPr>
          <w:spacing w:val="-3"/>
        </w:rPr>
        <w:t>s</w:t>
      </w:r>
      <w:r>
        <w:t>, the a</w:t>
      </w:r>
      <w:r>
        <w:rPr>
          <w:spacing w:val="-2"/>
        </w:rPr>
        <w:t>c</w:t>
      </w:r>
      <w:r>
        <w:t>cumul</w:t>
      </w:r>
      <w:r>
        <w:rPr>
          <w:spacing w:val="-1"/>
        </w:rPr>
        <w:t>a</w:t>
      </w:r>
      <w:r>
        <w:rPr>
          <w:spacing w:val="-2"/>
        </w:rPr>
        <w:t>t</w:t>
      </w:r>
      <w:r>
        <w:t>ed dep</w:t>
      </w:r>
      <w:r>
        <w:rPr>
          <w:spacing w:val="-3"/>
        </w:rPr>
        <w:t>r</w:t>
      </w:r>
      <w:r>
        <w:t>eci</w:t>
      </w:r>
      <w:r>
        <w:rPr>
          <w:spacing w:val="-1"/>
        </w:rPr>
        <w:t>a</w:t>
      </w:r>
      <w:r>
        <w:t>tion is elimin</w:t>
      </w:r>
      <w:r>
        <w:rPr>
          <w:spacing w:val="-1"/>
        </w:rPr>
        <w:t>a</w:t>
      </w:r>
      <w:r>
        <w:rPr>
          <w:spacing w:val="-2"/>
        </w:rPr>
        <w:t>t</w:t>
      </w:r>
      <w:r>
        <w:t xml:space="preserve">ed against the </w:t>
      </w:r>
      <w:r>
        <w:rPr>
          <w:spacing w:val="-2"/>
        </w:rPr>
        <w:t>g</w:t>
      </w:r>
      <w:r>
        <w:rPr>
          <w:spacing w:val="-3"/>
        </w:rPr>
        <w:t>r</w:t>
      </w:r>
      <w:r>
        <w:t>oss car</w:t>
      </w:r>
      <w:r>
        <w:rPr>
          <w:spacing w:val="5"/>
        </w:rPr>
        <w:t>r</w:t>
      </w:r>
      <w:r>
        <w:t>ying amou</w:t>
      </w:r>
      <w:r>
        <w:rPr>
          <w:spacing w:val="-1"/>
        </w:rPr>
        <w:t>n</w:t>
      </w:r>
      <w:r>
        <w:t>t of the asset and the net amou</w:t>
      </w:r>
      <w:r>
        <w:rPr>
          <w:spacing w:val="-1"/>
        </w:rPr>
        <w:t>n</w:t>
      </w:r>
      <w:r>
        <w:t xml:space="preserve">t </w:t>
      </w:r>
      <w:r>
        <w:rPr>
          <w:spacing w:val="-3"/>
        </w:rPr>
        <w:t>r</w:t>
      </w:r>
      <w:r>
        <w:t>est</w:t>
      </w:r>
      <w:r>
        <w:rPr>
          <w:spacing w:val="-1"/>
        </w:rPr>
        <w:t>a</w:t>
      </w:r>
      <w:r>
        <w:rPr>
          <w:spacing w:val="-2"/>
        </w:rPr>
        <w:t>t</w:t>
      </w:r>
      <w:r>
        <w:t xml:space="preserve">ed </w:t>
      </w:r>
      <w:r>
        <w:rPr>
          <w:spacing w:val="-2"/>
        </w:rPr>
        <w:t>t</w:t>
      </w:r>
      <w:r>
        <w:t xml:space="preserve">o the </w:t>
      </w:r>
      <w:r>
        <w:rPr>
          <w:spacing w:val="-3"/>
        </w:rPr>
        <w:t>r</w:t>
      </w:r>
      <w:r>
        <w:t>e</w:t>
      </w:r>
      <w:r>
        <w:rPr>
          <w:spacing w:val="-1"/>
        </w:rPr>
        <w:t>v</w:t>
      </w:r>
      <w:r>
        <w:t>alued amou</w:t>
      </w:r>
      <w:r>
        <w:rPr>
          <w:spacing w:val="-1"/>
        </w:rPr>
        <w:t>nt</w:t>
      </w:r>
      <w:r>
        <w:t>.</w:t>
      </w:r>
    </w:p>
    <w:p w14:paraId="5D49D80F" w14:textId="377620DA" w:rsidR="00E44526" w:rsidRDefault="00E44526" w:rsidP="00E44526">
      <w:pPr>
        <w:rPr>
          <w:color w:val="000000"/>
        </w:rPr>
      </w:pPr>
      <w:r>
        <w:rPr>
          <w:spacing w:val="2"/>
        </w:rPr>
        <w:t>I</w:t>
      </w:r>
      <w:r>
        <w:t>n the absen</w:t>
      </w:r>
      <w:r>
        <w:rPr>
          <w:spacing w:val="-2"/>
        </w:rPr>
        <w:t>c</w:t>
      </w:r>
      <w:r>
        <w:t>e of marke</w:t>
      </w:r>
      <w:r>
        <w:rPr>
          <w:spacing w:val="-2"/>
        </w:rPr>
        <w:t>t</w:t>
      </w:r>
      <w:r>
        <w:t>-based eviden</w:t>
      </w:r>
      <w:r>
        <w:rPr>
          <w:spacing w:val="-2"/>
        </w:rPr>
        <w:t>c</w:t>
      </w:r>
      <w:r>
        <w:rPr>
          <w:spacing w:val="-3"/>
        </w:rPr>
        <w:t>e</w:t>
      </w:r>
      <w:r>
        <w:t xml:space="preserve">, fair </w:t>
      </w:r>
      <w:r>
        <w:rPr>
          <w:spacing w:val="-1"/>
        </w:rPr>
        <w:t>v</w:t>
      </w:r>
      <w:r>
        <w:t>alue of land and buildings is de</w:t>
      </w:r>
      <w:r>
        <w:rPr>
          <w:spacing w:val="-2"/>
        </w:rPr>
        <w:t>t</w:t>
      </w:r>
      <w:r>
        <w:t xml:space="preserve">ermined on the basis of </w:t>
      </w:r>
      <w:r>
        <w:rPr>
          <w:spacing w:val="-1"/>
        </w:rPr>
        <w:t>e</w:t>
      </w:r>
      <w:r>
        <w:t>xisting us</w:t>
      </w:r>
      <w:r>
        <w:rPr>
          <w:spacing w:val="-3"/>
        </w:rPr>
        <w:t>e</w:t>
      </w:r>
      <w:r>
        <w:t>.</w:t>
      </w:r>
      <w:r>
        <w:rPr>
          <w:spacing w:val="37"/>
        </w:rPr>
        <w:t xml:space="preserve"> </w:t>
      </w:r>
      <w:r>
        <w:rPr>
          <w:spacing w:val="-2"/>
        </w:rPr>
        <w:t>T</w:t>
      </w:r>
      <w:r>
        <w:t>his normally applies whe</w:t>
      </w:r>
      <w:r>
        <w:rPr>
          <w:spacing w:val="-3"/>
        </w:rPr>
        <w:t>r</w:t>
      </w:r>
      <w:r>
        <w:t>e buildings a</w:t>
      </w:r>
      <w:r>
        <w:rPr>
          <w:spacing w:val="-3"/>
        </w:rPr>
        <w:t>r</w:t>
      </w:r>
      <w:r>
        <w:t>e specialised or whe</w:t>
      </w:r>
      <w:r>
        <w:rPr>
          <w:spacing w:val="-3"/>
        </w:rPr>
        <w:t>r</w:t>
      </w:r>
      <w:r>
        <w:t xml:space="preserve">e land use is </w:t>
      </w:r>
      <w:r>
        <w:rPr>
          <w:spacing w:val="-3"/>
        </w:rPr>
        <w:t>r</w:t>
      </w:r>
      <w:r>
        <w:t>estri</w:t>
      </w:r>
      <w:r>
        <w:rPr>
          <w:spacing w:val="2"/>
        </w:rPr>
        <w:t>c</w:t>
      </w:r>
      <w:r>
        <w:rPr>
          <w:spacing w:val="-2"/>
        </w:rPr>
        <w:t>t</w:t>
      </w:r>
      <w:r>
        <w:t>e</w:t>
      </w:r>
      <w:r>
        <w:rPr>
          <w:spacing w:val="-3"/>
        </w:rPr>
        <w:t>d</w:t>
      </w:r>
      <w:r>
        <w:t>.</w:t>
      </w:r>
      <w:r>
        <w:rPr>
          <w:spacing w:val="46"/>
        </w:rPr>
        <w:t xml:space="preserve"> </w:t>
      </w:r>
      <w:r>
        <w:rPr>
          <w:spacing w:val="-10"/>
        </w:rPr>
        <w:t>F</w:t>
      </w:r>
      <w:r>
        <w:t xml:space="preserve">air </w:t>
      </w:r>
      <w:r>
        <w:rPr>
          <w:spacing w:val="-1"/>
        </w:rPr>
        <w:t>v</w:t>
      </w:r>
      <w:r>
        <w:t xml:space="preserve">alue </w:t>
      </w:r>
      <w:r>
        <w:rPr>
          <w:spacing w:val="-3"/>
        </w:rPr>
        <w:t>f</w:t>
      </w:r>
      <w:r>
        <w:t xml:space="preserve">or </w:t>
      </w:r>
      <w:r>
        <w:rPr>
          <w:spacing w:val="-1"/>
        </w:rPr>
        <w:t>e</w:t>
      </w:r>
      <w:r>
        <w:t>xisting use buildings is de</w:t>
      </w:r>
      <w:r>
        <w:rPr>
          <w:spacing w:val="-2"/>
        </w:rPr>
        <w:t>t</w:t>
      </w:r>
      <w:r>
        <w:t xml:space="preserve">ermined </w:t>
      </w:r>
      <w:r>
        <w:rPr>
          <w:spacing w:val="-2"/>
        </w:rPr>
        <w:t>b</w:t>
      </w:r>
      <w:r>
        <w:t xml:space="preserve">y </w:t>
      </w:r>
      <w:r>
        <w:rPr>
          <w:spacing w:val="-3"/>
        </w:rPr>
        <w:t>r</w:t>
      </w:r>
      <w:r>
        <w:t>e</w:t>
      </w:r>
      <w:r>
        <w:rPr>
          <w:spacing w:val="-3"/>
        </w:rPr>
        <w:t>f</w:t>
      </w:r>
      <w:r>
        <w:t>e</w:t>
      </w:r>
      <w:r>
        <w:rPr>
          <w:spacing w:val="-3"/>
        </w:rPr>
        <w:t>r</w:t>
      </w:r>
      <w:r>
        <w:t>en</w:t>
      </w:r>
      <w:r>
        <w:rPr>
          <w:spacing w:val="-2"/>
        </w:rPr>
        <w:t>c</w:t>
      </w:r>
      <w:r>
        <w:t xml:space="preserve">e </w:t>
      </w:r>
      <w:r>
        <w:rPr>
          <w:spacing w:val="-2"/>
        </w:rPr>
        <w:t>t</w:t>
      </w:r>
      <w:r>
        <w:t xml:space="preserve">o the </w:t>
      </w:r>
      <w:r>
        <w:rPr>
          <w:spacing w:val="-2"/>
        </w:rPr>
        <w:t>c</w:t>
      </w:r>
      <w:r>
        <w:t xml:space="preserve">ost of </w:t>
      </w:r>
      <w:r>
        <w:rPr>
          <w:spacing w:val="-3"/>
        </w:rPr>
        <w:t>r</w:t>
      </w:r>
      <w:r>
        <w:t xml:space="preserve">eplacing the </w:t>
      </w:r>
      <w:r>
        <w:rPr>
          <w:spacing w:val="-3"/>
        </w:rPr>
        <w:t>r</w:t>
      </w:r>
      <w:r>
        <w:t>emaining futu</w:t>
      </w:r>
      <w:r>
        <w:rPr>
          <w:spacing w:val="-3"/>
        </w:rPr>
        <w:t>r</w:t>
      </w:r>
      <w:r>
        <w:t>e e</w:t>
      </w:r>
      <w:r>
        <w:rPr>
          <w:spacing w:val="-2"/>
        </w:rPr>
        <w:t>c</w:t>
      </w:r>
      <w:r>
        <w:t>onomic benefits</w:t>
      </w:r>
      <w:r>
        <w:rPr>
          <w:spacing w:val="-1"/>
        </w:rPr>
        <w:t xml:space="preserve"> </w:t>
      </w:r>
      <w:r>
        <w:t>embodied</w:t>
      </w:r>
      <w:r>
        <w:rPr>
          <w:spacing w:val="-1"/>
        </w:rPr>
        <w:t xml:space="preserve"> </w:t>
      </w:r>
      <w:r>
        <w:t>in</w:t>
      </w:r>
      <w:r>
        <w:rPr>
          <w:spacing w:val="-1"/>
        </w:rPr>
        <w:t xml:space="preserve"> </w:t>
      </w:r>
      <w:r>
        <w:t>the asse</w:t>
      </w:r>
      <w:r>
        <w:rPr>
          <w:spacing w:val="-1"/>
        </w:rPr>
        <w:t>t</w:t>
      </w:r>
      <w:r>
        <w:t>,</w:t>
      </w:r>
      <w:r>
        <w:rPr>
          <w:spacing w:val="-1"/>
        </w:rPr>
        <w:t xml:space="preserve"> </w:t>
      </w:r>
      <w:r>
        <w:t>i.</w:t>
      </w:r>
      <w:r>
        <w:rPr>
          <w:spacing w:val="-3"/>
        </w:rPr>
        <w:t>e</w:t>
      </w:r>
      <w:r>
        <w:t>.</w:t>
      </w:r>
      <w:r>
        <w:rPr>
          <w:spacing w:val="-1"/>
        </w:rPr>
        <w:t xml:space="preserve"> </w:t>
      </w:r>
      <w:r>
        <w:t>the dep</w:t>
      </w:r>
      <w:r>
        <w:rPr>
          <w:spacing w:val="-3"/>
        </w:rPr>
        <w:t>r</w:t>
      </w:r>
      <w:r>
        <w:t>eci</w:t>
      </w:r>
      <w:r>
        <w:rPr>
          <w:spacing w:val="-1"/>
        </w:rPr>
        <w:t>a</w:t>
      </w:r>
      <w:r>
        <w:rPr>
          <w:spacing w:val="-2"/>
        </w:rPr>
        <w:t>t</w:t>
      </w:r>
      <w:r>
        <w:t>ed</w:t>
      </w:r>
      <w:r>
        <w:rPr>
          <w:spacing w:val="-1"/>
        </w:rPr>
        <w:t xml:space="preserve"> </w:t>
      </w:r>
      <w:r>
        <w:rPr>
          <w:spacing w:val="-3"/>
        </w:rPr>
        <w:t>r</w:t>
      </w:r>
      <w:r>
        <w:t>epla</w:t>
      </w:r>
      <w:r>
        <w:rPr>
          <w:spacing w:val="-2"/>
        </w:rPr>
        <w:t>c</w:t>
      </w:r>
      <w:r>
        <w:t>eme</w:t>
      </w:r>
      <w:r>
        <w:rPr>
          <w:spacing w:val="-1"/>
        </w:rPr>
        <w:t>n</w:t>
      </w:r>
      <w:r>
        <w:t>t</w:t>
      </w:r>
      <w:r>
        <w:rPr>
          <w:spacing w:val="-1"/>
        </w:rPr>
        <w:t xml:space="preserve"> </w:t>
      </w:r>
      <w:r>
        <w:rPr>
          <w:spacing w:val="-2"/>
        </w:rPr>
        <w:t>c</w:t>
      </w:r>
      <w:r>
        <w:t>os</w:t>
      </w:r>
      <w:r>
        <w:rPr>
          <w:spacing w:val="-1"/>
        </w:rPr>
        <w:t>t</w:t>
      </w:r>
      <w:r>
        <w:t>.</w:t>
      </w:r>
      <w:r>
        <w:rPr>
          <w:spacing w:val="38"/>
        </w:rPr>
        <w:t xml:space="preserve"> </w:t>
      </w:r>
      <w:r>
        <w:rPr>
          <w:spacing w:val="-2"/>
        </w:rPr>
        <w:t>W</w:t>
      </w:r>
      <w:r>
        <w:t>he</w:t>
      </w:r>
      <w:r>
        <w:rPr>
          <w:spacing w:val="-3"/>
        </w:rPr>
        <w:t>r</w:t>
      </w:r>
      <w:r>
        <w:t>e</w:t>
      </w:r>
      <w:r>
        <w:rPr>
          <w:color w:val="000000"/>
        </w:rPr>
        <w:t xml:space="preserve"> </w:t>
      </w:r>
      <w:r>
        <w:t xml:space="preserve">the fair </w:t>
      </w:r>
      <w:r>
        <w:rPr>
          <w:spacing w:val="-1"/>
        </w:rPr>
        <w:t>v</w:t>
      </w:r>
      <w:r>
        <w:t>alue of buildings is de</w:t>
      </w:r>
      <w:r>
        <w:rPr>
          <w:spacing w:val="-2"/>
        </w:rPr>
        <w:t>t</w:t>
      </w:r>
      <w:r>
        <w:t>ermined on the dep</w:t>
      </w:r>
      <w:r>
        <w:rPr>
          <w:spacing w:val="-3"/>
        </w:rPr>
        <w:t>r</w:t>
      </w:r>
      <w:r>
        <w:t>eci</w:t>
      </w:r>
      <w:r>
        <w:rPr>
          <w:spacing w:val="-1"/>
        </w:rPr>
        <w:t>a</w:t>
      </w:r>
      <w:r>
        <w:rPr>
          <w:spacing w:val="-2"/>
        </w:rPr>
        <w:t>t</w:t>
      </w:r>
      <w:r>
        <w:t xml:space="preserve">ed </w:t>
      </w:r>
      <w:r>
        <w:rPr>
          <w:spacing w:val="-3"/>
        </w:rPr>
        <w:t>r</w:t>
      </w:r>
      <w:r>
        <w:t>epla</w:t>
      </w:r>
      <w:r>
        <w:rPr>
          <w:spacing w:val="-2"/>
        </w:rPr>
        <w:t>c</w:t>
      </w:r>
      <w:r>
        <w:t>eme</w:t>
      </w:r>
      <w:r>
        <w:rPr>
          <w:spacing w:val="-1"/>
        </w:rPr>
        <w:t>n</w:t>
      </w:r>
      <w:r>
        <w:t xml:space="preserve">t </w:t>
      </w:r>
      <w:r>
        <w:rPr>
          <w:spacing w:val="-2"/>
        </w:rPr>
        <w:t>c</w:t>
      </w:r>
      <w:r>
        <w:t>ost basi</w:t>
      </w:r>
      <w:r>
        <w:rPr>
          <w:spacing w:val="-3"/>
        </w:rPr>
        <w:t>s</w:t>
      </w:r>
      <w:r>
        <w:t xml:space="preserve">, the </w:t>
      </w:r>
      <w:r>
        <w:rPr>
          <w:spacing w:val="-2"/>
        </w:rPr>
        <w:t>g</w:t>
      </w:r>
      <w:r>
        <w:rPr>
          <w:spacing w:val="-3"/>
        </w:rPr>
        <w:t>r</w:t>
      </w:r>
      <w:r>
        <w:t>oss car</w:t>
      </w:r>
      <w:r>
        <w:rPr>
          <w:spacing w:val="5"/>
        </w:rPr>
        <w:t>r</w:t>
      </w:r>
      <w:r>
        <w:t>ying amou</w:t>
      </w:r>
      <w:r>
        <w:rPr>
          <w:spacing w:val="-1"/>
        </w:rPr>
        <w:t>n</w:t>
      </w:r>
      <w:r>
        <w:t>t and the a</w:t>
      </w:r>
      <w:r>
        <w:rPr>
          <w:spacing w:val="-2"/>
        </w:rPr>
        <w:t>c</w:t>
      </w:r>
      <w:r>
        <w:t>cumul</w:t>
      </w:r>
      <w:r>
        <w:rPr>
          <w:spacing w:val="-1"/>
        </w:rPr>
        <w:t>a</w:t>
      </w:r>
      <w:r>
        <w:rPr>
          <w:spacing w:val="-2"/>
        </w:rPr>
        <w:t>t</w:t>
      </w:r>
      <w:r>
        <w:t>ed dep</w:t>
      </w:r>
      <w:r>
        <w:rPr>
          <w:spacing w:val="-3"/>
        </w:rPr>
        <w:t>r</w:t>
      </w:r>
      <w:r>
        <w:t>eci</w:t>
      </w:r>
      <w:r>
        <w:rPr>
          <w:spacing w:val="-1"/>
        </w:rPr>
        <w:t>a</w:t>
      </w:r>
      <w:r>
        <w:t>tion a</w:t>
      </w:r>
      <w:r>
        <w:rPr>
          <w:spacing w:val="-3"/>
        </w:rPr>
        <w:t>r</w:t>
      </w:r>
      <w:r>
        <w:t xml:space="preserve">e </w:t>
      </w:r>
      <w:r>
        <w:rPr>
          <w:spacing w:val="-3"/>
        </w:rPr>
        <w:t>r</w:t>
      </w:r>
      <w:r>
        <w:t>est</w:t>
      </w:r>
      <w:r>
        <w:rPr>
          <w:spacing w:val="-1"/>
        </w:rPr>
        <w:t>a</w:t>
      </w:r>
      <w:r>
        <w:rPr>
          <w:spacing w:val="-2"/>
        </w:rPr>
        <w:t>t</w:t>
      </w:r>
      <w:r>
        <w:t>ed p</w:t>
      </w:r>
      <w:r>
        <w:rPr>
          <w:spacing w:val="-3"/>
        </w:rPr>
        <w:t>r</w:t>
      </w:r>
      <w:r>
        <w:t>opo</w:t>
      </w:r>
      <w:r>
        <w:rPr>
          <w:spacing w:val="5"/>
        </w:rPr>
        <w:t>r</w:t>
      </w:r>
      <w:r>
        <w:t>tion</w:t>
      </w:r>
      <w:r>
        <w:rPr>
          <w:spacing w:val="-1"/>
        </w:rPr>
        <w:t>a</w:t>
      </w:r>
      <w:r>
        <w:rPr>
          <w:spacing w:val="-2"/>
        </w:rPr>
        <w:t>t</w:t>
      </w:r>
      <w:r>
        <w:t>el</w:t>
      </w:r>
      <w:r>
        <w:rPr>
          <w:spacing w:val="-9"/>
        </w:rPr>
        <w:t>y</w:t>
      </w:r>
      <w:r>
        <w:t>.</w:t>
      </w:r>
    </w:p>
    <w:p w14:paraId="1C79CA7E" w14:textId="77777777" w:rsidR="00E44526" w:rsidRDefault="00E44526" w:rsidP="00E44526">
      <w:pPr>
        <w:rPr>
          <w:color w:val="000000"/>
        </w:rPr>
      </w:pPr>
      <w:r>
        <w:t>Land and buildings a</w:t>
      </w:r>
      <w:r>
        <w:rPr>
          <w:spacing w:val="-3"/>
        </w:rPr>
        <w:t>r</w:t>
      </w:r>
      <w:r>
        <w:t>e independe</w:t>
      </w:r>
      <w:r>
        <w:rPr>
          <w:spacing w:val="-1"/>
        </w:rPr>
        <w:t>n</w:t>
      </w:r>
      <w:r>
        <w:t xml:space="preserve">tly </w:t>
      </w:r>
      <w:r>
        <w:rPr>
          <w:spacing w:val="-1"/>
        </w:rPr>
        <w:t>v</w:t>
      </w:r>
      <w:r>
        <w:t xml:space="preserve">alued annually </w:t>
      </w:r>
      <w:r>
        <w:rPr>
          <w:spacing w:val="-2"/>
        </w:rPr>
        <w:t>b</w:t>
      </w:r>
      <w:r>
        <w:t>y the</w:t>
      </w:r>
      <w:r>
        <w:rPr>
          <w:spacing w:val="-8"/>
        </w:rPr>
        <w:t xml:space="preserve"> W</w:t>
      </w:r>
      <w:r>
        <w:t>es</w:t>
      </w:r>
      <w:r>
        <w:rPr>
          <w:spacing w:val="-2"/>
        </w:rPr>
        <w:t>t</w:t>
      </w:r>
      <w:r>
        <w:t xml:space="preserve">ern </w:t>
      </w:r>
      <w:r>
        <w:rPr>
          <w:spacing w:val="-3"/>
        </w:rPr>
        <w:t>A</w:t>
      </w:r>
      <w:r>
        <w:t>ust</w:t>
      </w:r>
      <w:r>
        <w:rPr>
          <w:spacing w:val="-2"/>
        </w:rPr>
        <w:t>r</w:t>
      </w:r>
      <w:r>
        <w:t xml:space="preserve">alian Land </w:t>
      </w:r>
      <w:r>
        <w:rPr>
          <w:spacing w:val="2"/>
        </w:rPr>
        <w:t>I</w:t>
      </w:r>
      <w:r>
        <w:t>n</w:t>
      </w:r>
      <w:r>
        <w:rPr>
          <w:spacing w:val="-3"/>
        </w:rPr>
        <w:t>f</w:t>
      </w:r>
      <w:r>
        <w:t>orm</w:t>
      </w:r>
      <w:r>
        <w:rPr>
          <w:spacing w:val="-1"/>
        </w:rPr>
        <w:t>a</w:t>
      </w:r>
      <w:r>
        <w:t xml:space="preserve">tion </w:t>
      </w:r>
      <w:r>
        <w:rPr>
          <w:spacing w:val="-3"/>
        </w:rPr>
        <w:t>A</w:t>
      </w:r>
      <w:r>
        <w:t>uthori</w:t>
      </w:r>
      <w:r>
        <w:rPr>
          <w:spacing w:val="1"/>
        </w:rPr>
        <w:t>t</w:t>
      </w:r>
      <w:r>
        <w:t xml:space="preserve">y </w:t>
      </w:r>
      <w:r>
        <w:rPr>
          <w:spacing w:val="10"/>
        </w:rPr>
        <w:t>(</w:t>
      </w:r>
      <w:r>
        <w:rPr>
          <w:spacing w:val="-8"/>
        </w:rPr>
        <w:t>V</w:t>
      </w:r>
      <w:r>
        <w:t>alu</w:t>
      </w:r>
      <w:r>
        <w:rPr>
          <w:spacing w:val="-1"/>
        </w:rPr>
        <w:t>a</w:t>
      </w:r>
      <w:r>
        <w:t xml:space="preserve">tion </w:t>
      </w:r>
      <w:r>
        <w:rPr>
          <w:spacing w:val="1"/>
        </w:rPr>
        <w:t>S</w:t>
      </w:r>
      <w:r>
        <w:t>e</w:t>
      </w:r>
      <w:r>
        <w:rPr>
          <w:spacing w:val="5"/>
        </w:rPr>
        <w:t>r</w:t>
      </w:r>
      <w:r>
        <w:t>vi</w:t>
      </w:r>
      <w:r>
        <w:rPr>
          <w:spacing w:val="-2"/>
        </w:rPr>
        <w:t>c</w:t>
      </w:r>
      <w:r>
        <w:t xml:space="preserve">es) and </w:t>
      </w:r>
      <w:r>
        <w:rPr>
          <w:spacing w:val="-3"/>
        </w:rPr>
        <w:t>r</w:t>
      </w:r>
      <w:r>
        <w:t>e</w:t>
      </w:r>
      <w:r>
        <w:rPr>
          <w:spacing w:val="-2"/>
        </w:rPr>
        <w:t>c</w:t>
      </w:r>
      <w:r>
        <w:t>o</w:t>
      </w:r>
      <w:r>
        <w:rPr>
          <w:spacing w:val="-2"/>
        </w:rPr>
        <w:t>g</w:t>
      </w:r>
      <w:r>
        <w:t xml:space="preserve">nised annually </w:t>
      </w:r>
      <w:r>
        <w:rPr>
          <w:spacing w:val="-2"/>
        </w:rPr>
        <w:t>t</w:t>
      </w:r>
      <w:r>
        <w:t>o ensu</w:t>
      </w:r>
      <w:r>
        <w:rPr>
          <w:spacing w:val="-3"/>
        </w:rPr>
        <w:t>r</w:t>
      </w:r>
      <w:r>
        <w:t>e</w:t>
      </w:r>
      <w:r>
        <w:rPr>
          <w:spacing w:val="-1"/>
        </w:rPr>
        <w:t xml:space="preserve"> </w:t>
      </w:r>
      <w:r>
        <w:t>th</w:t>
      </w:r>
      <w:r>
        <w:rPr>
          <w:spacing w:val="-1"/>
        </w:rPr>
        <w:t>a</w:t>
      </w:r>
      <w:r>
        <w:t>t the car</w:t>
      </w:r>
      <w:r>
        <w:rPr>
          <w:spacing w:val="5"/>
        </w:rPr>
        <w:t>r</w:t>
      </w:r>
      <w:r>
        <w:t>ying amou</w:t>
      </w:r>
      <w:r>
        <w:rPr>
          <w:spacing w:val="-1"/>
        </w:rPr>
        <w:t>n</w:t>
      </w:r>
      <w:r>
        <w:t>t</w:t>
      </w:r>
      <w:r>
        <w:rPr>
          <w:spacing w:val="-1"/>
        </w:rPr>
        <w:t xml:space="preserve"> </w:t>
      </w:r>
      <w:r>
        <w:t>does not dif</w:t>
      </w:r>
      <w:r>
        <w:rPr>
          <w:spacing w:val="-3"/>
        </w:rPr>
        <w:t>f</w:t>
      </w:r>
      <w:r>
        <w:t>er</w:t>
      </w:r>
      <w:r>
        <w:rPr>
          <w:spacing w:val="-1"/>
        </w:rPr>
        <w:t xml:space="preserve"> </w:t>
      </w:r>
      <w:r>
        <w:t>m</w:t>
      </w:r>
      <w:r>
        <w:rPr>
          <w:spacing w:val="-1"/>
        </w:rPr>
        <w:t>a</w:t>
      </w:r>
      <w:r>
        <w:rPr>
          <w:spacing w:val="-2"/>
        </w:rPr>
        <w:t>t</w:t>
      </w:r>
      <w:r>
        <w:t>erially f</w:t>
      </w:r>
      <w:r>
        <w:rPr>
          <w:spacing w:val="-3"/>
        </w:rPr>
        <w:t>r</w:t>
      </w:r>
      <w:r>
        <w:t>om the asse</w:t>
      </w:r>
      <w:r>
        <w:rPr>
          <w:spacing w:val="4"/>
        </w:rPr>
        <w:t>t</w:t>
      </w:r>
      <w:r>
        <w:rPr>
          <w:spacing w:val="-16"/>
        </w:rPr>
        <w:t>’</w:t>
      </w:r>
      <w:r>
        <w:t>s</w:t>
      </w:r>
      <w:r>
        <w:rPr>
          <w:spacing w:val="-1"/>
        </w:rPr>
        <w:t xml:space="preserve"> </w:t>
      </w:r>
      <w:r>
        <w:t xml:space="preserve">fair </w:t>
      </w:r>
      <w:r>
        <w:rPr>
          <w:spacing w:val="-1"/>
        </w:rPr>
        <w:t>v</w:t>
      </w:r>
      <w:r>
        <w:t xml:space="preserve">alue </w:t>
      </w:r>
      <w:r>
        <w:rPr>
          <w:spacing w:val="-1"/>
        </w:rPr>
        <w:t>a</w:t>
      </w:r>
      <w:r>
        <w:t xml:space="preserve">t the end of the </w:t>
      </w:r>
      <w:r>
        <w:rPr>
          <w:spacing w:val="-3"/>
        </w:rPr>
        <w:t>r</w:t>
      </w:r>
      <w:r>
        <w:t>epo</w:t>
      </w:r>
      <w:r>
        <w:rPr>
          <w:spacing w:val="5"/>
        </w:rPr>
        <w:t>r</w:t>
      </w:r>
      <w:r>
        <w:t>ting perio</w:t>
      </w:r>
      <w:r>
        <w:rPr>
          <w:spacing w:val="-3"/>
        </w:rPr>
        <w:t>d</w:t>
      </w:r>
      <w:r>
        <w:t>.</w:t>
      </w:r>
    </w:p>
    <w:p w14:paraId="576E1D3C" w14:textId="513CB9F2" w:rsidR="00E44526" w:rsidRDefault="00E44526" w:rsidP="00E44526">
      <w:r>
        <w:rPr>
          <w:spacing w:val="-2"/>
        </w:rPr>
        <w:lastRenderedPageBreak/>
        <w:t>T</w:t>
      </w:r>
      <w:r>
        <w:t>he</w:t>
      </w:r>
      <w:r>
        <w:rPr>
          <w:spacing w:val="-1"/>
        </w:rPr>
        <w:t xml:space="preserve"> </w:t>
      </w:r>
      <w:r>
        <w:t>most</w:t>
      </w:r>
      <w:r>
        <w:rPr>
          <w:spacing w:val="-1"/>
        </w:rPr>
        <w:t xml:space="preserve"> </w:t>
      </w:r>
      <w:r>
        <w:t>si</w:t>
      </w:r>
      <w:r>
        <w:rPr>
          <w:spacing w:val="-2"/>
        </w:rPr>
        <w:t>g</w:t>
      </w:r>
      <w:r>
        <w:t>nifica</w:t>
      </w:r>
      <w:r>
        <w:rPr>
          <w:spacing w:val="-1"/>
        </w:rPr>
        <w:t>n</w:t>
      </w:r>
      <w:r>
        <w:t>t</w:t>
      </w:r>
      <w:r>
        <w:rPr>
          <w:spacing w:val="-1"/>
        </w:rPr>
        <w:t xml:space="preserve"> </w:t>
      </w:r>
      <w:r>
        <w:t>assumptions and</w:t>
      </w:r>
      <w:r>
        <w:rPr>
          <w:spacing w:val="-1"/>
        </w:rPr>
        <w:t xml:space="preserve"> </w:t>
      </w:r>
      <w:r>
        <w:t>judgeme</w:t>
      </w:r>
      <w:r>
        <w:rPr>
          <w:spacing w:val="-1"/>
        </w:rPr>
        <w:t>n</w:t>
      </w:r>
      <w:r>
        <w:t>ts</w:t>
      </w:r>
      <w:r>
        <w:rPr>
          <w:spacing w:val="-1"/>
        </w:rPr>
        <w:t xml:space="preserve"> </w:t>
      </w:r>
      <w:r>
        <w:t>in estim</w:t>
      </w:r>
      <w:r>
        <w:rPr>
          <w:spacing w:val="-1"/>
        </w:rPr>
        <w:t>a</w:t>
      </w:r>
      <w:r>
        <w:t>ting</w:t>
      </w:r>
      <w:r>
        <w:rPr>
          <w:spacing w:val="-1"/>
        </w:rPr>
        <w:t xml:space="preserve"> </w:t>
      </w:r>
      <w:r>
        <w:t>fair</w:t>
      </w:r>
      <w:r>
        <w:rPr>
          <w:spacing w:val="-1"/>
        </w:rPr>
        <w:t xml:space="preserve"> v</w:t>
      </w:r>
      <w:r>
        <w:t>alue a</w:t>
      </w:r>
      <w:r>
        <w:rPr>
          <w:spacing w:val="-3"/>
        </w:rPr>
        <w:t>r</w:t>
      </w:r>
      <w:r>
        <w:t xml:space="preserve">e made in assessing whether </w:t>
      </w:r>
      <w:r>
        <w:rPr>
          <w:spacing w:val="-2"/>
        </w:rPr>
        <w:t>t</w:t>
      </w:r>
      <w:r>
        <w:t xml:space="preserve">o apply the </w:t>
      </w:r>
      <w:r>
        <w:rPr>
          <w:spacing w:val="-1"/>
        </w:rPr>
        <w:t>e</w:t>
      </w:r>
      <w:r>
        <w:t xml:space="preserve">xisting use basis </w:t>
      </w:r>
      <w:r>
        <w:rPr>
          <w:spacing w:val="-2"/>
        </w:rPr>
        <w:t>t</w:t>
      </w:r>
      <w:r>
        <w:t>o assets and in de</w:t>
      </w:r>
      <w:r>
        <w:rPr>
          <w:spacing w:val="-2"/>
        </w:rPr>
        <w:t>t</w:t>
      </w:r>
      <w:r>
        <w:t>ermining estim</w:t>
      </w:r>
      <w:r>
        <w:rPr>
          <w:spacing w:val="-1"/>
        </w:rPr>
        <w:t>a</w:t>
      </w:r>
      <w:r>
        <w:rPr>
          <w:spacing w:val="-2"/>
        </w:rPr>
        <w:t>t</w:t>
      </w:r>
      <w:r>
        <w:t>ed e</w:t>
      </w:r>
      <w:r>
        <w:rPr>
          <w:spacing w:val="-2"/>
        </w:rPr>
        <w:t>c</w:t>
      </w:r>
      <w:r>
        <w:t>onomic li</w:t>
      </w:r>
      <w:r>
        <w:rPr>
          <w:spacing w:val="-3"/>
        </w:rPr>
        <w:t>fe</w:t>
      </w:r>
      <w:r>
        <w:t>.</w:t>
      </w:r>
      <w:r>
        <w:rPr>
          <w:spacing w:val="46"/>
        </w:rPr>
        <w:t xml:space="preserve"> </w:t>
      </w:r>
      <w:r>
        <w:rPr>
          <w:spacing w:val="-4"/>
        </w:rPr>
        <w:t>P</w:t>
      </w:r>
      <w:r>
        <w:rPr>
          <w:spacing w:val="-3"/>
        </w:rPr>
        <w:t>r</w:t>
      </w:r>
      <w:r>
        <w:t>o</w:t>
      </w:r>
      <w:r>
        <w:rPr>
          <w:spacing w:val="-3"/>
        </w:rPr>
        <w:t>f</w:t>
      </w:r>
      <w:r>
        <w:t>essional jud</w:t>
      </w:r>
      <w:r>
        <w:rPr>
          <w:spacing w:val="-2"/>
        </w:rPr>
        <w:t>g</w:t>
      </w:r>
      <w:r>
        <w:t>me</w:t>
      </w:r>
      <w:r>
        <w:rPr>
          <w:spacing w:val="-1"/>
        </w:rPr>
        <w:t>n</w:t>
      </w:r>
      <w:r>
        <w:t xml:space="preserve">t </w:t>
      </w:r>
      <w:r>
        <w:rPr>
          <w:spacing w:val="-2"/>
        </w:rPr>
        <w:t>b</w:t>
      </w:r>
      <w:r>
        <w:t xml:space="preserve">y the </w:t>
      </w:r>
      <w:r>
        <w:rPr>
          <w:spacing w:val="-1"/>
        </w:rPr>
        <w:t>v</w:t>
      </w:r>
      <w:r>
        <w:t>aluer is</w:t>
      </w:r>
      <w:r>
        <w:rPr>
          <w:color w:val="000000"/>
        </w:rPr>
        <w:t xml:space="preserve"> </w:t>
      </w:r>
      <w:r>
        <w:rPr>
          <w:spacing w:val="-3"/>
        </w:rPr>
        <w:t>r</w:t>
      </w:r>
      <w:r>
        <w:t>equi</w:t>
      </w:r>
      <w:r>
        <w:rPr>
          <w:spacing w:val="-3"/>
        </w:rPr>
        <w:t>r</w:t>
      </w:r>
      <w:r>
        <w:t>ed whe</w:t>
      </w:r>
      <w:r>
        <w:rPr>
          <w:spacing w:val="-3"/>
        </w:rPr>
        <w:t>r</w:t>
      </w:r>
      <w:r>
        <w:t>e the eviden</w:t>
      </w:r>
      <w:r>
        <w:rPr>
          <w:spacing w:val="-2"/>
        </w:rPr>
        <w:t>c</w:t>
      </w:r>
      <w:r>
        <w:t>e does not p</w:t>
      </w:r>
      <w:r>
        <w:rPr>
          <w:spacing w:val="-3"/>
        </w:rPr>
        <w:t>r</w:t>
      </w:r>
      <w:r>
        <w:rPr>
          <w:spacing w:val="-2"/>
        </w:rPr>
        <w:t>o</w:t>
      </w:r>
      <w:r>
        <w:t>vide a clear distin</w:t>
      </w:r>
      <w:r>
        <w:rPr>
          <w:spacing w:val="2"/>
        </w:rPr>
        <w:t>c</w:t>
      </w:r>
      <w:r>
        <w:t>tion be</w:t>
      </w:r>
      <w:r>
        <w:rPr>
          <w:spacing w:val="1"/>
        </w:rPr>
        <w:t>t</w:t>
      </w:r>
      <w:r>
        <w:rPr>
          <w:spacing w:val="-3"/>
        </w:rPr>
        <w:t>w</w:t>
      </w:r>
      <w:r>
        <w:t xml:space="preserve">een market </w:t>
      </w:r>
      <w:r>
        <w:rPr>
          <w:spacing w:val="1"/>
        </w:rPr>
        <w:t>t</w:t>
      </w:r>
      <w:r>
        <w:t xml:space="preserve">ype assets and </w:t>
      </w:r>
      <w:r>
        <w:rPr>
          <w:spacing w:val="-1"/>
        </w:rPr>
        <w:t>e</w:t>
      </w:r>
      <w:r>
        <w:t>xisting use asset</w:t>
      </w:r>
      <w:r>
        <w:rPr>
          <w:spacing w:val="-3"/>
        </w:rPr>
        <w:t>s</w:t>
      </w:r>
      <w:r w:rsidR="00242E80">
        <w:t>.</w:t>
      </w:r>
    </w:p>
    <w:p w14:paraId="429E6DFC" w14:textId="77777777" w:rsidR="00E44526" w:rsidRPr="00DA1E18" w:rsidRDefault="00E44526" w:rsidP="00E44526">
      <w:pPr>
        <w:rPr>
          <w:rStyle w:val="Strong"/>
        </w:rPr>
      </w:pPr>
      <w:r w:rsidRPr="00DA1E18">
        <w:rPr>
          <w:rStyle w:val="Strong"/>
        </w:rPr>
        <w:t>Derecognition</w:t>
      </w:r>
    </w:p>
    <w:p w14:paraId="1720BBD2" w14:textId="77777777" w:rsidR="00E44526" w:rsidRDefault="00E44526" w:rsidP="00E44526">
      <w:pPr>
        <w:rPr>
          <w:color w:val="000000"/>
        </w:rPr>
      </w:pPr>
      <w:r>
        <w:t>Upon disposal or de</w:t>
      </w:r>
      <w:r>
        <w:rPr>
          <w:spacing w:val="-3"/>
        </w:rPr>
        <w:t>r</w:t>
      </w:r>
      <w:r>
        <w:t>e</w:t>
      </w:r>
      <w:r>
        <w:rPr>
          <w:spacing w:val="-2"/>
        </w:rPr>
        <w:t>c</w:t>
      </w:r>
      <w:r>
        <w:t>o</w:t>
      </w:r>
      <w:r>
        <w:rPr>
          <w:spacing w:val="-2"/>
        </w:rPr>
        <w:t>g</w:t>
      </w:r>
      <w:r>
        <w:t>nition of an i</w:t>
      </w:r>
      <w:r>
        <w:rPr>
          <w:spacing w:val="-2"/>
        </w:rPr>
        <w:t>t</w:t>
      </w:r>
      <w:r>
        <w:t>em of p</w:t>
      </w:r>
      <w:r>
        <w:rPr>
          <w:spacing w:val="-3"/>
        </w:rPr>
        <w:t>r</w:t>
      </w:r>
      <w:r>
        <w:t>ope</w:t>
      </w:r>
      <w:r>
        <w:rPr>
          <w:spacing w:val="5"/>
        </w:rPr>
        <w:t>r</w:t>
      </w:r>
      <w:r>
        <w:rPr>
          <w:spacing w:val="2"/>
        </w:rPr>
        <w:t>t</w:t>
      </w:r>
      <w:r>
        <w:rPr>
          <w:spacing w:val="-9"/>
        </w:rPr>
        <w:t>y</w:t>
      </w:r>
      <w:r>
        <w:t>, pla</w:t>
      </w:r>
      <w:r>
        <w:rPr>
          <w:spacing w:val="-1"/>
        </w:rPr>
        <w:t>n</w:t>
      </w:r>
      <w:r>
        <w:t>t and equipme</w:t>
      </w:r>
      <w:r>
        <w:rPr>
          <w:spacing w:val="-1"/>
        </w:rPr>
        <w:t>nt</w:t>
      </w:r>
      <w:r>
        <w:t>, a</w:t>
      </w:r>
      <w:r>
        <w:rPr>
          <w:spacing w:val="-3"/>
        </w:rPr>
        <w:t>n</w:t>
      </w:r>
      <w:r>
        <w:t xml:space="preserve">y </w:t>
      </w:r>
      <w:r>
        <w:rPr>
          <w:spacing w:val="-3"/>
        </w:rPr>
        <w:t>r</w:t>
      </w:r>
      <w:r>
        <w:t>e</w:t>
      </w:r>
      <w:r>
        <w:rPr>
          <w:spacing w:val="-1"/>
        </w:rPr>
        <w:t>v</w:t>
      </w:r>
      <w:r>
        <w:t>alu</w:t>
      </w:r>
      <w:r>
        <w:rPr>
          <w:spacing w:val="-1"/>
        </w:rPr>
        <w:t>a</w:t>
      </w:r>
      <w:r>
        <w:t xml:space="preserve">tion surplus </w:t>
      </w:r>
      <w:r>
        <w:rPr>
          <w:spacing w:val="-3"/>
        </w:rPr>
        <w:t>r</w:t>
      </w:r>
      <w:r>
        <w:t>el</w:t>
      </w:r>
      <w:r>
        <w:rPr>
          <w:spacing w:val="-1"/>
        </w:rPr>
        <w:t>a</w:t>
      </w:r>
      <w:r>
        <w:t xml:space="preserve">ting </w:t>
      </w:r>
      <w:r>
        <w:rPr>
          <w:spacing w:val="-2"/>
        </w:rPr>
        <w:t>t</w:t>
      </w:r>
      <w:r>
        <w:t>o th</w:t>
      </w:r>
      <w:r>
        <w:rPr>
          <w:spacing w:val="-1"/>
        </w:rPr>
        <w:t>a</w:t>
      </w:r>
      <w:r>
        <w:t xml:space="preserve">t asset is </w:t>
      </w:r>
      <w:r>
        <w:rPr>
          <w:spacing w:val="-3"/>
        </w:rPr>
        <w:t>r</w:t>
      </w:r>
      <w:r>
        <w:t xml:space="preserve">etained in the asset </w:t>
      </w:r>
      <w:r>
        <w:rPr>
          <w:spacing w:val="-3"/>
        </w:rPr>
        <w:t>r</w:t>
      </w:r>
      <w:r>
        <w:t>e</w:t>
      </w:r>
      <w:r>
        <w:rPr>
          <w:spacing w:val="-1"/>
        </w:rPr>
        <w:t>v</w:t>
      </w:r>
      <w:r>
        <w:t>alu</w:t>
      </w:r>
      <w:r>
        <w:rPr>
          <w:spacing w:val="-1"/>
        </w:rPr>
        <w:t>a</w:t>
      </w:r>
      <w:r>
        <w:t>tion surplu</w:t>
      </w:r>
      <w:r>
        <w:rPr>
          <w:spacing w:val="-3"/>
        </w:rPr>
        <w:t>s</w:t>
      </w:r>
      <w:r>
        <w:t>.</w:t>
      </w:r>
    </w:p>
    <w:p w14:paraId="6164F6D9" w14:textId="77777777" w:rsidR="00E44526" w:rsidRPr="00DA1E18" w:rsidRDefault="00E44526" w:rsidP="00E44526">
      <w:pPr>
        <w:rPr>
          <w:rStyle w:val="Strong"/>
        </w:rPr>
      </w:pPr>
      <w:r w:rsidRPr="00DA1E18">
        <w:rPr>
          <w:rStyle w:val="Strong"/>
        </w:rPr>
        <w:t>Asset revaluation surplus</w:t>
      </w:r>
    </w:p>
    <w:p w14:paraId="42760449" w14:textId="77777777" w:rsidR="00E44526" w:rsidRDefault="00E44526" w:rsidP="00E44526">
      <w:pPr>
        <w:rPr>
          <w:color w:val="000000"/>
        </w:rPr>
      </w:pPr>
      <w:r>
        <w:rPr>
          <w:spacing w:val="-2"/>
        </w:rPr>
        <w:t>T</w:t>
      </w:r>
      <w:r>
        <w:t xml:space="preserve">he asset </w:t>
      </w:r>
      <w:r>
        <w:rPr>
          <w:spacing w:val="-3"/>
        </w:rPr>
        <w:t>r</w:t>
      </w:r>
      <w:r>
        <w:t>e</w:t>
      </w:r>
      <w:r>
        <w:rPr>
          <w:spacing w:val="-1"/>
        </w:rPr>
        <w:t>v</w:t>
      </w:r>
      <w:r>
        <w:t>alu</w:t>
      </w:r>
      <w:r>
        <w:rPr>
          <w:spacing w:val="-1"/>
        </w:rPr>
        <w:t>a</w:t>
      </w:r>
      <w:r>
        <w:t xml:space="preserve">tion surplus is used </w:t>
      </w:r>
      <w:r>
        <w:rPr>
          <w:spacing w:val="-2"/>
        </w:rPr>
        <w:t>t</w:t>
      </w:r>
      <w:r>
        <w:t xml:space="preserve">o </w:t>
      </w:r>
      <w:r>
        <w:rPr>
          <w:spacing w:val="-3"/>
        </w:rPr>
        <w:t>r</w:t>
      </w:r>
      <w:r>
        <w:t>e</w:t>
      </w:r>
      <w:r>
        <w:rPr>
          <w:spacing w:val="-2"/>
        </w:rPr>
        <w:t>c</w:t>
      </w:r>
      <w:r>
        <w:t>o</w:t>
      </w:r>
      <w:r>
        <w:rPr>
          <w:spacing w:val="-3"/>
        </w:rPr>
        <w:t>r</w:t>
      </w:r>
      <w:r>
        <w:t>d inc</w:t>
      </w:r>
      <w:r>
        <w:rPr>
          <w:spacing w:val="-3"/>
        </w:rPr>
        <w:t>r</w:t>
      </w:r>
      <w:r>
        <w:t>eme</w:t>
      </w:r>
      <w:r>
        <w:rPr>
          <w:spacing w:val="-1"/>
        </w:rPr>
        <w:t>n</w:t>
      </w:r>
      <w:r>
        <w:t>ts and dec</w:t>
      </w:r>
      <w:r>
        <w:rPr>
          <w:spacing w:val="-3"/>
        </w:rPr>
        <w:t>r</w:t>
      </w:r>
      <w:r>
        <w:t>eme</w:t>
      </w:r>
      <w:r>
        <w:rPr>
          <w:spacing w:val="-1"/>
        </w:rPr>
        <w:t>n</w:t>
      </w:r>
      <w:r>
        <w:t xml:space="preserve">ts on the </w:t>
      </w:r>
      <w:r>
        <w:rPr>
          <w:spacing w:val="-3"/>
        </w:rPr>
        <w:t>r</w:t>
      </w:r>
      <w:r>
        <w:t>e</w:t>
      </w:r>
      <w:r>
        <w:rPr>
          <w:spacing w:val="-1"/>
        </w:rPr>
        <w:t>v</w:t>
      </w:r>
      <w:r>
        <w:t>alu</w:t>
      </w:r>
      <w:r>
        <w:rPr>
          <w:spacing w:val="-1"/>
        </w:rPr>
        <w:t>a</w:t>
      </w:r>
      <w:r>
        <w:t>tion of non</w:t>
      </w:r>
      <w:r>
        <w:rPr>
          <w:spacing w:val="3"/>
        </w:rPr>
        <w:t>-</w:t>
      </w:r>
      <w:r>
        <w:t>cur</w:t>
      </w:r>
      <w:r>
        <w:rPr>
          <w:spacing w:val="-3"/>
        </w:rPr>
        <w:t>r</w:t>
      </w:r>
      <w:r>
        <w:t>e</w:t>
      </w:r>
      <w:r>
        <w:rPr>
          <w:spacing w:val="-1"/>
        </w:rPr>
        <w:t>n</w:t>
      </w:r>
      <w:r>
        <w:t>t assets on a class of assets basi</w:t>
      </w:r>
      <w:r>
        <w:rPr>
          <w:spacing w:val="-3"/>
        </w:rPr>
        <w:t>s</w:t>
      </w:r>
      <w:r>
        <w:t>.</w:t>
      </w:r>
    </w:p>
    <w:p w14:paraId="46E7DAA1" w14:textId="77777777" w:rsidR="00E44526" w:rsidRPr="00DA1E18" w:rsidRDefault="00E44526" w:rsidP="00E44526">
      <w:pPr>
        <w:rPr>
          <w:rStyle w:val="Strong"/>
        </w:rPr>
      </w:pPr>
      <w:r w:rsidRPr="00DA1E18">
        <w:rPr>
          <w:rStyle w:val="Strong"/>
        </w:rPr>
        <w:t>Depreciation</w:t>
      </w:r>
    </w:p>
    <w:p w14:paraId="706CFD88" w14:textId="77777777" w:rsidR="00E44526" w:rsidRDefault="00E44526" w:rsidP="00E44526">
      <w:pPr>
        <w:rPr>
          <w:color w:val="000000"/>
        </w:rPr>
      </w:pPr>
      <w:r>
        <w:rPr>
          <w:spacing w:val="-1"/>
        </w:rPr>
        <w:t>A</w:t>
      </w:r>
      <w:r>
        <w:t>ll non</w:t>
      </w:r>
      <w:r>
        <w:rPr>
          <w:spacing w:val="3"/>
        </w:rPr>
        <w:t>-</w:t>
      </w:r>
      <w:r>
        <w:t>cur</w:t>
      </w:r>
      <w:r>
        <w:rPr>
          <w:spacing w:val="-3"/>
        </w:rPr>
        <w:t>r</w:t>
      </w:r>
      <w:r>
        <w:t>e</w:t>
      </w:r>
      <w:r>
        <w:rPr>
          <w:spacing w:val="-1"/>
        </w:rPr>
        <w:t>n</w:t>
      </w:r>
      <w:r>
        <w:t>t assets h</w:t>
      </w:r>
      <w:r>
        <w:rPr>
          <w:spacing w:val="-2"/>
        </w:rPr>
        <w:t>a</w:t>
      </w:r>
      <w:r>
        <w:t>ving a limi</w:t>
      </w:r>
      <w:r>
        <w:rPr>
          <w:spacing w:val="-2"/>
        </w:rPr>
        <w:t>t</w:t>
      </w:r>
      <w:r>
        <w:t>ed useful li</w:t>
      </w:r>
      <w:r>
        <w:rPr>
          <w:spacing w:val="-3"/>
        </w:rPr>
        <w:t>f</w:t>
      </w:r>
      <w:r>
        <w:t>e a</w:t>
      </w:r>
      <w:r>
        <w:rPr>
          <w:spacing w:val="-3"/>
        </w:rPr>
        <w:t>r</w:t>
      </w:r>
      <w:r>
        <w:t>e s</w:t>
      </w:r>
      <w:r>
        <w:rPr>
          <w:spacing w:val="-2"/>
        </w:rPr>
        <w:t>y</w:t>
      </w:r>
      <w:r>
        <w:t>s</w:t>
      </w:r>
      <w:r>
        <w:rPr>
          <w:spacing w:val="-2"/>
        </w:rPr>
        <w:t>t</w:t>
      </w:r>
      <w:r>
        <w:t>em</w:t>
      </w:r>
      <w:r>
        <w:rPr>
          <w:spacing w:val="-1"/>
        </w:rPr>
        <w:t>a</w:t>
      </w:r>
      <w:r>
        <w:t>tically dep</w:t>
      </w:r>
      <w:r>
        <w:rPr>
          <w:spacing w:val="-3"/>
        </w:rPr>
        <w:t>r</w:t>
      </w:r>
      <w:r>
        <w:t>eci</w:t>
      </w:r>
      <w:r>
        <w:rPr>
          <w:spacing w:val="-1"/>
        </w:rPr>
        <w:t>a</w:t>
      </w:r>
      <w:r>
        <w:rPr>
          <w:spacing w:val="-2"/>
        </w:rPr>
        <w:t>t</w:t>
      </w:r>
      <w:r>
        <w:t xml:space="preserve">ed </w:t>
      </w:r>
      <w:r>
        <w:rPr>
          <w:spacing w:val="-2"/>
        </w:rPr>
        <w:t>o</w:t>
      </w:r>
      <w:r>
        <w:rPr>
          <w:spacing w:val="-3"/>
        </w:rPr>
        <w:t>v</w:t>
      </w:r>
      <w:r>
        <w:t>er</w:t>
      </w:r>
      <w:r>
        <w:rPr>
          <w:spacing w:val="-1"/>
        </w:rPr>
        <w:t xml:space="preserve"> </w:t>
      </w:r>
      <w:r>
        <w:t>their estim</w:t>
      </w:r>
      <w:r>
        <w:rPr>
          <w:spacing w:val="-1"/>
        </w:rPr>
        <w:t>a</w:t>
      </w:r>
      <w:r>
        <w:rPr>
          <w:spacing w:val="-2"/>
        </w:rPr>
        <w:t>t</w:t>
      </w:r>
      <w:r>
        <w:t>ed useful</w:t>
      </w:r>
      <w:r>
        <w:rPr>
          <w:spacing w:val="-1"/>
        </w:rPr>
        <w:t xml:space="preserve"> </w:t>
      </w:r>
      <w:r>
        <w:t>li</w:t>
      </w:r>
      <w:r>
        <w:rPr>
          <w:spacing w:val="-3"/>
        </w:rPr>
        <w:t>v</w:t>
      </w:r>
      <w:r>
        <w:t>es in a</w:t>
      </w:r>
      <w:r>
        <w:rPr>
          <w:spacing w:val="-1"/>
        </w:rPr>
        <w:t xml:space="preserve"> </w:t>
      </w:r>
      <w:r>
        <w:t>manner th</w:t>
      </w:r>
      <w:r>
        <w:rPr>
          <w:spacing w:val="-1"/>
        </w:rPr>
        <w:t>a</w:t>
      </w:r>
      <w:r>
        <w:t xml:space="preserve">t </w:t>
      </w:r>
      <w:r>
        <w:rPr>
          <w:spacing w:val="-3"/>
        </w:rPr>
        <w:t>r</w:t>
      </w:r>
      <w:r>
        <w:t>efle</w:t>
      </w:r>
      <w:r>
        <w:rPr>
          <w:spacing w:val="2"/>
        </w:rPr>
        <w:t>c</w:t>
      </w:r>
      <w:r>
        <w:t>ts</w:t>
      </w:r>
      <w:r>
        <w:rPr>
          <w:spacing w:val="-1"/>
        </w:rPr>
        <w:t xml:space="preserve"> </w:t>
      </w:r>
      <w:r>
        <w:t xml:space="preserve">the </w:t>
      </w:r>
      <w:r>
        <w:rPr>
          <w:spacing w:val="-2"/>
        </w:rPr>
        <w:t>c</w:t>
      </w:r>
      <w:r>
        <w:t>onsumption of</w:t>
      </w:r>
      <w:r>
        <w:rPr>
          <w:spacing w:val="-1"/>
        </w:rPr>
        <w:t xml:space="preserve"> </w:t>
      </w:r>
      <w:r>
        <w:t>their futu</w:t>
      </w:r>
      <w:r>
        <w:rPr>
          <w:spacing w:val="-3"/>
        </w:rPr>
        <w:t>r</w:t>
      </w:r>
      <w:r>
        <w:t>e</w:t>
      </w:r>
      <w:r>
        <w:rPr>
          <w:spacing w:val="-4"/>
        </w:rPr>
        <w:t xml:space="preserve"> </w:t>
      </w:r>
      <w:r>
        <w:t>e</w:t>
      </w:r>
      <w:r>
        <w:rPr>
          <w:spacing w:val="-2"/>
        </w:rPr>
        <w:t>c</w:t>
      </w:r>
      <w:r>
        <w:t>onomic</w:t>
      </w:r>
      <w:r>
        <w:rPr>
          <w:spacing w:val="-4"/>
        </w:rPr>
        <w:t xml:space="preserve"> </w:t>
      </w:r>
      <w:r>
        <w:t>benefit</w:t>
      </w:r>
      <w:r>
        <w:rPr>
          <w:spacing w:val="-3"/>
        </w:rPr>
        <w:t>s</w:t>
      </w:r>
      <w:r>
        <w:t>.</w:t>
      </w:r>
    </w:p>
    <w:p w14:paraId="6A455192" w14:textId="77777777" w:rsidR="00E44526" w:rsidRDefault="00E44526" w:rsidP="00E44526">
      <w:pPr>
        <w:rPr>
          <w:color w:val="000000"/>
        </w:rPr>
      </w:pPr>
      <w:r>
        <w:t>Dep</w:t>
      </w:r>
      <w:r>
        <w:rPr>
          <w:spacing w:val="-3"/>
        </w:rPr>
        <w:t>r</w:t>
      </w:r>
      <w:r>
        <w:t>eci</w:t>
      </w:r>
      <w:r>
        <w:rPr>
          <w:spacing w:val="-1"/>
        </w:rPr>
        <w:t>a</w:t>
      </w:r>
      <w:r>
        <w:t>tion is calcul</w:t>
      </w:r>
      <w:r>
        <w:rPr>
          <w:spacing w:val="-1"/>
        </w:rPr>
        <w:t>a</w:t>
      </w:r>
      <w:r>
        <w:rPr>
          <w:spacing w:val="-2"/>
        </w:rPr>
        <w:t>t</w:t>
      </w:r>
      <w:r>
        <w:t>ed using the st</w:t>
      </w:r>
      <w:r>
        <w:rPr>
          <w:spacing w:val="-2"/>
        </w:rPr>
        <w:t>r</w:t>
      </w:r>
      <w:r>
        <w:t>aig</w:t>
      </w:r>
      <w:r>
        <w:rPr>
          <w:spacing w:val="-1"/>
        </w:rPr>
        <w:t>h</w:t>
      </w:r>
      <w:r>
        <w:t>t line metho</w:t>
      </w:r>
      <w:r>
        <w:rPr>
          <w:spacing w:val="-3"/>
        </w:rPr>
        <w:t>d</w:t>
      </w:r>
      <w:r>
        <w:t xml:space="preserve">, using </w:t>
      </w:r>
      <w:r>
        <w:rPr>
          <w:spacing w:val="-2"/>
        </w:rPr>
        <w:t>r</w:t>
      </w:r>
      <w:r>
        <w:rPr>
          <w:spacing w:val="-1"/>
        </w:rPr>
        <w:t>a</w:t>
      </w:r>
      <w:r>
        <w:rPr>
          <w:spacing w:val="-2"/>
        </w:rPr>
        <w:t>t</w:t>
      </w:r>
      <w:r>
        <w:t>es th</w:t>
      </w:r>
      <w:r>
        <w:rPr>
          <w:spacing w:val="-1"/>
        </w:rPr>
        <w:t>a</w:t>
      </w:r>
      <w:r>
        <w:t>t a</w:t>
      </w:r>
      <w:r>
        <w:rPr>
          <w:spacing w:val="-3"/>
        </w:rPr>
        <w:t>r</w:t>
      </w:r>
      <w:r>
        <w:t xml:space="preserve">e </w:t>
      </w:r>
      <w:r>
        <w:rPr>
          <w:spacing w:val="-3"/>
        </w:rPr>
        <w:t>r</w:t>
      </w:r>
      <w:r>
        <w:t>evie</w:t>
      </w:r>
      <w:r>
        <w:rPr>
          <w:spacing w:val="-3"/>
        </w:rPr>
        <w:t>w</w:t>
      </w:r>
      <w:r>
        <w:t>ed annuall</w:t>
      </w:r>
      <w:r>
        <w:rPr>
          <w:spacing w:val="-9"/>
        </w:rPr>
        <w:t>y</w:t>
      </w:r>
      <w:r>
        <w:t>.</w:t>
      </w:r>
      <w:r>
        <w:rPr>
          <w:spacing w:val="46"/>
        </w:rPr>
        <w:t xml:space="preserve"> </w:t>
      </w:r>
      <w:r>
        <w:t>Estim</w:t>
      </w:r>
      <w:r>
        <w:rPr>
          <w:spacing w:val="-1"/>
        </w:rPr>
        <w:t>a</w:t>
      </w:r>
      <w:r>
        <w:rPr>
          <w:spacing w:val="-2"/>
        </w:rPr>
        <w:t>t</w:t>
      </w:r>
      <w:r>
        <w:t>ed useful li</w:t>
      </w:r>
      <w:r>
        <w:rPr>
          <w:spacing w:val="-3"/>
        </w:rPr>
        <w:t>v</w:t>
      </w:r>
      <w:r>
        <w:t xml:space="preserve">es </w:t>
      </w:r>
      <w:r>
        <w:rPr>
          <w:spacing w:val="-3"/>
        </w:rPr>
        <w:t>f</w:t>
      </w:r>
      <w:r>
        <w:t>or each class of dep</w:t>
      </w:r>
      <w:r>
        <w:rPr>
          <w:spacing w:val="-3"/>
        </w:rPr>
        <w:t>r</w:t>
      </w:r>
      <w:r>
        <w:t>eciable asset a</w:t>
      </w:r>
      <w:r>
        <w:rPr>
          <w:spacing w:val="-3"/>
        </w:rPr>
        <w:t>r</w:t>
      </w:r>
      <w:r>
        <w:t>e:</w:t>
      </w:r>
    </w:p>
    <w:tbl>
      <w:tblPr>
        <w:tblW w:w="0" w:type="auto"/>
        <w:tblInd w:w="115" w:type="dxa"/>
        <w:tblLayout w:type="fixed"/>
        <w:tblCellMar>
          <w:left w:w="0" w:type="dxa"/>
          <w:right w:w="0" w:type="dxa"/>
        </w:tblCellMar>
        <w:tblLook w:val="0000" w:firstRow="0" w:lastRow="0" w:firstColumn="0" w:lastColumn="0" w:noHBand="0" w:noVBand="0"/>
      </w:tblPr>
      <w:tblGrid>
        <w:gridCol w:w="5934"/>
        <w:gridCol w:w="1577"/>
      </w:tblGrid>
      <w:tr w:rsidR="00E44526" w14:paraId="2CCD9AE4" w14:textId="77777777" w:rsidTr="0021382E">
        <w:trPr>
          <w:trHeight w:hRule="exact" w:val="325"/>
        </w:trPr>
        <w:tc>
          <w:tcPr>
            <w:tcW w:w="5934" w:type="dxa"/>
            <w:tcBorders>
              <w:top w:val="single" w:sz="4" w:space="0" w:color="99B0AB"/>
              <w:left w:val="single" w:sz="4" w:space="0" w:color="99B0AB"/>
              <w:bottom w:val="single" w:sz="4" w:space="0" w:color="99B0AB"/>
              <w:right w:val="single" w:sz="4" w:space="0" w:color="99B0AB"/>
            </w:tcBorders>
            <w:shd w:val="clear" w:color="auto" w:fill="B6C6C2"/>
          </w:tcPr>
          <w:p w14:paraId="05B6282F" w14:textId="77777777" w:rsidR="00E44526" w:rsidRDefault="00E44526" w:rsidP="00E44526">
            <w:r>
              <w:t>Buildings</w:t>
            </w:r>
          </w:p>
        </w:tc>
        <w:tc>
          <w:tcPr>
            <w:tcW w:w="1577" w:type="dxa"/>
            <w:tcBorders>
              <w:top w:val="single" w:sz="4" w:space="0" w:color="99B0AB"/>
              <w:left w:val="single" w:sz="4" w:space="0" w:color="99B0AB"/>
              <w:bottom w:val="single" w:sz="4" w:space="0" w:color="99B0AB"/>
              <w:right w:val="single" w:sz="4" w:space="0" w:color="99B0AB"/>
            </w:tcBorders>
          </w:tcPr>
          <w:p w14:paraId="3830377D" w14:textId="77777777" w:rsidR="00E44526" w:rsidRDefault="00E44526" w:rsidP="00E44526">
            <w:r>
              <w:t xml:space="preserve">25 </w:t>
            </w:r>
            <w:r>
              <w:rPr>
                <w:spacing w:val="-3"/>
              </w:rPr>
              <w:t>y</w:t>
            </w:r>
            <w:r>
              <w:t>ears</w:t>
            </w:r>
          </w:p>
        </w:tc>
      </w:tr>
      <w:tr w:rsidR="00E44526" w14:paraId="07F789A6" w14:textId="77777777" w:rsidTr="0021382E">
        <w:trPr>
          <w:trHeight w:hRule="exact" w:val="334"/>
        </w:trPr>
        <w:tc>
          <w:tcPr>
            <w:tcW w:w="5934" w:type="dxa"/>
            <w:tcBorders>
              <w:top w:val="single" w:sz="4" w:space="0" w:color="99B0AB"/>
              <w:left w:val="single" w:sz="4" w:space="0" w:color="99B0AB"/>
              <w:bottom w:val="single" w:sz="4" w:space="0" w:color="99B0AB"/>
              <w:right w:val="single" w:sz="4" w:space="0" w:color="99B0AB"/>
            </w:tcBorders>
            <w:shd w:val="clear" w:color="auto" w:fill="B6C6C2"/>
          </w:tcPr>
          <w:p w14:paraId="66BBE68E" w14:textId="77777777" w:rsidR="00E44526" w:rsidRDefault="00E44526" w:rsidP="00E44526">
            <w:r>
              <w:rPr>
                <w:spacing w:val="-2"/>
              </w:rPr>
              <w:t>P</w:t>
            </w:r>
            <w:r>
              <w:t>la</w:t>
            </w:r>
            <w:r>
              <w:rPr>
                <w:spacing w:val="-1"/>
              </w:rPr>
              <w:t>n</w:t>
            </w:r>
            <w:r>
              <w:t>t and equipme</w:t>
            </w:r>
            <w:r>
              <w:rPr>
                <w:spacing w:val="-1"/>
              </w:rPr>
              <w:t>n</w:t>
            </w:r>
            <w:r>
              <w:t>t</w:t>
            </w:r>
          </w:p>
        </w:tc>
        <w:tc>
          <w:tcPr>
            <w:tcW w:w="1577" w:type="dxa"/>
            <w:tcBorders>
              <w:top w:val="single" w:sz="4" w:space="0" w:color="99B0AB"/>
              <w:left w:val="single" w:sz="4" w:space="0" w:color="99B0AB"/>
              <w:bottom w:val="single" w:sz="4" w:space="0" w:color="99B0AB"/>
              <w:right w:val="single" w:sz="4" w:space="0" w:color="99B0AB"/>
            </w:tcBorders>
          </w:tcPr>
          <w:p w14:paraId="5188CB99" w14:textId="77777777" w:rsidR="00E44526" w:rsidRDefault="00E44526" w:rsidP="00E44526">
            <w:r>
              <w:t xml:space="preserve">5 </w:t>
            </w:r>
            <w:r>
              <w:rPr>
                <w:spacing w:val="-2"/>
              </w:rPr>
              <w:t>t</w:t>
            </w:r>
            <w:r>
              <w:t xml:space="preserve">o 15 </w:t>
            </w:r>
            <w:r>
              <w:rPr>
                <w:spacing w:val="-3"/>
              </w:rPr>
              <w:t>y</w:t>
            </w:r>
            <w:r>
              <w:t>ears</w:t>
            </w:r>
          </w:p>
        </w:tc>
      </w:tr>
      <w:tr w:rsidR="00E44526" w14:paraId="47DCB46E" w14:textId="77777777" w:rsidTr="0021382E">
        <w:trPr>
          <w:trHeight w:hRule="exact" w:val="325"/>
        </w:trPr>
        <w:tc>
          <w:tcPr>
            <w:tcW w:w="5934" w:type="dxa"/>
            <w:tcBorders>
              <w:top w:val="single" w:sz="4" w:space="0" w:color="99B0AB"/>
              <w:left w:val="single" w:sz="4" w:space="0" w:color="99B0AB"/>
              <w:bottom w:val="single" w:sz="4" w:space="0" w:color="99B0AB"/>
              <w:right w:val="single" w:sz="4" w:space="0" w:color="99B0AB"/>
            </w:tcBorders>
            <w:shd w:val="clear" w:color="auto" w:fill="B6C6C2"/>
          </w:tcPr>
          <w:p w14:paraId="3E684958" w14:textId="77777777" w:rsidR="00E44526" w:rsidRDefault="00E44526" w:rsidP="00E44526">
            <w:r>
              <w:rPr>
                <w:spacing w:val="2"/>
              </w:rPr>
              <w:t>I</w:t>
            </w:r>
            <w:r>
              <w:t>n</w:t>
            </w:r>
            <w:r>
              <w:rPr>
                <w:spacing w:val="-3"/>
              </w:rPr>
              <w:t>f</w:t>
            </w:r>
            <w:r>
              <w:t>orm</w:t>
            </w:r>
            <w:r>
              <w:rPr>
                <w:spacing w:val="-1"/>
              </w:rPr>
              <w:t>a</w:t>
            </w:r>
            <w:r>
              <w:t xml:space="preserve">tion </w:t>
            </w:r>
            <w:r>
              <w:rPr>
                <w:spacing w:val="-2"/>
              </w:rPr>
              <w:t>t</w:t>
            </w:r>
            <w:r>
              <w:t>echnology - Ha</w:t>
            </w:r>
            <w:r>
              <w:rPr>
                <w:spacing w:val="-3"/>
              </w:rPr>
              <w:t>r</w:t>
            </w:r>
            <w:r>
              <w:t>d</w:t>
            </w:r>
            <w:r>
              <w:rPr>
                <w:spacing w:val="-1"/>
              </w:rPr>
              <w:t>w</w:t>
            </w:r>
            <w:r>
              <w:t>a</w:t>
            </w:r>
            <w:r>
              <w:rPr>
                <w:spacing w:val="-3"/>
              </w:rPr>
              <w:t>r</w:t>
            </w:r>
            <w:r>
              <w:t>e</w:t>
            </w:r>
          </w:p>
        </w:tc>
        <w:tc>
          <w:tcPr>
            <w:tcW w:w="1577" w:type="dxa"/>
            <w:tcBorders>
              <w:top w:val="single" w:sz="4" w:space="0" w:color="99B0AB"/>
              <w:left w:val="single" w:sz="4" w:space="0" w:color="99B0AB"/>
              <w:bottom w:val="single" w:sz="4" w:space="0" w:color="99B0AB"/>
              <w:right w:val="single" w:sz="4" w:space="0" w:color="99B0AB"/>
            </w:tcBorders>
          </w:tcPr>
          <w:p w14:paraId="41D29CF8" w14:textId="77777777" w:rsidR="00E44526" w:rsidRDefault="00E44526" w:rsidP="00E44526">
            <w:r>
              <w:t xml:space="preserve">3 </w:t>
            </w:r>
            <w:r>
              <w:rPr>
                <w:spacing w:val="-2"/>
              </w:rPr>
              <w:t>t</w:t>
            </w:r>
            <w:r>
              <w:t xml:space="preserve">o 5 </w:t>
            </w:r>
            <w:r>
              <w:rPr>
                <w:spacing w:val="-3"/>
              </w:rPr>
              <w:t>y</w:t>
            </w:r>
            <w:r>
              <w:t>ears</w:t>
            </w:r>
          </w:p>
        </w:tc>
      </w:tr>
      <w:tr w:rsidR="00E44526" w14:paraId="22CF2F83" w14:textId="77777777" w:rsidTr="0021382E">
        <w:trPr>
          <w:trHeight w:hRule="exact" w:val="325"/>
        </w:trPr>
        <w:tc>
          <w:tcPr>
            <w:tcW w:w="5934" w:type="dxa"/>
            <w:tcBorders>
              <w:top w:val="single" w:sz="4" w:space="0" w:color="99B0AB"/>
              <w:left w:val="single" w:sz="4" w:space="0" w:color="99B0AB"/>
              <w:bottom w:val="single" w:sz="4" w:space="0" w:color="99B0AB"/>
              <w:right w:val="single" w:sz="4" w:space="0" w:color="99B0AB"/>
            </w:tcBorders>
            <w:shd w:val="clear" w:color="auto" w:fill="B6C6C2"/>
          </w:tcPr>
          <w:p w14:paraId="7902ADBC" w14:textId="77777777" w:rsidR="00E44526" w:rsidRDefault="00E44526" w:rsidP="00E44526">
            <w:r>
              <w:rPr>
                <w:spacing w:val="2"/>
              </w:rPr>
              <w:t>I</w:t>
            </w:r>
            <w:r>
              <w:t>n</w:t>
            </w:r>
            <w:r>
              <w:rPr>
                <w:spacing w:val="-3"/>
              </w:rPr>
              <w:t>f</w:t>
            </w:r>
            <w:r>
              <w:t>orm</w:t>
            </w:r>
            <w:r>
              <w:rPr>
                <w:spacing w:val="-1"/>
              </w:rPr>
              <w:t>a</w:t>
            </w:r>
            <w:r>
              <w:t>tion</w:t>
            </w:r>
            <w:r>
              <w:rPr>
                <w:spacing w:val="-1"/>
              </w:rPr>
              <w:t xml:space="preserve"> </w:t>
            </w:r>
            <w:r>
              <w:rPr>
                <w:spacing w:val="-2"/>
              </w:rPr>
              <w:t>t</w:t>
            </w:r>
            <w:r>
              <w:t>echnology</w:t>
            </w:r>
            <w:r>
              <w:rPr>
                <w:spacing w:val="-1"/>
              </w:rPr>
              <w:t xml:space="preserve"> </w:t>
            </w:r>
            <w:r>
              <w:t>-</w:t>
            </w:r>
            <w:r>
              <w:rPr>
                <w:spacing w:val="-1"/>
              </w:rPr>
              <w:t xml:space="preserve"> </w:t>
            </w:r>
            <w:r>
              <w:rPr>
                <w:spacing w:val="1"/>
              </w:rPr>
              <w:t>S</w:t>
            </w:r>
            <w:r>
              <w:t>o</w:t>
            </w:r>
            <w:r>
              <w:rPr>
                <w:spacing w:val="2"/>
              </w:rPr>
              <w:t>ft</w:t>
            </w:r>
            <w:r>
              <w:rPr>
                <w:spacing w:val="-1"/>
              </w:rPr>
              <w:t>w</w:t>
            </w:r>
            <w:r>
              <w:t>a</w:t>
            </w:r>
            <w:r>
              <w:rPr>
                <w:spacing w:val="-3"/>
              </w:rPr>
              <w:t>r</w:t>
            </w:r>
            <w:r>
              <w:t>e</w:t>
            </w:r>
            <w:r>
              <w:rPr>
                <w:spacing w:val="-20"/>
              </w:rPr>
              <w:t xml:space="preserve"> </w:t>
            </w:r>
            <w:r>
              <w:rPr>
                <w:position w:val="7"/>
                <w:sz w:val="13"/>
                <w:szCs w:val="13"/>
              </w:rPr>
              <w:t>(a)</w:t>
            </w:r>
          </w:p>
        </w:tc>
        <w:tc>
          <w:tcPr>
            <w:tcW w:w="1577" w:type="dxa"/>
            <w:tcBorders>
              <w:top w:val="single" w:sz="4" w:space="0" w:color="99B0AB"/>
              <w:left w:val="single" w:sz="4" w:space="0" w:color="99B0AB"/>
              <w:bottom w:val="single" w:sz="4" w:space="0" w:color="99B0AB"/>
              <w:right w:val="single" w:sz="4" w:space="0" w:color="99B0AB"/>
            </w:tcBorders>
          </w:tcPr>
          <w:p w14:paraId="76CFF3F7" w14:textId="77777777" w:rsidR="00E44526" w:rsidRDefault="00E44526" w:rsidP="00E44526">
            <w:r>
              <w:t xml:space="preserve">3 </w:t>
            </w:r>
            <w:r>
              <w:rPr>
                <w:spacing w:val="-2"/>
              </w:rPr>
              <w:t>t</w:t>
            </w:r>
            <w:r>
              <w:t xml:space="preserve">o 10 </w:t>
            </w:r>
            <w:r>
              <w:rPr>
                <w:spacing w:val="-3"/>
              </w:rPr>
              <w:t>y</w:t>
            </w:r>
            <w:r>
              <w:t>ears</w:t>
            </w:r>
          </w:p>
        </w:tc>
      </w:tr>
      <w:tr w:rsidR="00E44526" w14:paraId="24ED29F3" w14:textId="77777777" w:rsidTr="0021382E">
        <w:trPr>
          <w:trHeight w:hRule="exact" w:val="325"/>
        </w:trPr>
        <w:tc>
          <w:tcPr>
            <w:tcW w:w="5934" w:type="dxa"/>
            <w:tcBorders>
              <w:top w:val="single" w:sz="4" w:space="0" w:color="99B0AB"/>
              <w:left w:val="single" w:sz="4" w:space="0" w:color="99B0AB"/>
              <w:bottom w:val="single" w:sz="4" w:space="0" w:color="99B0AB"/>
              <w:right w:val="single" w:sz="4" w:space="0" w:color="99B0AB"/>
            </w:tcBorders>
            <w:shd w:val="clear" w:color="auto" w:fill="B6C6C2"/>
          </w:tcPr>
          <w:p w14:paraId="015E73E9" w14:textId="77777777" w:rsidR="00E44526" w:rsidRDefault="00E44526" w:rsidP="00E44526">
            <w:r>
              <w:rPr>
                <w:spacing w:val="1"/>
              </w:rPr>
              <w:t>M</w:t>
            </w:r>
            <w:r>
              <w:t>o</w:t>
            </w:r>
            <w:r>
              <w:rPr>
                <w:spacing w:val="-2"/>
              </w:rPr>
              <w:t>t</w:t>
            </w:r>
            <w:r>
              <w:t xml:space="preserve">or </w:t>
            </w:r>
            <w:r>
              <w:rPr>
                <w:spacing w:val="-3"/>
              </w:rPr>
              <w:t>v</w:t>
            </w:r>
            <w:r>
              <w:t>ehicles</w:t>
            </w:r>
          </w:p>
        </w:tc>
        <w:tc>
          <w:tcPr>
            <w:tcW w:w="1577" w:type="dxa"/>
            <w:tcBorders>
              <w:top w:val="single" w:sz="4" w:space="0" w:color="99B0AB"/>
              <w:left w:val="single" w:sz="4" w:space="0" w:color="99B0AB"/>
              <w:bottom w:val="single" w:sz="4" w:space="0" w:color="99B0AB"/>
              <w:right w:val="single" w:sz="4" w:space="0" w:color="99B0AB"/>
            </w:tcBorders>
          </w:tcPr>
          <w:p w14:paraId="1F91516B" w14:textId="77777777" w:rsidR="00E44526" w:rsidRDefault="00E44526" w:rsidP="00E44526">
            <w:r>
              <w:t xml:space="preserve">6 </w:t>
            </w:r>
            <w:r>
              <w:rPr>
                <w:spacing w:val="-2"/>
              </w:rPr>
              <w:t>t</w:t>
            </w:r>
            <w:r>
              <w:t xml:space="preserve">o 7 </w:t>
            </w:r>
            <w:r>
              <w:rPr>
                <w:spacing w:val="-3"/>
              </w:rPr>
              <w:t>y</w:t>
            </w:r>
            <w:r>
              <w:t>ears</w:t>
            </w:r>
          </w:p>
        </w:tc>
      </w:tr>
    </w:tbl>
    <w:p w14:paraId="5080215F" w14:textId="77777777" w:rsidR="00E44526" w:rsidRPr="00E44526" w:rsidRDefault="00E44526" w:rsidP="00E44526">
      <w:pPr>
        <w:rPr>
          <w:rFonts w:cs="Arial"/>
          <w:color w:val="000000"/>
        </w:rPr>
      </w:pPr>
      <w:r w:rsidRPr="00E44526">
        <w:rPr>
          <w:rFonts w:cs="Arial"/>
          <w:spacing w:val="-4"/>
          <w:w w:val="95"/>
        </w:rPr>
        <w:t>(</w:t>
      </w:r>
      <w:r w:rsidRPr="00E44526">
        <w:rPr>
          <w:rFonts w:cs="Arial"/>
          <w:spacing w:val="-3"/>
          <w:w w:val="95"/>
        </w:rPr>
        <w:t>a</w:t>
      </w:r>
      <w:r w:rsidRPr="00E44526">
        <w:rPr>
          <w:rFonts w:cs="Arial"/>
          <w:w w:val="95"/>
        </w:rPr>
        <w:t>)</w:t>
      </w:r>
      <w:r w:rsidRPr="00E44526">
        <w:rPr>
          <w:rFonts w:cs="Arial"/>
          <w:spacing w:val="4"/>
          <w:w w:val="95"/>
        </w:rPr>
        <w:t xml:space="preserve"> </w:t>
      </w:r>
      <w:r w:rsidRPr="00E44526">
        <w:rPr>
          <w:rFonts w:cs="Arial"/>
          <w:spacing w:val="1"/>
          <w:w w:val="95"/>
        </w:rPr>
        <w:t>So</w:t>
      </w:r>
      <w:r w:rsidRPr="00E44526">
        <w:rPr>
          <w:rFonts w:cs="Arial"/>
          <w:spacing w:val="5"/>
          <w:w w:val="95"/>
        </w:rPr>
        <w:t>f</w:t>
      </w:r>
      <w:r w:rsidRPr="00E44526">
        <w:rPr>
          <w:rFonts w:cs="Arial"/>
          <w:spacing w:val="3"/>
          <w:w w:val="95"/>
        </w:rPr>
        <w:t>t</w:t>
      </w:r>
      <w:r w:rsidRPr="00E44526">
        <w:rPr>
          <w:rFonts w:cs="Arial"/>
          <w:spacing w:val="1"/>
          <w:w w:val="95"/>
        </w:rPr>
        <w:t>w</w:t>
      </w:r>
      <w:r w:rsidRPr="00E44526">
        <w:rPr>
          <w:rFonts w:cs="Arial"/>
          <w:w w:val="95"/>
        </w:rPr>
        <w:t>are</w:t>
      </w:r>
      <w:r w:rsidRPr="00E44526">
        <w:rPr>
          <w:rFonts w:cs="Arial"/>
          <w:spacing w:val="4"/>
          <w:w w:val="95"/>
        </w:rPr>
        <w:t xml:space="preserve"> </w:t>
      </w:r>
      <w:r w:rsidRPr="00E44526">
        <w:rPr>
          <w:rFonts w:cs="Arial"/>
          <w:w w:val="95"/>
        </w:rPr>
        <w:t>t</w:t>
      </w:r>
      <w:r w:rsidRPr="00E44526">
        <w:rPr>
          <w:rFonts w:cs="Arial"/>
          <w:spacing w:val="1"/>
          <w:w w:val="95"/>
        </w:rPr>
        <w:t>h</w:t>
      </w:r>
      <w:r w:rsidRPr="00E44526">
        <w:rPr>
          <w:rFonts w:cs="Arial"/>
          <w:w w:val="95"/>
        </w:rPr>
        <w:t>at</w:t>
      </w:r>
      <w:r w:rsidRPr="00E44526">
        <w:rPr>
          <w:rFonts w:cs="Arial"/>
          <w:spacing w:val="4"/>
          <w:w w:val="95"/>
        </w:rPr>
        <w:t xml:space="preserve"> </w:t>
      </w:r>
      <w:r w:rsidRPr="00E44526">
        <w:rPr>
          <w:rFonts w:cs="Arial"/>
          <w:w w:val="95"/>
        </w:rPr>
        <w:t>is</w:t>
      </w:r>
      <w:r w:rsidRPr="00E44526">
        <w:rPr>
          <w:rFonts w:cs="Arial"/>
          <w:spacing w:val="4"/>
          <w:w w:val="95"/>
        </w:rPr>
        <w:t xml:space="preserve"> </w:t>
      </w:r>
      <w:r w:rsidRPr="00E44526">
        <w:rPr>
          <w:rFonts w:cs="Arial"/>
          <w:w w:val="95"/>
        </w:rPr>
        <w:t>int</w:t>
      </w:r>
      <w:r w:rsidRPr="00E44526">
        <w:rPr>
          <w:rFonts w:cs="Arial"/>
          <w:spacing w:val="1"/>
          <w:w w:val="95"/>
        </w:rPr>
        <w:t>egra</w:t>
      </w:r>
      <w:r w:rsidRPr="00E44526">
        <w:rPr>
          <w:rFonts w:cs="Arial"/>
          <w:w w:val="95"/>
        </w:rPr>
        <w:t>l</w:t>
      </w:r>
      <w:r w:rsidRPr="00E44526">
        <w:rPr>
          <w:rFonts w:cs="Arial"/>
          <w:spacing w:val="4"/>
          <w:w w:val="95"/>
        </w:rPr>
        <w:t xml:space="preserve"> </w:t>
      </w:r>
      <w:r w:rsidRPr="00E44526">
        <w:rPr>
          <w:rFonts w:cs="Arial"/>
          <w:w w:val="95"/>
        </w:rPr>
        <w:t>to</w:t>
      </w:r>
      <w:r w:rsidRPr="00E44526">
        <w:rPr>
          <w:rFonts w:cs="Arial"/>
          <w:spacing w:val="4"/>
          <w:w w:val="95"/>
        </w:rPr>
        <w:t xml:space="preserve"> </w:t>
      </w:r>
      <w:r w:rsidRPr="00E44526">
        <w:rPr>
          <w:rFonts w:cs="Arial"/>
          <w:w w:val="95"/>
        </w:rPr>
        <w:t>t</w:t>
      </w:r>
      <w:r w:rsidRPr="00E44526">
        <w:rPr>
          <w:rFonts w:cs="Arial"/>
          <w:spacing w:val="1"/>
          <w:w w:val="95"/>
        </w:rPr>
        <w:t>h</w:t>
      </w:r>
      <w:r w:rsidRPr="00E44526">
        <w:rPr>
          <w:rFonts w:cs="Arial"/>
          <w:w w:val="95"/>
        </w:rPr>
        <w:t>e</w:t>
      </w:r>
      <w:r w:rsidRPr="00E44526">
        <w:rPr>
          <w:rFonts w:cs="Arial"/>
          <w:spacing w:val="4"/>
          <w:w w:val="95"/>
        </w:rPr>
        <w:t xml:space="preserve"> </w:t>
      </w:r>
      <w:r w:rsidRPr="00E44526">
        <w:rPr>
          <w:rFonts w:cs="Arial"/>
          <w:spacing w:val="1"/>
          <w:w w:val="95"/>
        </w:rPr>
        <w:t>oper</w:t>
      </w:r>
      <w:r w:rsidRPr="00E44526">
        <w:rPr>
          <w:rFonts w:cs="Arial"/>
          <w:w w:val="95"/>
        </w:rPr>
        <w:t>at</w:t>
      </w:r>
      <w:r w:rsidRPr="00E44526">
        <w:rPr>
          <w:rFonts w:cs="Arial"/>
          <w:spacing w:val="1"/>
          <w:w w:val="95"/>
        </w:rPr>
        <w:t>io</w:t>
      </w:r>
      <w:r w:rsidRPr="00E44526">
        <w:rPr>
          <w:rFonts w:cs="Arial"/>
          <w:w w:val="95"/>
        </w:rPr>
        <w:t>n</w:t>
      </w:r>
      <w:r w:rsidRPr="00E44526">
        <w:rPr>
          <w:rFonts w:cs="Arial"/>
          <w:spacing w:val="4"/>
          <w:w w:val="95"/>
        </w:rPr>
        <w:t xml:space="preserve"> </w:t>
      </w:r>
      <w:r w:rsidRPr="00E44526">
        <w:rPr>
          <w:rFonts w:cs="Arial"/>
          <w:spacing w:val="1"/>
          <w:w w:val="95"/>
        </w:rPr>
        <w:t>o</w:t>
      </w:r>
      <w:r w:rsidRPr="00E44526">
        <w:rPr>
          <w:rFonts w:cs="Arial"/>
          <w:w w:val="95"/>
        </w:rPr>
        <w:t>f</w:t>
      </w:r>
      <w:r w:rsidRPr="00E44526">
        <w:rPr>
          <w:rFonts w:cs="Arial"/>
          <w:spacing w:val="4"/>
          <w:w w:val="95"/>
        </w:rPr>
        <w:t xml:space="preserve"> </w:t>
      </w:r>
      <w:r w:rsidRPr="00E44526">
        <w:rPr>
          <w:rFonts w:cs="Arial"/>
          <w:w w:val="95"/>
        </w:rPr>
        <w:t>r</w:t>
      </w:r>
      <w:r w:rsidRPr="00E44526">
        <w:rPr>
          <w:rFonts w:cs="Arial"/>
          <w:spacing w:val="1"/>
          <w:w w:val="95"/>
        </w:rPr>
        <w:t>e</w:t>
      </w:r>
      <w:r w:rsidRPr="00E44526">
        <w:rPr>
          <w:rFonts w:cs="Arial"/>
          <w:w w:val="95"/>
        </w:rPr>
        <w:t>lat</w:t>
      </w:r>
      <w:r w:rsidRPr="00E44526">
        <w:rPr>
          <w:rFonts w:cs="Arial"/>
          <w:spacing w:val="1"/>
          <w:w w:val="95"/>
        </w:rPr>
        <w:t>e</w:t>
      </w:r>
      <w:r w:rsidRPr="00E44526">
        <w:rPr>
          <w:rFonts w:cs="Arial"/>
          <w:w w:val="95"/>
        </w:rPr>
        <w:t>d</w:t>
      </w:r>
      <w:r w:rsidRPr="00E44526">
        <w:rPr>
          <w:rFonts w:cs="Arial"/>
          <w:spacing w:val="5"/>
          <w:w w:val="95"/>
        </w:rPr>
        <w:t xml:space="preserve"> </w:t>
      </w:r>
      <w:r w:rsidRPr="00E44526">
        <w:rPr>
          <w:rFonts w:cs="Arial"/>
          <w:spacing w:val="1"/>
          <w:w w:val="95"/>
        </w:rPr>
        <w:t>h</w:t>
      </w:r>
      <w:r w:rsidRPr="00E44526">
        <w:rPr>
          <w:rFonts w:cs="Arial"/>
          <w:w w:val="95"/>
        </w:rPr>
        <w:t>ar</w:t>
      </w:r>
      <w:r w:rsidRPr="00E44526">
        <w:rPr>
          <w:rFonts w:cs="Arial"/>
          <w:spacing w:val="1"/>
          <w:w w:val="95"/>
        </w:rPr>
        <w:t>dw</w:t>
      </w:r>
      <w:r w:rsidRPr="00E44526">
        <w:rPr>
          <w:rFonts w:cs="Arial"/>
          <w:w w:val="95"/>
        </w:rPr>
        <w:t>are</w:t>
      </w:r>
    </w:p>
    <w:p w14:paraId="636EA969" w14:textId="77777777" w:rsidR="00E44526" w:rsidRDefault="00E44526" w:rsidP="00E44526">
      <w:r>
        <w:t>Land is not dep</w:t>
      </w:r>
      <w:r>
        <w:rPr>
          <w:spacing w:val="-3"/>
        </w:rPr>
        <w:t>r</w:t>
      </w:r>
      <w:r>
        <w:t>eci</w:t>
      </w:r>
      <w:r>
        <w:rPr>
          <w:spacing w:val="-1"/>
        </w:rPr>
        <w:t>a</w:t>
      </w:r>
      <w:r>
        <w:rPr>
          <w:spacing w:val="-2"/>
        </w:rPr>
        <w:t>t</w:t>
      </w:r>
      <w:r>
        <w:t>e</w:t>
      </w:r>
      <w:r>
        <w:rPr>
          <w:spacing w:val="-3"/>
        </w:rPr>
        <w:t>d</w:t>
      </w:r>
      <w:r>
        <w:t>.</w:t>
      </w:r>
    </w:p>
    <w:p w14:paraId="0968000E" w14:textId="31714E01" w:rsidR="00272B6E" w:rsidRPr="00DA1E18" w:rsidRDefault="00272B6E" w:rsidP="00272B6E">
      <w:pPr>
        <w:rPr>
          <w:rStyle w:val="Strong"/>
        </w:rPr>
      </w:pPr>
      <w:r w:rsidRPr="00DA1E18">
        <w:rPr>
          <w:rStyle w:val="Strong"/>
        </w:rPr>
        <w:t>(f) Intangible assets</w:t>
      </w:r>
    </w:p>
    <w:p w14:paraId="4E49ECC6" w14:textId="77777777" w:rsidR="00272B6E" w:rsidRPr="00DA1E18" w:rsidRDefault="00272B6E" w:rsidP="00272B6E">
      <w:pPr>
        <w:rPr>
          <w:rStyle w:val="Strong"/>
        </w:rPr>
      </w:pPr>
      <w:r w:rsidRPr="00DA1E18">
        <w:rPr>
          <w:rStyle w:val="Strong"/>
        </w:rPr>
        <w:t>Capitalisation/expensing of assets</w:t>
      </w:r>
    </w:p>
    <w:p w14:paraId="6AC31BAA" w14:textId="77777777" w:rsidR="00272B6E" w:rsidRDefault="00272B6E" w:rsidP="00272B6E">
      <w:pPr>
        <w:rPr>
          <w:color w:val="000000"/>
        </w:rPr>
      </w:pPr>
      <w:r>
        <w:rPr>
          <w:spacing w:val="-3"/>
        </w:rPr>
        <w:t>A</w:t>
      </w:r>
      <w:r>
        <w:rPr>
          <w:spacing w:val="-2"/>
        </w:rPr>
        <w:t>c</w:t>
      </w:r>
      <w:r>
        <w:t>quisitions of i</w:t>
      </w:r>
      <w:r>
        <w:rPr>
          <w:spacing w:val="-1"/>
        </w:rPr>
        <w:t>n</w:t>
      </w:r>
      <w:r>
        <w:t>tan</w:t>
      </w:r>
      <w:r>
        <w:rPr>
          <w:spacing w:val="-2"/>
        </w:rPr>
        <w:t>g</w:t>
      </w:r>
      <w:r>
        <w:t xml:space="preserve">ible assets </w:t>
      </w:r>
      <w:r>
        <w:rPr>
          <w:spacing w:val="-2"/>
        </w:rPr>
        <w:t>c</w:t>
      </w:r>
      <w:r>
        <w:t>osting $5,000 or mo</w:t>
      </w:r>
      <w:r>
        <w:rPr>
          <w:spacing w:val="-3"/>
        </w:rPr>
        <w:t>r</w:t>
      </w:r>
      <w:r>
        <w:t>e and i</w:t>
      </w:r>
      <w:r>
        <w:rPr>
          <w:spacing w:val="-1"/>
        </w:rPr>
        <w:t>n</w:t>
      </w:r>
      <w:r>
        <w:rPr>
          <w:spacing w:val="-2"/>
        </w:rPr>
        <w:t>t</w:t>
      </w:r>
      <w:r>
        <w:t>ernally gene</w:t>
      </w:r>
      <w:r>
        <w:rPr>
          <w:spacing w:val="-2"/>
        </w:rPr>
        <w:t>r</w:t>
      </w:r>
      <w:r>
        <w:rPr>
          <w:spacing w:val="-1"/>
        </w:rPr>
        <w:t>a</w:t>
      </w:r>
      <w:r>
        <w:rPr>
          <w:spacing w:val="-2"/>
        </w:rPr>
        <w:t>t</w:t>
      </w:r>
      <w:r>
        <w:t>ed i</w:t>
      </w:r>
      <w:r>
        <w:rPr>
          <w:spacing w:val="-1"/>
        </w:rPr>
        <w:t>n</w:t>
      </w:r>
      <w:r>
        <w:t>tan</w:t>
      </w:r>
      <w:r>
        <w:rPr>
          <w:spacing w:val="-2"/>
        </w:rPr>
        <w:t>g</w:t>
      </w:r>
      <w:r>
        <w:t xml:space="preserve">ible assets </w:t>
      </w:r>
      <w:r>
        <w:rPr>
          <w:spacing w:val="-2"/>
        </w:rPr>
        <w:t>c</w:t>
      </w:r>
      <w:r>
        <w:t>osting $50,000 or mo</w:t>
      </w:r>
      <w:r>
        <w:rPr>
          <w:spacing w:val="-3"/>
        </w:rPr>
        <w:t>r</w:t>
      </w:r>
      <w:r>
        <w:t>e a</w:t>
      </w:r>
      <w:r>
        <w:rPr>
          <w:spacing w:val="-3"/>
        </w:rPr>
        <w:t>r</w:t>
      </w:r>
      <w:r>
        <w:t>e capitalise</w:t>
      </w:r>
      <w:r>
        <w:rPr>
          <w:spacing w:val="-3"/>
        </w:rPr>
        <w:t>d</w:t>
      </w:r>
      <w:r>
        <w:t>.</w:t>
      </w:r>
      <w:r>
        <w:rPr>
          <w:spacing w:val="-9"/>
        </w:rPr>
        <w:t xml:space="preserve"> </w:t>
      </w:r>
      <w:r>
        <w:rPr>
          <w:spacing w:val="-2"/>
        </w:rPr>
        <w:t>T</w:t>
      </w:r>
      <w:r>
        <w:t xml:space="preserve">he </w:t>
      </w:r>
      <w:r>
        <w:rPr>
          <w:spacing w:val="-2"/>
        </w:rPr>
        <w:t>c</w:t>
      </w:r>
      <w:r>
        <w:t xml:space="preserve">ost of utilising the assets is </w:t>
      </w:r>
      <w:r>
        <w:rPr>
          <w:spacing w:val="-1"/>
        </w:rPr>
        <w:t>e</w:t>
      </w:r>
      <w:r>
        <w:t>xpensed (amo</w:t>
      </w:r>
      <w:r>
        <w:rPr>
          <w:spacing w:val="5"/>
        </w:rPr>
        <w:t>r</w:t>
      </w:r>
      <w:r>
        <w:t xml:space="preserve">tised) </w:t>
      </w:r>
      <w:r>
        <w:rPr>
          <w:spacing w:val="-2"/>
        </w:rPr>
        <w:t>o</w:t>
      </w:r>
      <w:r>
        <w:rPr>
          <w:spacing w:val="-3"/>
        </w:rPr>
        <w:t>v</w:t>
      </w:r>
      <w:r>
        <w:t>er their useful li</w:t>
      </w:r>
      <w:r>
        <w:rPr>
          <w:spacing w:val="-3"/>
        </w:rPr>
        <w:t>v</w:t>
      </w:r>
      <w:r>
        <w:t>e</w:t>
      </w:r>
      <w:r>
        <w:rPr>
          <w:spacing w:val="-3"/>
        </w:rPr>
        <w:t>s</w:t>
      </w:r>
      <w:r>
        <w:t xml:space="preserve">. </w:t>
      </w:r>
      <w:r>
        <w:rPr>
          <w:spacing w:val="-3"/>
        </w:rPr>
        <w:t>C</w:t>
      </w:r>
      <w:r>
        <w:t>osts incur</w:t>
      </w:r>
      <w:r>
        <w:rPr>
          <w:spacing w:val="-3"/>
        </w:rPr>
        <w:t>r</w:t>
      </w:r>
      <w:r>
        <w:t>ed bel</w:t>
      </w:r>
      <w:r>
        <w:rPr>
          <w:spacing w:val="-2"/>
        </w:rPr>
        <w:t>o</w:t>
      </w:r>
      <w:r>
        <w:t>w these th</w:t>
      </w:r>
      <w:r>
        <w:rPr>
          <w:spacing w:val="-3"/>
        </w:rPr>
        <w:t>r</w:t>
      </w:r>
      <w:r>
        <w:t>esholds a</w:t>
      </w:r>
      <w:r>
        <w:rPr>
          <w:spacing w:val="-3"/>
        </w:rPr>
        <w:t>r</w:t>
      </w:r>
      <w:r>
        <w:t>e immedi</w:t>
      </w:r>
      <w:r>
        <w:rPr>
          <w:spacing w:val="-1"/>
        </w:rPr>
        <w:t>a</w:t>
      </w:r>
      <w:r>
        <w:rPr>
          <w:spacing w:val="-2"/>
        </w:rPr>
        <w:t>t</w:t>
      </w:r>
      <w:r>
        <w:t xml:space="preserve">ely </w:t>
      </w:r>
      <w:r>
        <w:rPr>
          <w:spacing w:val="-1"/>
        </w:rPr>
        <w:t>e</w:t>
      </w:r>
      <w:r>
        <w:t>xpensed di</w:t>
      </w:r>
      <w:r>
        <w:rPr>
          <w:spacing w:val="-3"/>
        </w:rPr>
        <w:t>r</w:t>
      </w:r>
      <w:r>
        <w:t>e</w:t>
      </w:r>
      <w:r>
        <w:rPr>
          <w:spacing w:val="2"/>
        </w:rPr>
        <w:t>c</w:t>
      </w:r>
      <w:r>
        <w:t xml:space="preserve">tly </w:t>
      </w:r>
      <w:r>
        <w:rPr>
          <w:spacing w:val="-2"/>
        </w:rPr>
        <w:t>t</w:t>
      </w:r>
      <w:r>
        <w:t xml:space="preserve">o the </w:t>
      </w:r>
      <w:r>
        <w:rPr>
          <w:spacing w:val="-1"/>
        </w:rPr>
        <w:t>S</w:t>
      </w:r>
      <w:r>
        <w:t>t</w:t>
      </w:r>
      <w:r>
        <w:rPr>
          <w:spacing w:val="-1"/>
        </w:rPr>
        <w:t>a</w:t>
      </w:r>
      <w:r>
        <w:rPr>
          <w:spacing w:val="-2"/>
        </w:rPr>
        <w:t>t</w:t>
      </w:r>
      <w:r>
        <w:t>eme</w:t>
      </w:r>
      <w:r>
        <w:rPr>
          <w:spacing w:val="-1"/>
        </w:rPr>
        <w:t>n</w:t>
      </w:r>
      <w:r>
        <w:t xml:space="preserve">t of </w:t>
      </w:r>
      <w:r>
        <w:rPr>
          <w:spacing w:val="-3"/>
        </w:rPr>
        <w:t>C</w:t>
      </w:r>
      <w:r>
        <w:t>omp</w:t>
      </w:r>
      <w:r>
        <w:rPr>
          <w:spacing w:val="-3"/>
        </w:rPr>
        <w:t>r</w:t>
      </w:r>
      <w:r>
        <w:t>ehensi</w:t>
      </w:r>
      <w:r>
        <w:rPr>
          <w:spacing w:val="-3"/>
        </w:rPr>
        <w:t>v</w:t>
      </w:r>
      <w:r>
        <w:t xml:space="preserve">e </w:t>
      </w:r>
      <w:r>
        <w:rPr>
          <w:spacing w:val="2"/>
        </w:rPr>
        <w:t>I</w:t>
      </w:r>
      <w:r>
        <w:t>n</w:t>
      </w:r>
      <w:r>
        <w:rPr>
          <w:spacing w:val="-2"/>
        </w:rPr>
        <w:t>c</w:t>
      </w:r>
      <w:r>
        <w:t>om</w:t>
      </w:r>
      <w:r>
        <w:rPr>
          <w:spacing w:val="-3"/>
        </w:rPr>
        <w:t>e</w:t>
      </w:r>
      <w:r>
        <w:t>.</w:t>
      </w:r>
    </w:p>
    <w:p w14:paraId="3EAEE7DB" w14:textId="77777777" w:rsidR="00272B6E" w:rsidRDefault="00272B6E" w:rsidP="00272B6E">
      <w:pPr>
        <w:rPr>
          <w:color w:val="000000"/>
        </w:rPr>
      </w:pPr>
      <w:r>
        <w:rPr>
          <w:spacing w:val="2"/>
        </w:rPr>
        <w:t>I</w:t>
      </w:r>
      <w:r>
        <w:rPr>
          <w:spacing w:val="-1"/>
        </w:rPr>
        <w:t>n</w:t>
      </w:r>
      <w:r>
        <w:t>tan</w:t>
      </w:r>
      <w:r>
        <w:rPr>
          <w:spacing w:val="-2"/>
        </w:rPr>
        <w:t>g</w:t>
      </w:r>
      <w:r>
        <w:t>ible assets a</w:t>
      </w:r>
      <w:r>
        <w:rPr>
          <w:spacing w:val="-3"/>
        </w:rPr>
        <w:t>r</w:t>
      </w:r>
      <w:r>
        <w:t xml:space="preserve">e initially </w:t>
      </w:r>
      <w:r>
        <w:rPr>
          <w:spacing w:val="-3"/>
        </w:rPr>
        <w:t>r</w:t>
      </w:r>
      <w:r>
        <w:t>e</w:t>
      </w:r>
      <w:r>
        <w:rPr>
          <w:spacing w:val="-2"/>
        </w:rPr>
        <w:t>c</w:t>
      </w:r>
      <w:r>
        <w:t>o</w:t>
      </w:r>
      <w:r>
        <w:rPr>
          <w:spacing w:val="-2"/>
        </w:rPr>
        <w:t>g</w:t>
      </w:r>
      <w:r>
        <w:t xml:space="preserve">nised </w:t>
      </w:r>
      <w:r>
        <w:rPr>
          <w:spacing w:val="-1"/>
        </w:rPr>
        <w:t>a</w:t>
      </w:r>
      <w:r>
        <w:t xml:space="preserve">t </w:t>
      </w:r>
      <w:r>
        <w:rPr>
          <w:spacing w:val="-2"/>
        </w:rPr>
        <w:t>c</w:t>
      </w:r>
      <w:r>
        <w:t>os</w:t>
      </w:r>
      <w:r>
        <w:rPr>
          <w:spacing w:val="-1"/>
        </w:rPr>
        <w:t>t</w:t>
      </w:r>
      <w:r>
        <w:t xml:space="preserve">. </w:t>
      </w:r>
      <w:r>
        <w:rPr>
          <w:spacing w:val="-7"/>
        </w:rPr>
        <w:t>F</w:t>
      </w:r>
      <w:r>
        <w:t>or assets a</w:t>
      </w:r>
      <w:r>
        <w:rPr>
          <w:spacing w:val="-2"/>
        </w:rPr>
        <w:t>c</w:t>
      </w:r>
      <w:r>
        <w:t>qui</w:t>
      </w:r>
      <w:r>
        <w:rPr>
          <w:spacing w:val="-3"/>
        </w:rPr>
        <w:t>r</w:t>
      </w:r>
      <w:r>
        <w:t xml:space="preserve">ed </w:t>
      </w:r>
      <w:r>
        <w:rPr>
          <w:spacing w:val="-1"/>
        </w:rPr>
        <w:t>a</w:t>
      </w:r>
      <w:r>
        <w:t xml:space="preserve">t no </w:t>
      </w:r>
      <w:r>
        <w:rPr>
          <w:spacing w:val="-2"/>
        </w:rPr>
        <w:t>c</w:t>
      </w:r>
      <w:r>
        <w:t xml:space="preserve">ost or </w:t>
      </w:r>
      <w:r>
        <w:rPr>
          <w:spacing w:val="-3"/>
        </w:rPr>
        <w:t>f</w:t>
      </w:r>
      <w:r>
        <w:t xml:space="preserve">or nominal </w:t>
      </w:r>
      <w:r>
        <w:rPr>
          <w:spacing w:val="-2"/>
        </w:rPr>
        <w:t>c</w:t>
      </w:r>
      <w:r>
        <w:t>os</w:t>
      </w:r>
      <w:r>
        <w:rPr>
          <w:spacing w:val="-1"/>
        </w:rPr>
        <w:t>t</w:t>
      </w:r>
      <w:r>
        <w:t xml:space="preserve">, the </w:t>
      </w:r>
      <w:r>
        <w:rPr>
          <w:spacing w:val="-2"/>
        </w:rPr>
        <w:t>c</w:t>
      </w:r>
      <w:r>
        <w:t xml:space="preserve">ost is their fair </w:t>
      </w:r>
      <w:r>
        <w:rPr>
          <w:spacing w:val="-1"/>
        </w:rPr>
        <w:t>v</w:t>
      </w:r>
      <w:r>
        <w:t xml:space="preserve">alue </w:t>
      </w:r>
      <w:r>
        <w:rPr>
          <w:spacing w:val="-1"/>
        </w:rPr>
        <w:t>a</w:t>
      </w:r>
      <w:r>
        <w:t>t the d</w:t>
      </w:r>
      <w:r>
        <w:rPr>
          <w:spacing w:val="-1"/>
        </w:rPr>
        <w:t>a</w:t>
      </w:r>
      <w:r>
        <w:rPr>
          <w:spacing w:val="-2"/>
        </w:rPr>
        <w:t>t</w:t>
      </w:r>
      <w:r>
        <w:t>e of a</w:t>
      </w:r>
      <w:r>
        <w:rPr>
          <w:spacing w:val="-2"/>
        </w:rPr>
        <w:t>c</w:t>
      </w:r>
      <w:r>
        <w:t>quisition.</w:t>
      </w:r>
    </w:p>
    <w:p w14:paraId="3BBA2C9C" w14:textId="5701A2E9" w:rsidR="00272B6E" w:rsidRDefault="00272B6E" w:rsidP="00272B6E">
      <w:pPr>
        <w:rPr>
          <w:color w:val="000000"/>
        </w:rPr>
      </w:pPr>
      <w:r>
        <w:rPr>
          <w:spacing w:val="-2"/>
        </w:rPr>
        <w:lastRenderedPageBreak/>
        <w:t>T</w:t>
      </w:r>
      <w:r>
        <w:t xml:space="preserve">he </w:t>
      </w:r>
      <w:r>
        <w:rPr>
          <w:spacing w:val="-2"/>
        </w:rPr>
        <w:t>c</w:t>
      </w:r>
      <w:r>
        <w:t xml:space="preserve">ost model is applied </w:t>
      </w:r>
      <w:r>
        <w:rPr>
          <w:spacing w:val="-3"/>
        </w:rPr>
        <w:t>f</w:t>
      </w:r>
      <w:r>
        <w:t>or subseque</w:t>
      </w:r>
      <w:r>
        <w:rPr>
          <w:spacing w:val="-1"/>
        </w:rPr>
        <w:t>n</w:t>
      </w:r>
      <w:r>
        <w:t>t measu</w:t>
      </w:r>
      <w:r>
        <w:rPr>
          <w:spacing w:val="-3"/>
        </w:rPr>
        <w:t>r</w:t>
      </w:r>
      <w:r>
        <w:t>eme</w:t>
      </w:r>
      <w:r>
        <w:rPr>
          <w:spacing w:val="-1"/>
        </w:rPr>
        <w:t>n</w:t>
      </w:r>
      <w:r>
        <w:t xml:space="preserve">t </w:t>
      </w:r>
      <w:r>
        <w:rPr>
          <w:spacing w:val="-3"/>
        </w:rPr>
        <w:t>r</w:t>
      </w:r>
      <w:r>
        <w:t xml:space="preserve">equiring the asset </w:t>
      </w:r>
      <w:r>
        <w:rPr>
          <w:spacing w:val="-2"/>
        </w:rPr>
        <w:t>t</w:t>
      </w:r>
      <w:r>
        <w:t xml:space="preserve">o be carried </w:t>
      </w:r>
      <w:r>
        <w:rPr>
          <w:spacing w:val="-1"/>
        </w:rPr>
        <w:t>a</w:t>
      </w:r>
      <w:r>
        <w:t xml:space="preserve">t </w:t>
      </w:r>
      <w:r>
        <w:rPr>
          <w:spacing w:val="-2"/>
        </w:rPr>
        <w:t>c</w:t>
      </w:r>
      <w:r>
        <w:t>ost less a</w:t>
      </w:r>
      <w:r>
        <w:rPr>
          <w:spacing w:val="-3"/>
        </w:rPr>
        <w:t>n</w:t>
      </w:r>
      <w:r>
        <w:t>y a</w:t>
      </w:r>
      <w:r>
        <w:rPr>
          <w:spacing w:val="-2"/>
        </w:rPr>
        <w:t>c</w:t>
      </w:r>
      <w:r>
        <w:t>cumul</w:t>
      </w:r>
      <w:r>
        <w:rPr>
          <w:spacing w:val="-1"/>
        </w:rPr>
        <w:t>a</w:t>
      </w:r>
      <w:r>
        <w:rPr>
          <w:spacing w:val="-2"/>
        </w:rPr>
        <w:t>t</w:t>
      </w:r>
      <w:r>
        <w:t>ed amo</w:t>
      </w:r>
      <w:r>
        <w:rPr>
          <w:spacing w:val="5"/>
        </w:rPr>
        <w:t>r</w:t>
      </w:r>
      <w:r>
        <w:t>tis</w:t>
      </w:r>
      <w:r>
        <w:rPr>
          <w:spacing w:val="-1"/>
        </w:rPr>
        <w:t>a</w:t>
      </w:r>
      <w:r>
        <w:t>tion and a</w:t>
      </w:r>
      <w:r>
        <w:rPr>
          <w:spacing w:val="-2"/>
        </w:rPr>
        <w:t>c</w:t>
      </w:r>
      <w:r>
        <w:t>cumul</w:t>
      </w:r>
      <w:r>
        <w:rPr>
          <w:spacing w:val="-1"/>
        </w:rPr>
        <w:t>a</w:t>
      </w:r>
      <w:r>
        <w:rPr>
          <w:spacing w:val="-2"/>
        </w:rPr>
        <w:t>t</w:t>
      </w:r>
      <w:r>
        <w:t>ed impairme</w:t>
      </w:r>
      <w:r>
        <w:rPr>
          <w:spacing w:val="-1"/>
        </w:rPr>
        <w:t>n</w:t>
      </w:r>
      <w:r>
        <w:t>t losse</w:t>
      </w:r>
      <w:r>
        <w:rPr>
          <w:spacing w:val="-3"/>
        </w:rPr>
        <w:t>s</w:t>
      </w:r>
      <w:r>
        <w:t>.</w:t>
      </w:r>
    </w:p>
    <w:p w14:paraId="0074B4F6" w14:textId="77777777" w:rsidR="00272B6E" w:rsidRDefault="00272B6E" w:rsidP="00272B6E">
      <w:pPr>
        <w:rPr>
          <w:color w:val="000000"/>
        </w:rPr>
      </w:pPr>
      <w:r>
        <w:rPr>
          <w:spacing w:val="-1"/>
        </w:rPr>
        <w:t>A</w:t>
      </w:r>
      <w:r>
        <w:t>mo</w:t>
      </w:r>
      <w:r>
        <w:rPr>
          <w:spacing w:val="5"/>
        </w:rPr>
        <w:t>r</w:t>
      </w:r>
      <w:r>
        <w:t>tis</w:t>
      </w:r>
      <w:r>
        <w:rPr>
          <w:spacing w:val="-1"/>
        </w:rPr>
        <w:t>a</w:t>
      </w:r>
      <w:r>
        <w:t>tion</w:t>
      </w:r>
      <w:r>
        <w:rPr>
          <w:spacing w:val="-1"/>
        </w:rPr>
        <w:t xml:space="preserve"> </w:t>
      </w:r>
      <w:r>
        <w:rPr>
          <w:spacing w:val="-3"/>
        </w:rPr>
        <w:t>f</w:t>
      </w:r>
      <w:r>
        <w:t>or i</w:t>
      </w:r>
      <w:r>
        <w:rPr>
          <w:spacing w:val="-1"/>
        </w:rPr>
        <w:t>n</w:t>
      </w:r>
      <w:r>
        <w:t>tan</w:t>
      </w:r>
      <w:r>
        <w:rPr>
          <w:spacing w:val="-2"/>
        </w:rPr>
        <w:t>g</w:t>
      </w:r>
      <w:r>
        <w:t>ible assets</w:t>
      </w:r>
      <w:r>
        <w:rPr>
          <w:spacing w:val="-1"/>
        </w:rPr>
        <w:t xml:space="preserve"> </w:t>
      </w:r>
      <w:r>
        <w:t>with fini</w:t>
      </w:r>
      <w:r>
        <w:rPr>
          <w:spacing w:val="-2"/>
        </w:rPr>
        <w:t>t</w:t>
      </w:r>
      <w:r>
        <w:t>e useful</w:t>
      </w:r>
      <w:r>
        <w:rPr>
          <w:spacing w:val="-1"/>
        </w:rPr>
        <w:t xml:space="preserve"> </w:t>
      </w:r>
      <w:r>
        <w:t>li</w:t>
      </w:r>
      <w:r>
        <w:rPr>
          <w:spacing w:val="-3"/>
        </w:rPr>
        <w:t>v</w:t>
      </w:r>
      <w:r>
        <w:t>es is calcul</w:t>
      </w:r>
      <w:r>
        <w:rPr>
          <w:spacing w:val="-1"/>
        </w:rPr>
        <w:t>a</w:t>
      </w:r>
      <w:r>
        <w:rPr>
          <w:spacing w:val="-2"/>
        </w:rPr>
        <w:t>t</w:t>
      </w:r>
      <w:r>
        <w:t>ed</w:t>
      </w:r>
      <w:r>
        <w:rPr>
          <w:spacing w:val="-1"/>
        </w:rPr>
        <w:t xml:space="preserve"> </w:t>
      </w:r>
      <w:r>
        <w:rPr>
          <w:spacing w:val="-3"/>
        </w:rPr>
        <w:t>f</w:t>
      </w:r>
      <w:r>
        <w:t>or the period</w:t>
      </w:r>
      <w:r>
        <w:rPr>
          <w:spacing w:val="-1"/>
        </w:rPr>
        <w:t xml:space="preserve"> </w:t>
      </w:r>
      <w:r>
        <w:t>of</w:t>
      </w:r>
      <w:r>
        <w:rPr>
          <w:spacing w:val="-1"/>
        </w:rPr>
        <w:t xml:space="preserve"> </w:t>
      </w:r>
      <w:r>
        <w:t xml:space="preserve">the </w:t>
      </w:r>
      <w:r>
        <w:rPr>
          <w:spacing w:val="-1"/>
        </w:rPr>
        <w:t>e</w:t>
      </w:r>
      <w:r>
        <w:t>xpe</w:t>
      </w:r>
      <w:r>
        <w:rPr>
          <w:spacing w:val="2"/>
        </w:rPr>
        <w:t>c</w:t>
      </w:r>
      <w:r>
        <w:rPr>
          <w:spacing w:val="-2"/>
        </w:rPr>
        <w:t>t</w:t>
      </w:r>
      <w:r>
        <w:t>ed</w:t>
      </w:r>
      <w:r>
        <w:rPr>
          <w:spacing w:val="-1"/>
        </w:rPr>
        <w:t xml:space="preserve"> </w:t>
      </w:r>
      <w:r>
        <w:t>benefit (estim</w:t>
      </w:r>
      <w:r>
        <w:rPr>
          <w:spacing w:val="-1"/>
        </w:rPr>
        <w:t>a</w:t>
      </w:r>
      <w:r>
        <w:rPr>
          <w:spacing w:val="-2"/>
        </w:rPr>
        <w:t>t</w:t>
      </w:r>
      <w:r>
        <w:t>ed</w:t>
      </w:r>
      <w:r>
        <w:rPr>
          <w:spacing w:val="-1"/>
        </w:rPr>
        <w:t xml:space="preserve"> </w:t>
      </w:r>
      <w:r>
        <w:t>useful</w:t>
      </w:r>
      <w:r>
        <w:rPr>
          <w:spacing w:val="-1"/>
        </w:rPr>
        <w:t xml:space="preserve"> </w:t>
      </w:r>
      <w:r>
        <w:t>li</w:t>
      </w:r>
      <w:r>
        <w:rPr>
          <w:spacing w:val="-3"/>
        </w:rPr>
        <w:t>f</w:t>
      </w:r>
      <w:r>
        <w:t>e which</w:t>
      </w:r>
      <w:r>
        <w:rPr>
          <w:spacing w:val="-1"/>
        </w:rPr>
        <w:t xml:space="preserve"> </w:t>
      </w:r>
      <w:r>
        <w:t xml:space="preserve">is </w:t>
      </w:r>
      <w:r>
        <w:rPr>
          <w:spacing w:val="-3"/>
        </w:rPr>
        <w:t>r</w:t>
      </w:r>
      <w:r>
        <w:t>evie</w:t>
      </w:r>
      <w:r>
        <w:rPr>
          <w:spacing w:val="-3"/>
        </w:rPr>
        <w:t>w</w:t>
      </w:r>
      <w:r>
        <w:t>ed</w:t>
      </w:r>
      <w:r>
        <w:rPr>
          <w:spacing w:val="-1"/>
        </w:rPr>
        <w:t xml:space="preserve"> </w:t>
      </w:r>
      <w:r>
        <w:t>annually) on the st</w:t>
      </w:r>
      <w:r>
        <w:rPr>
          <w:spacing w:val="-2"/>
        </w:rPr>
        <w:t>r</w:t>
      </w:r>
      <w:r>
        <w:t>aig</w:t>
      </w:r>
      <w:r>
        <w:rPr>
          <w:spacing w:val="-1"/>
        </w:rPr>
        <w:t>h</w:t>
      </w:r>
      <w:r>
        <w:t>t line basi</w:t>
      </w:r>
      <w:r>
        <w:rPr>
          <w:spacing w:val="-3"/>
        </w:rPr>
        <w:t>s</w:t>
      </w:r>
      <w:r>
        <w:t xml:space="preserve">. </w:t>
      </w:r>
      <w:r>
        <w:rPr>
          <w:spacing w:val="-1"/>
        </w:rPr>
        <w:t>A</w:t>
      </w:r>
      <w:r>
        <w:t>ll i</w:t>
      </w:r>
      <w:r>
        <w:rPr>
          <w:spacing w:val="-1"/>
        </w:rPr>
        <w:t>n</w:t>
      </w:r>
      <w:r>
        <w:t>tan</w:t>
      </w:r>
      <w:r>
        <w:rPr>
          <w:spacing w:val="-2"/>
        </w:rPr>
        <w:t>g</w:t>
      </w:r>
      <w:r>
        <w:t xml:space="preserve">ible assets </w:t>
      </w:r>
      <w:r>
        <w:rPr>
          <w:spacing w:val="-2"/>
        </w:rPr>
        <w:t>c</w:t>
      </w:r>
      <w:r>
        <w:t>o</w:t>
      </w:r>
      <w:r>
        <w:rPr>
          <w:spacing w:val="-1"/>
        </w:rPr>
        <w:t>n</w:t>
      </w:r>
      <w:r>
        <w:t>t</w:t>
      </w:r>
      <w:r>
        <w:rPr>
          <w:spacing w:val="-3"/>
        </w:rPr>
        <w:t>r</w:t>
      </w:r>
      <w:r>
        <w:t xml:space="preserve">olled </w:t>
      </w:r>
      <w:r>
        <w:rPr>
          <w:spacing w:val="-2"/>
        </w:rPr>
        <w:t>b</w:t>
      </w:r>
      <w:r>
        <w:t xml:space="preserve">y the </w:t>
      </w:r>
      <w:r>
        <w:rPr>
          <w:spacing w:val="-3"/>
        </w:rPr>
        <w:t>A</w:t>
      </w:r>
      <w:r>
        <w:t>uthori</w:t>
      </w:r>
      <w:r>
        <w:rPr>
          <w:spacing w:val="1"/>
        </w:rPr>
        <w:t>t</w:t>
      </w:r>
      <w:r>
        <w:t>y h</w:t>
      </w:r>
      <w:r>
        <w:rPr>
          <w:spacing w:val="-2"/>
        </w:rPr>
        <w:t>a</w:t>
      </w:r>
      <w:r>
        <w:rPr>
          <w:spacing w:val="-3"/>
        </w:rPr>
        <w:t>v</w:t>
      </w:r>
      <w:r>
        <w:t>e a fini</w:t>
      </w:r>
      <w:r>
        <w:rPr>
          <w:spacing w:val="-2"/>
        </w:rPr>
        <w:t>t</w:t>
      </w:r>
      <w:r>
        <w:t>e</w:t>
      </w:r>
      <w:r>
        <w:rPr>
          <w:spacing w:val="-1"/>
        </w:rPr>
        <w:t xml:space="preserve"> </w:t>
      </w:r>
      <w:r>
        <w:t>useful</w:t>
      </w:r>
      <w:r>
        <w:rPr>
          <w:spacing w:val="-1"/>
        </w:rPr>
        <w:t xml:space="preserve"> </w:t>
      </w:r>
      <w:r>
        <w:t>li</w:t>
      </w:r>
      <w:r>
        <w:rPr>
          <w:spacing w:val="-3"/>
        </w:rPr>
        <w:t>f</w:t>
      </w:r>
      <w:r>
        <w:t>e and</w:t>
      </w:r>
      <w:r>
        <w:rPr>
          <w:spacing w:val="-1"/>
        </w:rPr>
        <w:t xml:space="preserve"> </w:t>
      </w:r>
      <w:r>
        <w:rPr>
          <w:spacing w:val="-2"/>
        </w:rPr>
        <w:t>z</w:t>
      </w:r>
      <w:r>
        <w:t>e</w:t>
      </w:r>
      <w:r>
        <w:rPr>
          <w:spacing w:val="-3"/>
        </w:rPr>
        <w:t>r</w:t>
      </w:r>
      <w:r>
        <w:t xml:space="preserve">o </w:t>
      </w:r>
      <w:r>
        <w:rPr>
          <w:spacing w:val="-3"/>
        </w:rPr>
        <w:t>r</w:t>
      </w:r>
      <w:r>
        <w:t>esidual</w:t>
      </w:r>
      <w:r>
        <w:rPr>
          <w:spacing w:val="-1"/>
        </w:rPr>
        <w:t xml:space="preserve"> v</w:t>
      </w:r>
      <w:r>
        <w:t>alu</w:t>
      </w:r>
      <w:r>
        <w:rPr>
          <w:spacing w:val="-3"/>
        </w:rPr>
        <w:t>e</w:t>
      </w:r>
      <w:r>
        <w:t>.</w:t>
      </w:r>
    </w:p>
    <w:p w14:paraId="52A91EA9" w14:textId="74D3A320" w:rsidR="00272B6E" w:rsidRPr="00272B6E" w:rsidRDefault="00272B6E" w:rsidP="00272B6E">
      <w:pPr>
        <w:rPr>
          <w:color w:val="000000"/>
        </w:rPr>
      </w:pPr>
      <w:r>
        <w:rPr>
          <w:spacing w:val="-2"/>
        </w:rPr>
        <w:t>T</w:t>
      </w:r>
      <w:r>
        <w:t xml:space="preserve">he </w:t>
      </w:r>
      <w:r>
        <w:rPr>
          <w:spacing w:val="-1"/>
        </w:rPr>
        <w:t>e</w:t>
      </w:r>
      <w:r>
        <w:t>xpe</w:t>
      </w:r>
      <w:r>
        <w:rPr>
          <w:spacing w:val="2"/>
        </w:rPr>
        <w:t>c</w:t>
      </w:r>
      <w:r>
        <w:rPr>
          <w:spacing w:val="-2"/>
        </w:rPr>
        <w:t>t</w:t>
      </w:r>
      <w:r>
        <w:t>ed useful li</w:t>
      </w:r>
      <w:r>
        <w:rPr>
          <w:spacing w:val="-3"/>
        </w:rPr>
        <w:t>v</w:t>
      </w:r>
      <w:r>
        <w:t xml:space="preserve">es </w:t>
      </w:r>
      <w:r>
        <w:rPr>
          <w:spacing w:val="-3"/>
        </w:rPr>
        <w:t>f</w:t>
      </w:r>
      <w:r>
        <w:t>or each class of i</w:t>
      </w:r>
      <w:r>
        <w:rPr>
          <w:spacing w:val="-1"/>
        </w:rPr>
        <w:t>n</w:t>
      </w:r>
      <w:r>
        <w:t>tan</w:t>
      </w:r>
      <w:r>
        <w:rPr>
          <w:spacing w:val="-2"/>
        </w:rPr>
        <w:t>g</w:t>
      </w:r>
      <w:r>
        <w:t>ible asset a</w:t>
      </w:r>
      <w:r>
        <w:rPr>
          <w:spacing w:val="-3"/>
        </w:rPr>
        <w:t>r</w:t>
      </w:r>
      <w:r>
        <w:t>e:</w:t>
      </w:r>
    </w:p>
    <w:tbl>
      <w:tblPr>
        <w:tblW w:w="0" w:type="auto"/>
        <w:tblInd w:w="105" w:type="dxa"/>
        <w:tblLayout w:type="fixed"/>
        <w:tblCellMar>
          <w:left w:w="0" w:type="dxa"/>
          <w:right w:w="0" w:type="dxa"/>
        </w:tblCellMar>
        <w:tblLook w:val="0000" w:firstRow="0" w:lastRow="0" w:firstColumn="0" w:lastColumn="0" w:noHBand="0" w:noVBand="0"/>
      </w:tblPr>
      <w:tblGrid>
        <w:gridCol w:w="5814"/>
        <w:gridCol w:w="1717"/>
      </w:tblGrid>
      <w:tr w:rsidR="00272B6E" w14:paraId="5B8C8DAB" w14:textId="77777777" w:rsidTr="0021382E">
        <w:trPr>
          <w:trHeight w:hRule="exact" w:val="325"/>
        </w:trPr>
        <w:tc>
          <w:tcPr>
            <w:tcW w:w="5814" w:type="dxa"/>
            <w:tcBorders>
              <w:top w:val="single" w:sz="4" w:space="0" w:color="99B0AB"/>
              <w:left w:val="single" w:sz="4" w:space="0" w:color="99B0AB"/>
              <w:bottom w:val="single" w:sz="4" w:space="0" w:color="99B0AB"/>
              <w:right w:val="single" w:sz="4" w:space="0" w:color="99B0AB"/>
            </w:tcBorders>
            <w:shd w:val="clear" w:color="auto" w:fill="B6C6C2"/>
          </w:tcPr>
          <w:p w14:paraId="3D0A2B70" w14:textId="77777777" w:rsidR="00272B6E" w:rsidRDefault="00272B6E" w:rsidP="00272B6E">
            <w:r>
              <w:t>Li</w:t>
            </w:r>
            <w:r>
              <w:rPr>
                <w:spacing w:val="-2"/>
              </w:rPr>
              <w:t>c</w:t>
            </w:r>
            <w:r>
              <w:t>en</w:t>
            </w:r>
            <w:r>
              <w:rPr>
                <w:spacing w:val="-2"/>
              </w:rPr>
              <w:t>c</w:t>
            </w:r>
            <w:r>
              <w:t>es</w:t>
            </w:r>
          </w:p>
        </w:tc>
        <w:tc>
          <w:tcPr>
            <w:tcW w:w="1717" w:type="dxa"/>
            <w:tcBorders>
              <w:top w:val="single" w:sz="4" w:space="0" w:color="99B0AB"/>
              <w:left w:val="single" w:sz="4" w:space="0" w:color="99B0AB"/>
              <w:bottom w:val="single" w:sz="4" w:space="0" w:color="99B0AB"/>
              <w:right w:val="single" w:sz="4" w:space="0" w:color="99B0AB"/>
            </w:tcBorders>
          </w:tcPr>
          <w:p w14:paraId="4A312CB2" w14:textId="77777777" w:rsidR="00272B6E" w:rsidRDefault="00272B6E" w:rsidP="00272B6E">
            <w:r>
              <w:t xml:space="preserve">up </w:t>
            </w:r>
            <w:r>
              <w:rPr>
                <w:spacing w:val="-2"/>
              </w:rPr>
              <w:t>t</w:t>
            </w:r>
            <w:r>
              <w:t xml:space="preserve">o 10 </w:t>
            </w:r>
            <w:r>
              <w:rPr>
                <w:spacing w:val="-3"/>
              </w:rPr>
              <w:t>y</w:t>
            </w:r>
            <w:r>
              <w:t>ears</w:t>
            </w:r>
          </w:p>
        </w:tc>
      </w:tr>
      <w:tr w:rsidR="00272B6E" w14:paraId="6D9E3E54" w14:textId="77777777" w:rsidTr="0021382E">
        <w:trPr>
          <w:trHeight w:hRule="exact" w:val="325"/>
        </w:trPr>
        <w:tc>
          <w:tcPr>
            <w:tcW w:w="5814" w:type="dxa"/>
            <w:tcBorders>
              <w:top w:val="single" w:sz="4" w:space="0" w:color="99B0AB"/>
              <w:left w:val="single" w:sz="4" w:space="0" w:color="99B0AB"/>
              <w:bottom w:val="single" w:sz="4" w:space="0" w:color="99B0AB"/>
              <w:right w:val="single" w:sz="4" w:space="0" w:color="99B0AB"/>
            </w:tcBorders>
            <w:shd w:val="clear" w:color="auto" w:fill="B6C6C2"/>
          </w:tcPr>
          <w:p w14:paraId="3A23AD44" w14:textId="77777777" w:rsidR="00272B6E" w:rsidRDefault="00272B6E" w:rsidP="00272B6E">
            <w:r>
              <w:rPr>
                <w:spacing w:val="1"/>
              </w:rPr>
              <w:t>S</w:t>
            </w:r>
            <w:r>
              <w:t>o</w:t>
            </w:r>
            <w:r>
              <w:rPr>
                <w:spacing w:val="2"/>
              </w:rPr>
              <w:t>f</w:t>
            </w:r>
            <w:r>
              <w:rPr>
                <w:spacing w:val="1"/>
              </w:rPr>
              <w:t>t</w:t>
            </w:r>
            <w:r>
              <w:rPr>
                <w:spacing w:val="-1"/>
              </w:rPr>
              <w:t>w</w:t>
            </w:r>
            <w:r>
              <w:t>a</w:t>
            </w:r>
            <w:r>
              <w:rPr>
                <w:spacing w:val="-3"/>
              </w:rPr>
              <w:t>r</w:t>
            </w:r>
            <w:r>
              <w:t>e</w:t>
            </w:r>
            <w:r>
              <w:rPr>
                <w:spacing w:val="-23"/>
              </w:rPr>
              <w:t xml:space="preserve"> </w:t>
            </w:r>
            <w:r>
              <w:rPr>
                <w:position w:val="7"/>
                <w:sz w:val="13"/>
                <w:szCs w:val="13"/>
              </w:rPr>
              <w:t>(a)</w:t>
            </w:r>
          </w:p>
        </w:tc>
        <w:tc>
          <w:tcPr>
            <w:tcW w:w="1717" w:type="dxa"/>
            <w:tcBorders>
              <w:top w:val="single" w:sz="4" w:space="0" w:color="99B0AB"/>
              <w:left w:val="single" w:sz="4" w:space="0" w:color="99B0AB"/>
              <w:bottom w:val="single" w:sz="4" w:space="0" w:color="99B0AB"/>
              <w:right w:val="single" w:sz="4" w:space="0" w:color="99B0AB"/>
            </w:tcBorders>
          </w:tcPr>
          <w:p w14:paraId="05BAE2DF" w14:textId="77777777" w:rsidR="00272B6E" w:rsidRDefault="00272B6E" w:rsidP="00272B6E">
            <w:r>
              <w:t xml:space="preserve">3 </w:t>
            </w:r>
            <w:r>
              <w:rPr>
                <w:spacing w:val="-2"/>
              </w:rPr>
              <w:t>t</w:t>
            </w:r>
            <w:r>
              <w:t xml:space="preserve">o 10 </w:t>
            </w:r>
            <w:r>
              <w:rPr>
                <w:spacing w:val="-3"/>
              </w:rPr>
              <w:t>y</w:t>
            </w:r>
            <w:r>
              <w:t>ears</w:t>
            </w:r>
          </w:p>
        </w:tc>
      </w:tr>
    </w:tbl>
    <w:p w14:paraId="6ACA1AFE" w14:textId="77777777" w:rsidR="00272B6E" w:rsidRDefault="00272B6E" w:rsidP="00272B6E">
      <w:pPr>
        <w:kinsoku w:val="0"/>
        <w:overflowPunct w:val="0"/>
        <w:spacing w:before="2" w:line="150" w:lineRule="exact"/>
        <w:rPr>
          <w:sz w:val="15"/>
          <w:szCs w:val="15"/>
        </w:rPr>
      </w:pPr>
    </w:p>
    <w:p w14:paraId="667A737D" w14:textId="77777777" w:rsidR="00272B6E" w:rsidRDefault="00272B6E" w:rsidP="00272B6E">
      <w:pPr>
        <w:rPr>
          <w:color w:val="000000"/>
        </w:rPr>
      </w:pPr>
      <w:r>
        <w:rPr>
          <w:spacing w:val="-4"/>
          <w:w w:val="95"/>
        </w:rPr>
        <w:t>(</w:t>
      </w:r>
      <w:r>
        <w:rPr>
          <w:spacing w:val="-3"/>
          <w:w w:val="95"/>
        </w:rPr>
        <w:t>a</w:t>
      </w:r>
      <w:r>
        <w:rPr>
          <w:w w:val="95"/>
        </w:rPr>
        <w:t>)</w:t>
      </w:r>
      <w:r>
        <w:rPr>
          <w:spacing w:val="3"/>
          <w:w w:val="95"/>
        </w:rPr>
        <w:t xml:space="preserve"> </w:t>
      </w:r>
      <w:r>
        <w:rPr>
          <w:spacing w:val="1"/>
          <w:w w:val="95"/>
        </w:rPr>
        <w:t>So</w:t>
      </w:r>
      <w:r>
        <w:rPr>
          <w:spacing w:val="5"/>
          <w:w w:val="95"/>
        </w:rPr>
        <w:t>f</w:t>
      </w:r>
      <w:r>
        <w:rPr>
          <w:spacing w:val="3"/>
          <w:w w:val="95"/>
        </w:rPr>
        <w:t>t</w:t>
      </w:r>
      <w:r>
        <w:rPr>
          <w:spacing w:val="1"/>
          <w:w w:val="95"/>
        </w:rPr>
        <w:t>w</w:t>
      </w:r>
      <w:r>
        <w:rPr>
          <w:w w:val="95"/>
        </w:rPr>
        <w:t>are</w:t>
      </w:r>
      <w:r>
        <w:rPr>
          <w:spacing w:val="4"/>
          <w:w w:val="95"/>
        </w:rPr>
        <w:t xml:space="preserve"> </w:t>
      </w:r>
      <w:r>
        <w:rPr>
          <w:w w:val="95"/>
        </w:rPr>
        <w:t>t</w:t>
      </w:r>
      <w:r>
        <w:rPr>
          <w:spacing w:val="1"/>
          <w:w w:val="95"/>
        </w:rPr>
        <w:t>h</w:t>
      </w:r>
      <w:r>
        <w:rPr>
          <w:w w:val="95"/>
        </w:rPr>
        <w:t>at</w:t>
      </w:r>
      <w:r>
        <w:rPr>
          <w:spacing w:val="4"/>
          <w:w w:val="95"/>
        </w:rPr>
        <w:t xml:space="preserve"> </w:t>
      </w:r>
      <w:r>
        <w:rPr>
          <w:w w:val="95"/>
        </w:rPr>
        <w:t>is</w:t>
      </w:r>
      <w:r>
        <w:rPr>
          <w:spacing w:val="4"/>
          <w:w w:val="95"/>
        </w:rPr>
        <w:t xml:space="preserve"> </w:t>
      </w:r>
      <w:r>
        <w:rPr>
          <w:spacing w:val="1"/>
          <w:w w:val="95"/>
        </w:rPr>
        <w:t>n</w:t>
      </w:r>
      <w:r>
        <w:rPr>
          <w:w w:val="95"/>
        </w:rPr>
        <w:t>ot</w:t>
      </w:r>
      <w:r>
        <w:rPr>
          <w:spacing w:val="3"/>
          <w:w w:val="95"/>
        </w:rPr>
        <w:t xml:space="preserve"> </w:t>
      </w:r>
      <w:r>
        <w:rPr>
          <w:w w:val="95"/>
        </w:rPr>
        <w:t>int</w:t>
      </w:r>
      <w:r>
        <w:rPr>
          <w:spacing w:val="1"/>
          <w:w w:val="95"/>
        </w:rPr>
        <w:t>egra</w:t>
      </w:r>
      <w:r>
        <w:rPr>
          <w:w w:val="95"/>
        </w:rPr>
        <w:t>l</w:t>
      </w:r>
      <w:r>
        <w:rPr>
          <w:spacing w:val="4"/>
          <w:w w:val="95"/>
        </w:rPr>
        <w:t xml:space="preserve"> </w:t>
      </w:r>
      <w:r>
        <w:rPr>
          <w:w w:val="95"/>
        </w:rPr>
        <w:t>to</w:t>
      </w:r>
      <w:r>
        <w:rPr>
          <w:spacing w:val="4"/>
          <w:w w:val="95"/>
        </w:rPr>
        <w:t xml:space="preserve"> </w:t>
      </w:r>
      <w:r>
        <w:rPr>
          <w:w w:val="95"/>
        </w:rPr>
        <w:t>t</w:t>
      </w:r>
      <w:r>
        <w:rPr>
          <w:spacing w:val="1"/>
          <w:w w:val="95"/>
        </w:rPr>
        <w:t>h</w:t>
      </w:r>
      <w:r>
        <w:rPr>
          <w:w w:val="95"/>
        </w:rPr>
        <w:t>e</w:t>
      </w:r>
      <w:r>
        <w:rPr>
          <w:spacing w:val="4"/>
          <w:w w:val="95"/>
        </w:rPr>
        <w:t xml:space="preserve"> </w:t>
      </w:r>
      <w:r>
        <w:rPr>
          <w:spacing w:val="1"/>
          <w:w w:val="95"/>
        </w:rPr>
        <w:t>oper</w:t>
      </w:r>
      <w:r>
        <w:rPr>
          <w:w w:val="95"/>
        </w:rPr>
        <w:t>at</w:t>
      </w:r>
      <w:r>
        <w:rPr>
          <w:spacing w:val="1"/>
          <w:w w:val="95"/>
        </w:rPr>
        <w:t>io</w:t>
      </w:r>
      <w:r>
        <w:rPr>
          <w:w w:val="95"/>
        </w:rPr>
        <w:t>n</w:t>
      </w:r>
      <w:r>
        <w:rPr>
          <w:spacing w:val="3"/>
          <w:w w:val="95"/>
        </w:rPr>
        <w:t xml:space="preserve"> </w:t>
      </w:r>
      <w:r>
        <w:rPr>
          <w:spacing w:val="1"/>
          <w:w w:val="95"/>
        </w:rPr>
        <w:t>o</w:t>
      </w:r>
      <w:r>
        <w:rPr>
          <w:w w:val="95"/>
        </w:rPr>
        <w:t>f</w:t>
      </w:r>
      <w:r>
        <w:rPr>
          <w:spacing w:val="4"/>
          <w:w w:val="95"/>
        </w:rPr>
        <w:t xml:space="preserve"> </w:t>
      </w:r>
      <w:r>
        <w:rPr>
          <w:w w:val="95"/>
        </w:rPr>
        <w:t>a</w:t>
      </w:r>
      <w:r>
        <w:rPr>
          <w:spacing w:val="-2"/>
          <w:w w:val="95"/>
        </w:rPr>
        <w:t>n</w:t>
      </w:r>
      <w:r>
        <w:rPr>
          <w:w w:val="95"/>
        </w:rPr>
        <w:t>y</w:t>
      </w:r>
      <w:r>
        <w:rPr>
          <w:spacing w:val="4"/>
          <w:w w:val="95"/>
        </w:rPr>
        <w:t xml:space="preserve"> </w:t>
      </w:r>
      <w:r>
        <w:rPr>
          <w:w w:val="95"/>
        </w:rPr>
        <w:t>r</w:t>
      </w:r>
      <w:r>
        <w:rPr>
          <w:spacing w:val="1"/>
          <w:w w:val="95"/>
        </w:rPr>
        <w:t>e</w:t>
      </w:r>
      <w:r>
        <w:rPr>
          <w:w w:val="95"/>
        </w:rPr>
        <w:t>lat</w:t>
      </w:r>
      <w:r>
        <w:rPr>
          <w:spacing w:val="1"/>
          <w:w w:val="95"/>
        </w:rPr>
        <w:t>e</w:t>
      </w:r>
      <w:r>
        <w:rPr>
          <w:w w:val="95"/>
        </w:rPr>
        <w:t>d</w:t>
      </w:r>
      <w:r>
        <w:rPr>
          <w:spacing w:val="4"/>
          <w:w w:val="95"/>
        </w:rPr>
        <w:t xml:space="preserve"> </w:t>
      </w:r>
      <w:r>
        <w:rPr>
          <w:spacing w:val="1"/>
          <w:w w:val="95"/>
        </w:rPr>
        <w:t>h</w:t>
      </w:r>
      <w:r>
        <w:rPr>
          <w:w w:val="95"/>
        </w:rPr>
        <w:t>ar</w:t>
      </w:r>
      <w:r>
        <w:rPr>
          <w:spacing w:val="1"/>
          <w:w w:val="95"/>
        </w:rPr>
        <w:t>dw</w:t>
      </w:r>
      <w:r>
        <w:rPr>
          <w:w w:val="95"/>
        </w:rPr>
        <w:t>are</w:t>
      </w:r>
    </w:p>
    <w:p w14:paraId="525F3666" w14:textId="77777777" w:rsidR="00272B6E" w:rsidRPr="00DA1E18" w:rsidRDefault="00272B6E" w:rsidP="00272B6E">
      <w:pPr>
        <w:rPr>
          <w:rStyle w:val="Strong"/>
        </w:rPr>
      </w:pPr>
      <w:r w:rsidRPr="00DA1E18">
        <w:rPr>
          <w:rStyle w:val="Strong"/>
        </w:rPr>
        <w:t>Licences</w:t>
      </w:r>
    </w:p>
    <w:p w14:paraId="66BC0FB4" w14:textId="77777777" w:rsidR="00272B6E" w:rsidRDefault="00272B6E" w:rsidP="00272B6E">
      <w:pPr>
        <w:rPr>
          <w:color w:val="000000"/>
        </w:rPr>
      </w:pPr>
      <w:r>
        <w:t>Li</w:t>
      </w:r>
      <w:r>
        <w:rPr>
          <w:spacing w:val="-2"/>
        </w:rPr>
        <w:t>c</w:t>
      </w:r>
      <w:r>
        <w:t>en</w:t>
      </w:r>
      <w:r>
        <w:rPr>
          <w:spacing w:val="-2"/>
        </w:rPr>
        <w:t>c</w:t>
      </w:r>
      <w:r>
        <w:t>es</w:t>
      </w:r>
      <w:r>
        <w:rPr>
          <w:spacing w:val="-1"/>
        </w:rPr>
        <w:t xml:space="preserve"> </w:t>
      </w:r>
      <w:r>
        <w:t>h</w:t>
      </w:r>
      <w:r>
        <w:rPr>
          <w:spacing w:val="-2"/>
        </w:rPr>
        <w:t>a</w:t>
      </w:r>
      <w:r>
        <w:rPr>
          <w:spacing w:val="-3"/>
        </w:rPr>
        <w:t>v</w:t>
      </w:r>
      <w:r>
        <w:t>e a fini</w:t>
      </w:r>
      <w:r>
        <w:rPr>
          <w:spacing w:val="-2"/>
        </w:rPr>
        <w:t>t</w:t>
      </w:r>
      <w:r>
        <w:t>e</w:t>
      </w:r>
      <w:r>
        <w:rPr>
          <w:spacing w:val="-1"/>
        </w:rPr>
        <w:t xml:space="preserve"> </w:t>
      </w:r>
      <w:r>
        <w:t>useful li</w:t>
      </w:r>
      <w:r>
        <w:rPr>
          <w:spacing w:val="-3"/>
        </w:rPr>
        <w:t>f</w:t>
      </w:r>
      <w:r>
        <w:t>e and</w:t>
      </w:r>
      <w:r>
        <w:rPr>
          <w:spacing w:val="-1"/>
        </w:rPr>
        <w:t xml:space="preserve"> </w:t>
      </w:r>
      <w:r>
        <w:t>a</w:t>
      </w:r>
      <w:r>
        <w:rPr>
          <w:spacing w:val="-3"/>
        </w:rPr>
        <w:t>r</w:t>
      </w:r>
      <w:r>
        <w:t xml:space="preserve">e carried </w:t>
      </w:r>
      <w:r>
        <w:rPr>
          <w:spacing w:val="-1"/>
        </w:rPr>
        <w:t>a</w:t>
      </w:r>
      <w:r>
        <w:t xml:space="preserve">t </w:t>
      </w:r>
      <w:r>
        <w:rPr>
          <w:spacing w:val="-2"/>
        </w:rPr>
        <w:t>c</w:t>
      </w:r>
      <w:r>
        <w:t>ost</w:t>
      </w:r>
      <w:r>
        <w:rPr>
          <w:spacing w:val="-1"/>
        </w:rPr>
        <w:t xml:space="preserve"> </w:t>
      </w:r>
      <w:r>
        <w:t>less a</w:t>
      </w:r>
      <w:r>
        <w:rPr>
          <w:spacing w:val="-2"/>
        </w:rPr>
        <w:t>c</w:t>
      </w:r>
      <w:r>
        <w:t>cumul</w:t>
      </w:r>
      <w:r>
        <w:rPr>
          <w:spacing w:val="-1"/>
        </w:rPr>
        <w:t>a</w:t>
      </w:r>
      <w:r>
        <w:rPr>
          <w:spacing w:val="-2"/>
        </w:rPr>
        <w:t>t</w:t>
      </w:r>
      <w:r>
        <w:t>ed amo</w:t>
      </w:r>
      <w:r>
        <w:rPr>
          <w:spacing w:val="5"/>
        </w:rPr>
        <w:t>r</w:t>
      </w:r>
      <w:r>
        <w:t>tis</w:t>
      </w:r>
      <w:r>
        <w:rPr>
          <w:spacing w:val="-1"/>
        </w:rPr>
        <w:t>a</w:t>
      </w:r>
      <w:r>
        <w:t>tion and a</w:t>
      </w:r>
      <w:r>
        <w:rPr>
          <w:spacing w:val="-2"/>
        </w:rPr>
        <w:t>c</w:t>
      </w:r>
      <w:r>
        <w:t>cumul</w:t>
      </w:r>
      <w:r>
        <w:rPr>
          <w:spacing w:val="-1"/>
        </w:rPr>
        <w:t>a</w:t>
      </w:r>
      <w:r>
        <w:rPr>
          <w:spacing w:val="-2"/>
        </w:rPr>
        <w:t>t</w:t>
      </w:r>
      <w:r>
        <w:t>ed impairme</w:t>
      </w:r>
      <w:r>
        <w:rPr>
          <w:spacing w:val="-1"/>
        </w:rPr>
        <w:t>n</w:t>
      </w:r>
      <w:r>
        <w:t>t losse</w:t>
      </w:r>
      <w:r>
        <w:rPr>
          <w:spacing w:val="-3"/>
        </w:rPr>
        <w:t>s</w:t>
      </w:r>
      <w:r>
        <w:t>.</w:t>
      </w:r>
    </w:p>
    <w:p w14:paraId="02EADA0D" w14:textId="77777777" w:rsidR="00272B6E" w:rsidRPr="00DA1E18" w:rsidRDefault="00272B6E" w:rsidP="00272B6E">
      <w:pPr>
        <w:rPr>
          <w:rStyle w:val="Strong"/>
        </w:rPr>
      </w:pPr>
      <w:r w:rsidRPr="00DA1E18">
        <w:rPr>
          <w:rStyle w:val="Strong"/>
        </w:rPr>
        <w:t>Computer software</w:t>
      </w:r>
    </w:p>
    <w:p w14:paraId="4E9F407F" w14:textId="688DE5AC" w:rsidR="00272B6E" w:rsidRPr="00272B6E" w:rsidRDefault="00272B6E" w:rsidP="00272B6E">
      <w:pPr>
        <w:rPr>
          <w:color w:val="000000"/>
        </w:rPr>
      </w:pPr>
      <w:r>
        <w:rPr>
          <w:spacing w:val="1"/>
        </w:rPr>
        <w:t>S</w:t>
      </w:r>
      <w:r>
        <w:t>o</w:t>
      </w:r>
      <w:r>
        <w:rPr>
          <w:spacing w:val="2"/>
        </w:rPr>
        <w:t>f</w:t>
      </w:r>
      <w:r>
        <w:rPr>
          <w:spacing w:val="1"/>
        </w:rPr>
        <w:t>t</w:t>
      </w:r>
      <w:r>
        <w:rPr>
          <w:spacing w:val="-1"/>
        </w:rPr>
        <w:t>w</w:t>
      </w:r>
      <w:r>
        <w:t>a</w:t>
      </w:r>
      <w:r>
        <w:rPr>
          <w:spacing w:val="-3"/>
        </w:rPr>
        <w:t>r</w:t>
      </w:r>
      <w:r>
        <w:t>e th</w:t>
      </w:r>
      <w:r>
        <w:rPr>
          <w:spacing w:val="-1"/>
        </w:rPr>
        <w:t>a</w:t>
      </w:r>
      <w:r>
        <w:t>t is an i</w:t>
      </w:r>
      <w:r>
        <w:rPr>
          <w:spacing w:val="-1"/>
        </w:rPr>
        <w:t>n</w:t>
      </w:r>
      <w:r>
        <w:rPr>
          <w:spacing w:val="-2"/>
        </w:rPr>
        <w:t>t</w:t>
      </w:r>
      <w:r>
        <w:t>e</w:t>
      </w:r>
      <w:r>
        <w:rPr>
          <w:spacing w:val="-2"/>
        </w:rPr>
        <w:t>gr</w:t>
      </w:r>
      <w:r>
        <w:t>al pa</w:t>
      </w:r>
      <w:r>
        <w:rPr>
          <w:spacing w:val="5"/>
        </w:rPr>
        <w:t>r</w:t>
      </w:r>
      <w:r>
        <w:t xml:space="preserve">t of the </w:t>
      </w:r>
      <w:r>
        <w:rPr>
          <w:spacing w:val="-3"/>
        </w:rPr>
        <w:t>r</w:t>
      </w:r>
      <w:r>
        <w:t>el</w:t>
      </w:r>
      <w:r>
        <w:rPr>
          <w:spacing w:val="-1"/>
        </w:rPr>
        <w:t>a</w:t>
      </w:r>
      <w:r>
        <w:rPr>
          <w:spacing w:val="-2"/>
        </w:rPr>
        <w:t>t</w:t>
      </w:r>
      <w:r>
        <w:t>ed ha</w:t>
      </w:r>
      <w:r>
        <w:rPr>
          <w:spacing w:val="-3"/>
        </w:rPr>
        <w:t>r</w:t>
      </w:r>
      <w:r>
        <w:t>d</w:t>
      </w:r>
      <w:r>
        <w:rPr>
          <w:spacing w:val="-1"/>
        </w:rPr>
        <w:t>w</w:t>
      </w:r>
      <w:r>
        <w:t>a</w:t>
      </w:r>
      <w:r>
        <w:rPr>
          <w:spacing w:val="-3"/>
        </w:rPr>
        <w:t>r</w:t>
      </w:r>
      <w:r>
        <w:t xml:space="preserve">e is </w:t>
      </w:r>
      <w:r>
        <w:rPr>
          <w:spacing w:val="-3"/>
        </w:rPr>
        <w:t>r</w:t>
      </w:r>
      <w:r>
        <w:t>e</w:t>
      </w:r>
      <w:r>
        <w:rPr>
          <w:spacing w:val="-2"/>
        </w:rPr>
        <w:t>c</w:t>
      </w:r>
      <w:r>
        <w:t>o</w:t>
      </w:r>
      <w:r>
        <w:rPr>
          <w:spacing w:val="-2"/>
        </w:rPr>
        <w:t>g</w:t>
      </w:r>
      <w:r>
        <w:t>nised as p</w:t>
      </w:r>
      <w:r>
        <w:rPr>
          <w:spacing w:val="-3"/>
        </w:rPr>
        <w:t>r</w:t>
      </w:r>
      <w:r>
        <w:t>ope</w:t>
      </w:r>
      <w:r>
        <w:rPr>
          <w:spacing w:val="5"/>
        </w:rPr>
        <w:t>r</w:t>
      </w:r>
      <w:r>
        <w:rPr>
          <w:spacing w:val="2"/>
        </w:rPr>
        <w:t>t</w:t>
      </w:r>
      <w:r>
        <w:rPr>
          <w:spacing w:val="-9"/>
        </w:rPr>
        <w:t>y</w:t>
      </w:r>
      <w:r>
        <w:t>, pla</w:t>
      </w:r>
      <w:r>
        <w:rPr>
          <w:spacing w:val="-1"/>
        </w:rPr>
        <w:t>n</w:t>
      </w:r>
      <w:r>
        <w:t>t and equipme</w:t>
      </w:r>
      <w:r>
        <w:rPr>
          <w:spacing w:val="-1"/>
        </w:rPr>
        <w:t>nt</w:t>
      </w:r>
      <w:r>
        <w:t xml:space="preserve">. </w:t>
      </w:r>
      <w:r>
        <w:rPr>
          <w:spacing w:val="1"/>
        </w:rPr>
        <w:t>S</w:t>
      </w:r>
      <w:r>
        <w:t>o</w:t>
      </w:r>
      <w:r>
        <w:rPr>
          <w:spacing w:val="2"/>
        </w:rPr>
        <w:t>ft</w:t>
      </w:r>
      <w:r>
        <w:rPr>
          <w:spacing w:val="-1"/>
        </w:rPr>
        <w:t>w</w:t>
      </w:r>
      <w:r>
        <w:t>a</w:t>
      </w:r>
      <w:r>
        <w:rPr>
          <w:spacing w:val="-3"/>
        </w:rPr>
        <w:t>r</w:t>
      </w:r>
      <w:r>
        <w:t>e th</w:t>
      </w:r>
      <w:r>
        <w:rPr>
          <w:spacing w:val="-1"/>
        </w:rPr>
        <w:t>a</w:t>
      </w:r>
      <w:r>
        <w:t>t is not an i</w:t>
      </w:r>
      <w:r>
        <w:rPr>
          <w:spacing w:val="-1"/>
        </w:rPr>
        <w:t>n</w:t>
      </w:r>
      <w:r>
        <w:rPr>
          <w:spacing w:val="-2"/>
        </w:rPr>
        <w:t>t</w:t>
      </w:r>
      <w:r>
        <w:t>e</w:t>
      </w:r>
      <w:r>
        <w:rPr>
          <w:spacing w:val="-2"/>
        </w:rPr>
        <w:t>gr</w:t>
      </w:r>
      <w:r>
        <w:t>al pa</w:t>
      </w:r>
      <w:r>
        <w:rPr>
          <w:spacing w:val="5"/>
        </w:rPr>
        <w:t>r</w:t>
      </w:r>
      <w:r>
        <w:t xml:space="preserve">t of the </w:t>
      </w:r>
      <w:r>
        <w:rPr>
          <w:spacing w:val="-3"/>
        </w:rPr>
        <w:t>r</w:t>
      </w:r>
      <w:r>
        <w:t>el</w:t>
      </w:r>
      <w:r>
        <w:rPr>
          <w:spacing w:val="-1"/>
        </w:rPr>
        <w:t>a</w:t>
      </w:r>
      <w:r>
        <w:rPr>
          <w:spacing w:val="-2"/>
        </w:rPr>
        <w:t>t</w:t>
      </w:r>
      <w:r>
        <w:t>ed ha</w:t>
      </w:r>
      <w:r>
        <w:rPr>
          <w:spacing w:val="-3"/>
        </w:rPr>
        <w:t>r</w:t>
      </w:r>
      <w:r>
        <w:t>d</w:t>
      </w:r>
      <w:r>
        <w:rPr>
          <w:spacing w:val="-1"/>
        </w:rPr>
        <w:t>w</w:t>
      </w:r>
      <w:r>
        <w:t>a</w:t>
      </w:r>
      <w:r>
        <w:rPr>
          <w:spacing w:val="-3"/>
        </w:rPr>
        <w:t>r</w:t>
      </w:r>
      <w:r>
        <w:t xml:space="preserve">e is </w:t>
      </w:r>
      <w:r>
        <w:rPr>
          <w:spacing w:val="-3"/>
        </w:rPr>
        <w:t>r</w:t>
      </w:r>
      <w:r>
        <w:t>e</w:t>
      </w:r>
      <w:r>
        <w:rPr>
          <w:spacing w:val="-2"/>
        </w:rPr>
        <w:t>c</w:t>
      </w:r>
      <w:r>
        <w:t>o</w:t>
      </w:r>
      <w:r>
        <w:rPr>
          <w:spacing w:val="-2"/>
        </w:rPr>
        <w:t>g</w:t>
      </w:r>
      <w:r>
        <w:t>nised as an i</w:t>
      </w:r>
      <w:r>
        <w:rPr>
          <w:spacing w:val="-1"/>
        </w:rPr>
        <w:t>n</w:t>
      </w:r>
      <w:r>
        <w:t>tan</w:t>
      </w:r>
      <w:r>
        <w:rPr>
          <w:spacing w:val="-2"/>
        </w:rPr>
        <w:t>g</w:t>
      </w:r>
      <w:r>
        <w:t>ible asse</w:t>
      </w:r>
      <w:r>
        <w:rPr>
          <w:spacing w:val="-1"/>
        </w:rPr>
        <w:t>t</w:t>
      </w:r>
      <w:r>
        <w:t xml:space="preserve">. </w:t>
      </w:r>
      <w:r>
        <w:rPr>
          <w:spacing w:val="1"/>
        </w:rPr>
        <w:t>S</w:t>
      </w:r>
      <w:r>
        <w:t>o</w:t>
      </w:r>
      <w:r>
        <w:rPr>
          <w:spacing w:val="2"/>
        </w:rPr>
        <w:t>ft</w:t>
      </w:r>
      <w:r>
        <w:rPr>
          <w:spacing w:val="-1"/>
        </w:rPr>
        <w:t>w</w:t>
      </w:r>
      <w:r>
        <w:t>a</w:t>
      </w:r>
      <w:r>
        <w:rPr>
          <w:spacing w:val="-3"/>
        </w:rPr>
        <w:t>r</w:t>
      </w:r>
      <w:r>
        <w:t xml:space="preserve">e </w:t>
      </w:r>
      <w:r>
        <w:rPr>
          <w:spacing w:val="-2"/>
        </w:rPr>
        <w:t>c</w:t>
      </w:r>
      <w:r>
        <w:t xml:space="preserve">osting less than $5,000 is </w:t>
      </w:r>
      <w:r>
        <w:rPr>
          <w:spacing w:val="-1"/>
        </w:rPr>
        <w:t>e</w:t>
      </w:r>
      <w:r>
        <w:t xml:space="preserve">xpensed in the </w:t>
      </w:r>
      <w:r>
        <w:rPr>
          <w:spacing w:val="-3"/>
        </w:rPr>
        <w:t>y</w:t>
      </w:r>
      <w:r>
        <w:t>ear of a</w:t>
      </w:r>
      <w:r>
        <w:rPr>
          <w:spacing w:val="-2"/>
        </w:rPr>
        <w:t>c</w:t>
      </w:r>
      <w:r>
        <w:t>quisition.</w:t>
      </w:r>
    </w:p>
    <w:p w14:paraId="4E7A196F" w14:textId="274A4D8D" w:rsidR="00272B6E" w:rsidRPr="00DA1E18" w:rsidRDefault="00272B6E" w:rsidP="00272B6E">
      <w:pPr>
        <w:rPr>
          <w:rStyle w:val="Strong"/>
        </w:rPr>
      </w:pPr>
      <w:r w:rsidRPr="00DA1E18">
        <w:rPr>
          <w:rStyle w:val="Strong"/>
        </w:rPr>
        <w:t>(g) Impairment of assets</w:t>
      </w:r>
    </w:p>
    <w:p w14:paraId="0A2D7E5F" w14:textId="6D99926D" w:rsidR="00272B6E" w:rsidRPr="00272B6E" w:rsidRDefault="00272B6E" w:rsidP="00272B6E">
      <w:pPr>
        <w:rPr>
          <w:color w:val="000000"/>
        </w:rPr>
      </w:pPr>
      <w:r>
        <w:rPr>
          <w:spacing w:val="-4"/>
        </w:rPr>
        <w:t>P</w:t>
      </w:r>
      <w:r>
        <w:rPr>
          <w:spacing w:val="-3"/>
        </w:rPr>
        <w:t>r</w:t>
      </w:r>
      <w:r>
        <w:t>ope</w:t>
      </w:r>
      <w:r>
        <w:rPr>
          <w:spacing w:val="5"/>
        </w:rPr>
        <w:t>r</w:t>
      </w:r>
      <w:r>
        <w:rPr>
          <w:spacing w:val="1"/>
        </w:rPr>
        <w:t>t</w:t>
      </w:r>
      <w:r>
        <w:rPr>
          <w:spacing w:val="-9"/>
        </w:rPr>
        <w:t>y</w:t>
      </w:r>
      <w:r>
        <w:t>, pla</w:t>
      </w:r>
      <w:r>
        <w:rPr>
          <w:spacing w:val="-1"/>
        </w:rPr>
        <w:t>n</w:t>
      </w:r>
      <w:r>
        <w:t>t and equipme</w:t>
      </w:r>
      <w:r>
        <w:rPr>
          <w:spacing w:val="-1"/>
        </w:rPr>
        <w:t>n</w:t>
      </w:r>
      <w:r>
        <w:t>t a</w:t>
      </w:r>
      <w:r>
        <w:rPr>
          <w:spacing w:val="-3"/>
        </w:rPr>
        <w:t>r</w:t>
      </w:r>
      <w:r>
        <w:t xml:space="preserve">e </w:t>
      </w:r>
      <w:r>
        <w:rPr>
          <w:spacing w:val="-2"/>
        </w:rPr>
        <w:t>t</w:t>
      </w:r>
      <w:r>
        <w:t>es</w:t>
      </w:r>
      <w:r>
        <w:rPr>
          <w:spacing w:val="-2"/>
        </w:rPr>
        <w:t>t</w:t>
      </w:r>
      <w:r>
        <w:t xml:space="preserve">ed </w:t>
      </w:r>
      <w:r>
        <w:rPr>
          <w:spacing w:val="-3"/>
        </w:rPr>
        <w:t>f</w:t>
      </w:r>
      <w:r>
        <w:t>or a</w:t>
      </w:r>
      <w:r>
        <w:rPr>
          <w:spacing w:val="-3"/>
        </w:rPr>
        <w:t>n</w:t>
      </w:r>
      <w:r>
        <w:t>y indic</w:t>
      </w:r>
      <w:r>
        <w:rPr>
          <w:spacing w:val="-1"/>
        </w:rPr>
        <w:t>a</w:t>
      </w:r>
      <w:r>
        <w:t>tion of impairme</w:t>
      </w:r>
      <w:r>
        <w:rPr>
          <w:spacing w:val="-1"/>
        </w:rPr>
        <w:t>n</w:t>
      </w:r>
      <w:r>
        <w:t xml:space="preserve">t </w:t>
      </w:r>
      <w:r>
        <w:rPr>
          <w:spacing w:val="-1"/>
        </w:rPr>
        <w:t>a</w:t>
      </w:r>
      <w:r>
        <w:t xml:space="preserve">t the end of each </w:t>
      </w:r>
      <w:r>
        <w:rPr>
          <w:spacing w:val="-3"/>
        </w:rPr>
        <w:t>r</w:t>
      </w:r>
      <w:r>
        <w:t>epo</w:t>
      </w:r>
      <w:r>
        <w:rPr>
          <w:spacing w:val="5"/>
        </w:rPr>
        <w:t>r</w:t>
      </w:r>
      <w:r>
        <w:t>ting perio</w:t>
      </w:r>
      <w:r>
        <w:rPr>
          <w:spacing w:val="-3"/>
        </w:rPr>
        <w:t>d</w:t>
      </w:r>
      <w:r>
        <w:t>.</w:t>
      </w:r>
      <w:r>
        <w:rPr>
          <w:spacing w:val="38"/>
        </w:rPr>
        <w:t xml:space="preserve"> </w:t>
      </w:r>
      <w:r>
        <w:rPr>
          <w:spacing w:val="-2"/>
        </w:rPr>
        <w:t>W</w:t>
      </w:r>
      <w:r>
        <w:t>he</w:t>
      </w:r>
      <w:r>
        <w:rPr>
          <w:spacing w:val="-3"/>
        </w:rPr>
        <w:t>r</w:t>
      </w:r>
      <w:r>
        <w:t>e the</w:t>
      </w:r>
      <w:r>
        <w:rPr>
          <w:spacing w:val="-3"/>
        </w:rPr>
        <w:t>r</w:t>
      </w:r>
      <w:r>
        <w:t>e is an indic</w:t>
      </w:r>
      <w:r>
        <w:rPr>
          <w:spacing w:val="-1"/>
        </w:rPr>
        <w:t>a</w:t>
      </w:r>
      <w:r>
        <w:t>tion of impairme</w:t>
      </w:r>
      <w:r>
        <w:rPr>
          <w:spacing w:val="-1"/>
        </w:rPr>
        <w:t>nt</w:t>
      </w:r>
      <w:r>
        <w:t xml:space="preserve">, the </w:t>
      </w:r>
      <w:r>
        <w:rPr>
          <w:spacing w:val="-3"/>
        </w:rPr>
        <w:t>r</w:t>
      </w:r>
      <w:r>
        <w:t>e</w:t>
      </w:r>
      <w:r>
        <w:rPr>
          <w:spacing w:val="-2"/>
        </w:rPr>
        <w:t>co</w:t>
      </w:r>
      <w:r>
        <w:rPr>
          <w:spacing w:val="-3"/>
        </w:rPr>
        <w:t>v</w:t>
      </w:r>
      <w:r>
        <w:t>e</w:t>
      </w:r>
      <w:r>
        <w:rPr>
          <w:spacing w:val="-2"/>
        </w:rPr>
        <w:t>r</w:t>
      </w:r>
      <w:r>
        <w:t>able amou</w:t>
      </w:r>
      <w:r>
        <w:rPr>
          <w:spacing w:val="-1"/>
        </w:rPr>
        <w:t>n</w:t>
      </w:r>
      <w:r>
        <w:t>t is estim</w:t>
      </w:r>
      <w:r>
        <w:rPr>
          <w:spacing w:val="-1"/>
        </w:rPr>
        <w:t>a</w:t>
      </w:r>
      <w:r>
        <w:rPr>
          <w:spacing w:val="-2"/>
        </w:rPr>
        <w:t>t</w:t>
      </w:r>
      <w:r>
        <w:t>e</w:t>
      </w:r>
      <w:r>
        <w:rPr>
          <w:spacing w:val="-3"/>
        </w:rPr>
        <w:t>d</w:t>
      </w:r>
      <w:r>
        <w:t>.</w:t>
      </w:r>
      <w:r>
        <w:rPr>
          <w:spacing w:val="38"/>
        </w:rPr>
        <w:t xml:space="preserve"> </w:t>
      </w:r>
      <w:r>
        <w:rPr>
          <w:spacing w:val="-2"/>
        </w:rPr>
        <w:t>W</w:t>
      </w:r>
      <w:r>
        <w:t>he</w:t>
      </w:r>
      <w:r>
        <w:rPr>
          <w:spacing w:val="-3"/>
        </w:rPr>
        <w:t>r</w:t>
      </w:r>
      <w:r>
        <w:t xml:space="preserve">e the </w:t>
      </w:r>
      <w:r>
        <w:rPr>
          <w:spacing w:val="-3"/>
        </w:rPr>
        <w:t>r</w:t>
      </w:r>
      <w:r>
        <w:t>e</w:t>
      </w:r>
      <w:r>
        <w:rPr>
          <w:spacing w:val="-2"/>
        </w:rPr>
        <w:t>co</w:t>
      </w:r>
      <w:r>
        <w:rPr>
          <w:spacing w:val="-3"/>
        </w:rPr>
        <w:t>v</w:t>
      </w:r>
      <w:r>
        <w:t>e</w:t>
      </w:r>
      <w:r>
        <w:rPr>
          <w:spacing w:val="-2"/>
        </w:rPr>
        <w:t>r</w:t>
      </w:r>
      <w:r>
        <w:t>able amou</w:t>
      </w:r>
      <w:r>
        <w:rPr>
          <w:spacing w:val="-1"/>
        </w:rPr>
        <w:t>n</w:t>
      </w:r>
      <w:r>
        <w:t>t is less than  the car</w:t>
      </w:r>
      <w:r>
        <w:rPr>
          <w:spacing w:val="5"/>
        </w:rPr>
        <w:t>r</w:t>
      </w:r>
      <w:r>
        <w:t>ying amou</w:t>
      </w:r>
      <w:r>
        <w:rPr>
          <w:spacing w:val="-1"/>
        </w:rPr>
        <w:t>nt</w:t>
      </w:r>
      <w:r>
        <w:t xml:space="preserve">, the asset is </w:t>
      </w:r>
      <w:r>
        <w:rPr>
          <w:spacing w:val="-2"/>
        </w:rPr>
        <w:t>c</w:t>
      </w:r>
      <w:r>
        <w:t>onside</w:t>
      </w:r>
      <w:r>
        <w:rPr>
          <w:spacing w:val="-3"/>
        </w:rPr>
        <w:t>r</w:t>
      </w:r>
      <w:r>
        <w:t>ed impai</w:t>
      </w:r>
      <w:r>
        <w:rPr>
          <w:spacing w:val="-3"/>
        </w:rPr>
        <w:t>r</w:t>
      </w:r>
      <w:r>
        <w:t>ed and is writ</w:t>
      </w:r>
      <w:r>
        <w:rPr>
          <w:spacing w:val="-2"/>
        </w:rPr>
        <w:t>t</w:t>
      </w:r>
      <w:r>
        <w:t>en d</w:t>
      </w:r>
      <w:r>
        <w:rPr>
          <w:spacing w:val="-2"/>
        </w:rPr>
        <w:t>o</w:t>
      </w:r>
      <w:r>
        <w:t xml:space="preserve">wn </w:t>
      </w:r>
      <w:r>
        <w:rPr>
          <w:spacing w:val="-2"/>
        </w:rPr>
        <w:t>t</w:t>
      </w:r>
      <w:r>
        <w:t xml:space="preserve">o the </w:t>
      </w:r>
      <w:r>
        <w:rPr>
          <w:spacing w:val="-3"/>
        </w:rPr>
        <w:t>r</w:t>
      </w:r>
      <w:r>
        <w:t>e</w:t>
      </w:r>
      <w:r>
        <w:rPr>
          <w:spacing w:val="-2"/>
        </w:rPr>
        <w:t>co</w:t>
      </w:r>
      <w:r>
        <w:rPr>
          <w:spacing w:val="-3"/>
        </w:rPr>
        <w:t>v</w:t>
      </w:r>
      <w:r>
        <w:t>e</w:t>
      </w:r>
      <w:r>
        <w:rPr>
          <w:spacing w:val="-2"/>
        </w:rPr>
        <w:t>r</w:t>
      </w:r>
      <w:r>
        <w:t>able amou</w:t>
      </w:r>
      <w:r>
        <w:rPr>
          <w:spacing w:val="-1"/>
        </w:rPr>
        <w:t>n</w:t>
      </w:r>
      <w:r>
        <w:t>t and an impairme</w:t>
      </w:r>
      <w:r>
        <w:rPr>
          <w:spacing w:val="-1"/>
        </w:rPr>
        <w:t>n</w:t>
      </w:r>
      <w:r>
        <w:t xml:space="preserve">t loss is </w:t>
      </w:r>
      <w:r>
        <w:rPr>
          <w:spacing w:val="-3"/>
        </w:rPr>
        <w:t>r</w:t>
      </w:r>
      <w:r>
        <w:t>e</w:t>
      </w:r>
      <w:r>
        <w:rPr>
          <w:spacing w:val="-2"/>
        </w:rPr>
        <w:t>c</w:t>
      </w:r>
      <w:r>
        <w:t>o</w:t>
      </w:r>
      <w:r>
        <w:rPr>
          <w:spacing w:val="-2"/>
        </w:rPr>
        <w:t>g</w:t>
      </w:r>
      <w:r>
        <w:t>nise</w:t>
      </w:r>
      <w:r>
        <w:rPr>
          <w:spacing w:val="-3"/>
        </w:rPr>
        <w:t>d</w:t>
      </w:r>
      <w:r>
        <w:t>.</w:t>
      </w:r>
      <w:r>
        <w:rPr>
          <w:spacing w:val="38"/>
        </w:rPr>
        <w:t xml:space="preserve"> </w:t>
      </w:r>
      <w:r>
        <w:rPr>
          <w:spacing w:val="-2"/>
        </w:rPr>
        <w:t>W</w:t>
      </w:r>
      <w:r>
        <w:t>he</w:t>
      </w:r>
      <w:r>
        <w:rPr>
          <w:spacing w:val="-3"/>
        </w:rPr>
        <w:t>r</w:t>
      </w:r>
      <w:r>
        <w:t>e an asset measu</w:t>
      </w:r>
      <w:r>
        <w:rPr>
          <w:spacing w:val="-3"/>
        </w:rPr>
        <w:t>r</w:t>
      </w:r>
      <w:r>
        <w:t xml:space="preserve">ed </w:t>
      </w:r>
      <w:r>
        <w:rPr>
          <w:spacing w:val="-1"/>
        </w:rPr>
        <w:t>a</w:t>
      </w:r>
      <w:r>
        <w:t xml:space="preserve">t </w:t>
      </w:r>
      <w:r>
        <w:rPr>
          <w:spacing w:val="-2"/>
        </w:rPr>
        <w:t>c</w:t>
      </w:r>
      <w:r>
        <w:t>ost is writ</w:t>
      </w:r>
      <w:r>
        <w:rPr>
          <w:spacing w:val="-2"/>
        </w:rPr>
        <w:t>t</w:t>
      </w:r>
      <w:r>
        <w:t>en d</w:t>
      </w:r>
      <w:r>
        <w:rPr>
          <w:spacing w:val="-2"/>
        </w:rPr>
        <w:t>o</w:t>
      </w:r>
      <w:r>
        <w:t xml:space="preserve">wn </w:t>
      </w:r>
      <w:r>
        <w:rPr>
          <w:spacing w:val="-2"/>
        </w:rPr>
        <w:t>t</w:t>
      </w:r>
      <w:r>
        <w:t xml:space="preserve">o </w:t>
      </w:r>
      <w:r>
        <w:rPr>
          <w:spacing w:val="-3"/>
        </w:rPr>
        <w:t>r</w:t>
      </w:r>
      <w:r>
        <w:t>e</w:t>
      </w:r>
      <w:r>
        <w:rPr>
          <w:spacing w:val="-2"/>
        </w:rPr>
        <w:t>co</w:t>
      </w:r>
      <w:r>
        <w:rPr>
          <w:spacing w:val="-3"/>
        </w:rPr>
        <w:t>v</w:t>
      </w:r>
      <w:r>
        <w:t>e</w:t>
      </w:r>
      <w:r>
        <w:rPr>
          <w:spacing w:val="-2"/>
        </w:rPr>
        <w:t>r</w:t>
      </w:r>
      <w:r>
        <w:t>able amou</w:t>
      </w:r>
      <w:r>
        <w:rPr>
          <w:spacing w:val="-1"/>
        </w:rPr>
        <w:t>nt</w:t>
      </w:r>
      <w:r>
        <w:t>, an impairme</w:t>
      </w:r>
      <w:r>
        <w:rPr>
          <w:spacing w:val="-1"/>
        </w:rPr>
        <w:t>n</w:t>
      </w:r>
      <w:r>
        <w:t xml:space="preserve">t loss is </w:t>
      </w:r>
      <w:r>
        <w:rPr>
          <w:spacing w:val="-3"/>
        </w:rPr>
        <w:t>r</w:t>
      </w:r>
      <w:r>
        <w:t>e</w:t>
      </w:r>
      <w:r>
        <w:rPr>
          <w:spacing w:val="-2"/>
        </w:rPr>
        <w:t>c</w:t>
      </w:r>
      <w:r>
        <w:t>o</w:t>
      </w:r>
      <w:r>
        <w:rPr>
          <w:spacing w:val="-2"/>
        </w:rPr>
        <w:t>g</w:t>
      </w:r>
      <w:r>
        <w:t>nised</w:t>
      </w:r>
      <w:r>
        <w:rPr>
          <w:spacing w:val="-1"/>
        </w:rPr>
        <w:t xml:space="preserve"> </w:t>
      </w:r>
      <w:r>
        <w:t>in p</w:t>
      </w:r>
      <w:r>
        <w:rPr>
          <w:spacing w:val="-3"/>
        </w:rPr>
        <w:t>r</w:t>
      </w:r>
      <w:r>
        <w:t>ofit or los</w:t>
      </w:r>
      <w:r>
        <w:rPr>
          <w:spacing w:val="-3"/>
        </w:rPr>
        <w:t>s</w:t>
      </w:r>
      <w:r>
        <w:t>.</w:t>
      </w:r>
      <w:r>
        <w:rPr>
          <w:spacing w:val="38"/>
        </w:rPr>
        <w:t xml:space="preserve"> </w:t>
      </w:r>
      <w:r>
        <w:rPr>
          <w:spacing w:val="-2"/>
        </w:rPr>
        <w:t>W</w:t>
      </w:r>
      <w:r>
        <w:t>he</w:t>
      </w:r>
      <w:r>
        <w:rPr>
          <w:spacing w:val="-3"/>
        </w:rPr>
        <w:t>r</w:t>
      </w:r>
      <w:r>
        <w:t>e a</w:t>
      </w:r>
      <w:r>
        <w:rPr>
          <w:spacing w:val="-1"/>
        </w:rPr>
        <w:t xml:space="preserve"> </w:t>
      </w:r>
      <w:r>
        <w:t>p</w:t>
      </w:r>
      <w:r>
        <w:rPr>
          <w:spacing w:val="-3"/>
        </w:rPr>
        <w:t>r</w:t>
      </w:r>
      <w:r>
        <w:t xml:space="preserve">eviously </w:t>
      </w:r>
      <w:r>
        <w:rPr>
          <w:spacing w:val="-3"/>
        </w:rPr>
        <w:t>r</w:t>
      </w:r>
      <w:r>
        <w:t>e</w:t>
      </w:r>
      <w:r>
        <w:rPr>
          <w:spacing w:val="-1"/>
        </w:rPr>
        <w:t>v</w:t>
      </w:r>
      <w:r>
        <w:t>alued asset is</w:t>
      </w:r>
      <w:r>
        <w:rPr>
          <w:spacing w:val="-1"/>
        </w:rPr>
        <w:t xml:space="preserve"> </w:t>
      </w:r>
      <w:r>
        <w:t>writ</w:t>
      </w:r>
      <w:r>
        <w:rPr>
          <w:spacing w:val="-2"/>
        </w:rPr>
        <w:t>t</w:t>
      </w:r>
      <w:r>
        <w:t>en d</w:t>
      </w:r>
      <w:r>
        <w:rPr>
          <w:spacing w:val="-2"/>
        </w:rPr>
        <w:t>o</w:t>
      </w:r>
      <w:r>
        <w:t xml:space="preserve">wn  </w:t>
      </w:r>
      <w:r>
        <w:rPr>
          <w:spacing w:val="-2"/>
        </w:rPr>
        <w:t>t</w:t>
      </w:r>
      <w:r>
        <w:t xml:space="preserve">o </w:t>
      </w:r>
      <w:r>
        <w:rPr>
          <w:spacing w:val="-3"/>
        </w:rPr>
        <w:t>r</w:t>
      </w:r>
      <w:r>
        <w:t>e</w:t>
      </w:r>
      <w:r>
        <w:rPr>
          <w:spacing w:val="-2"/>
        </w:rPr>
        <w:t>co</w:t>
      </w:r>
      <w:r>
        <w:rPr>
          <w:spacing w:val="-3"/>
        </w:rPr>
        <w:t>v</w:t>
      </w:r>
      <w:r>
        <w:t>e</w:t>
      </w:r>
      <w:r>
        <w:rPr>
          <w:spacing w:val="-2"/>
        </w:rPr>
        <w:t>r</w:t>
      </w:r>
      <w:r>
        <w:t>able amou</w:t>
      </w:r>
      <w:r>
        <w:rPr>
          <w:spacing w:val="-1"/>
        </w:rPr>
        <w:t>nt</w:t>
      </w:r>
      <w:r>
        <w:t xml:space="preserve">, the loss is </w:t>
      </w:r>
      <w:r>
        <w:rPr>
          <w:spacing w:val="-3"/>
        </w:rPr>
        <w:t>r</w:t>
      </w:r>
      <w:r>
        <w:t>e</w:t>
      </w:r>
      <w:r>
        <w:rPr>
          <w:spacing w:val="-2"/>
        </w:rPr>
        <w:t>c</w:t>
      </w:r>
      <w:r>
        <w:t>o</w:t>
      </w:r>
      <w:r>
        <w:rPr>
          <w:spacing w:val="-2"/>
        </w:rPr>
        <w:t>g</w:t>
      </w:r>
      <w:r>
        <w:t xml:space="preserve">nised as a </w:t>
      </w:r>
      <w:r>
        <w:rPr>
          <w:spacing w:val="-3"/>
        </w:rPr>
        <w:t>r</w:t>
      </w:r>
      <w:r>
        <w:t>e</w:t>
      </w:r>
      <w:r>
        <w:rPr>
          <w:spacing w:val="-1"/>
        </w:rPr>
        <w:t>v</w:t>
      </w:r>
      <w:r>
        <w:t>alu</w:t>
      </w:r>
      <w:r>
        <w:rPr>
          <w:spacing w:val="-1"/>
        </w:rPr>
        <w:t>a</w:t>
      </w:r>
      <w:r>
        <w:t>tion dec</w:t>
      </w:r>
      <w:r>
        <w:rPr>
          <w:spacing w:val="-3"/>
        </w:rPr>
        <w:t>r</w:t>
      </w:r>
      <w:r>
        <w:t>eme</w:t>
      </w:r>
      <w:r>
        <w:rPr>
          <w:spacing w:val="-1"/>
        </w:rPr>
        <w:t>n</w:t>
      </w:r>
      <w:r>
        <w:t>t in other</w:t>
      </w:r>
      <w:r>
        <w:rPr>
          <w:spacing w:val="-1"/>
        </w:rPr>
        <w:t xml:space="preserve"> </w:t>
      </w:r>
      <w:r>
        <w:rPr>
          <w:spacing w:val="-2"/>
        </w:rPr>
        <w:t>c</w:t>
      </w:r>
      <w:r>
        <w:t>omp</w:t>
      </w:r>
      <w:r>
        <w:rPr>
          <w:spacing w:val="-3"/>
        </w:rPr>
        <w:t>r</w:t>
      </w:r>
      <w:r>
        <w:t>ehensi</w:t>
      </w:r>
      <w:r>
        <w:rPr>
          <w:spacing w:val="-3"/>
        </w:rPr>
        <w:t>v</w:t>
      </w:r>
      <w:r>
        <w:t>e in</w:t>
      </w:r>
      <w:r>
        <w:rPr>
          <w:spacing w:val="-2"/>
        </w:rPr>
        <w:t>c</w:t>
      </w:r>
      <w:r>
        <w:t>om</w:t>
      </w:r>
      <w:r>
        <w:rPr>
          <w:spacing w:val="-3"/>
        </w:rPr>
        <w:t>e</w:t>
      </w:r>
      <w:r>
        <w:t xml:space="preserve">. </w:t>
      </w:r>
      <w:r>
        <w:rPr>
          <w:spacing w:val="-2"/>
        </w:rPr>
        <w:t>A</w:t>
      </w:r>
      <w:r>
        <w:t>s</w:t>
      </w:r>
      <w:r>
        <w:rPr>
          <w:spacing w:val="-1"/>
        </w:rPr>
        <w:t xml:space="preserve"> </w:t>
      </w:r>
      <w:r>
        <w:t xml:space="preserve">the </w:t>
      </w:r>
      <w:r>
        <w:rPr>
          <w:spacing w:val="-3"/>
        </w:rPr>
        <w:t>A</w:t>
      </w:r>
      <w:r>
        <w:t>uthori</w:t>
      </w:r>
      <w:r>
        <w:rPr>
          <w:spacing w:val="1"/>
        </w:rPr>
        <w:t>t</w:t>
      </w:r>
      <w:r>
        <w:t>y is a</w:t>
      </w:r>
      <w:r>
        <w:rPr>
          <w:spacing w:val="-1"/>
        </w:rPr>
        <w:t xml:space="preserve"> </w:t>
      </w:r>
      <w:r>
        <w:t>no</w:t>
      </w:r>
      <w:r>
        <w:rPr>
          <w:spacing w:val="-2"/>
        </w:rPr>
        <w:t>t</w:t>
      </w:r>
      <w:r>
        <w:t>-</w:t>
      </w:r>
      <w:r>
        <w:rPr>
          <w:spacing w:val="-3"/>
        </w:rPr>
        <w:t>f</w:t>
      </w:r>
      <w:r>
        <w:t>o</w:t>
      </w:r>
      <w:r>
        <w:rPr>
          <w:spacing w:val="-2"/>
        </w:rPr>
        <w:t>r</w:t>
      </w:r>
      <w:r>
        <w:t>-p</w:t>
      </w:r>
      <w:r>
        <w:rPr>
          <w:spacing w:val="-3"/>
        </w:rPr>
        <w:t>r</w:t>
      </w:r>
      <w:r>
        <w:t>ofit e</w:t>
      </w:r>
      <w:r>
        <w:rPr>
          <w:spacing w:val="-1"/>
        </w:rPr>
        <w:t>n</w:t>
      </w:r>
      <w:r>
        <w:t>ti</w:t>
      </w:r>
      <w:r>
        <w:rPr>
          <w:spacing w:val="2"/>
        </w:rPr>
        <w:t>t</w:t>
      </w:r>
      <w:r>
        <w:rPr>
          <w:spacing w:val="-9"/>
        </w:rPr>
        <w:t>y</w:t>
      </w:r>
      <w:r>
        <w:t>, unless</w:t>
      </w:r>
      <w:r>
        <w:rPr>
          <w:spacing w:val="-1"/>
        </w:rPr>
        <w:t xml:space="preserve"> </w:t>
      </w:r>
      <w:r>
        <w:t>a specialised</w:t>
      </w:r>
      <w:r>
        <w:rPr>
          <w:spacing w:val="-1"/>
        </w:rPr>
        <w:t xml:space="preserve"> </w:t>
      </w:r>
      <w:r>
        <w:t>asset has</w:t>
      </w:r>
      <w:r>
        <w:rPr>
          <w:spacing w:val="-1"/>
        </w:rPr>
        <w:t xml:space="preserve"> </w:t>
      </w:r>
      <w:r>
        <w:t>been ide</w:t>
      </w:r>
      <w:r>
        <w:rPr>
          <w:spacing w:val="-1"/>
        </w:rPr>
        <w:t>n</w:t>
      </w:r>
      <w:r>
        <w:t>tified</w:t>
      </w:r>
      <w:r>
        <w:rPr>
          <w:spacing w:val="-1"/>
        </w:rPr>
        <w:t xml:space="preserve"> </w:t>
      </w:r>
      <w:r>
        <w:t>as a</w:t>
      </w:r>
      <w:r>
        <w:rPr>
          <w:spacing w:val="-1"/>
        </w:rPr>
        <w:t xml:space="preserve"> </w:t>
      </w:r>
      <w:r>
        <w:t>surplus asse</w:t>
      </w:r>
      <w:r>
        <w:rPr>
          <w:spacing w:val="-1"/>
        </w:rPr>
        <w:t>t</w:t>
      </w:r>
      <w:r>
        <w:t>,</w:t>
      </w:r>
      <w:r>
        <w:rPr>
          <w:spacing w:val="-1"/>
        </w:rPr>
        <w:t xml:space="preserve"> </w:t>
      </w:r>
      <w:r>
        <w:t xml:space="preserve">the </w:t>
      </w:r>
      <w:r>
        <w:rPr>
          <w:spacing w:val="-3"/>
        </w:rPr>
        <w:t>r</w:t>
      </w:r>
      <w:r>
        <w:t>e</w:t>
      </w:r>
      <w:r>
        <w:rPr>
          <w:spacing w:val="-2"/>
        </w:rPr>
        <w:t>co</w:t>
      </w:r>
      <w:r>
        <w:rPr>
          <w:spacing w:val="-3"/>
        </w:rPr>
        <w:t>v</w:t>
      </w:r>
      <w:r>
        <w:t>e</w:t>
      </w:r>
      <w:r>
        <w:rPr>
          <w:spacing w:val="-2"/>
        </w:rPr>
        <w:t>r</w:t>
      </w:r>
      <w:r>
        <w:t>able</w:t>
      </w:r>
      <w:r w:rsidRPr="00272B6E">
        <w:t xml:space="preserve"> amount is the higher of an asset’s fair value less costs to sell and depreciated replacement cost.</w:t>
      </w:r>
    </w:p>
    <w:p w14:paraId="14761BAF" w14:textId="0086D4D8" w:rsidR="00272B6E" w:rsidRPr="0025648F" w:rsidRDefault="00272B6E" w:rsidP="0025648F">
      <w:pPr>
        <w:rPr>
          <w:color w:val="000000"/>
        </w:rPr>
      </w:pPr>
      <w:r>
        <w:rPr>
          <w:spacing w:val="-2"/>
        </w:rPr>
        <w:lastRenderedPageBreak/>
        <w:t>T</w:t>
      </w:r>
      <w:r>
        <w:t>he risk of impairme</w:t>
      </w:r>
      <w:r>
        <w:rPr>
          <w:spacing w:val="-1"/>
        </w:rPr>
        <w:t>n</w:t>
      </w:r>
      <w:r>
        <w:t>t is gene</w:t>
      </w:r>
      <w:r>
        <w:rPr>
          <w:spacing w:val="-2"/>
        </w:rPr>
        <w:t>r</w:t>
      </w:r>
      <w:r>
        <w:t>ally limi</w:t>
      </w:r>
      <w:r>
        <w:rPr>
          <w:spacing w:val="-2"/>
        </w:rPr>
        <w:t>t</w:t>
      </w:r>
      <w:r>
        <w:t xml:space="preserve">ed </w:t>
      </w:r>
      <w:r>
        <w:rPr>
          <w:spacing w:val="-2"/>
        </w:rPr>
        <w:t>t</w:t>
      </w:r>
      <w:r>
        <w:t>o ci</w:t>
      </w:r>
      <w:r>
        <w:rPr>
          <w:spacing w:val="-3"/>
        </w:rPr>
        <w:t>r</w:t>
      </w:r>
      <w:r>
        <w:t>cumstan</w:t>
      </w:r>
      <w:r>
        <w:rPr>
          <w:spacing w:val="-2"/>
        </w:rPr>
        <w:t>c</w:t>
      </w:r>
      <w:r>
        <w:t>es whe</w:t>
      </w:r>
      <w:r>
        <w:rPr>
          <w:spacing w:val="-3"/>
        </w:rPr>
        <w:t>r</w:t>
      </w:r>
      <w:r>
        <w:t>e an asse</w:t>
      </w:r>
      <w:r>
        <w:rPr>
          <w:spacing w:val="4"/>
        </w:rPr>
        <w:t>t</w:t>
      </w:r>
      <w:r>
        <w:rPr>
          <w:spacing w:val="-16"/>
        </w:rPr>
        <w:t>’</w:t>
      </w:r>
      <w:r>
        <w:t>s dep</w:t>
      </w:r>
      <w:r>
        <w:rPr>
          <w:spacing w:val="-3"/>
        </w:rPr>
        <w:t>r</w:t>
      </w:r>
      <w:r>
        <w:t>eci</w:t>
      </w:r>
      <w:r>
        <w:rPr>
          <w:spacing w:val="-1"/>
        </w:rPr>
        <w:t>a</w:t>
      </w:r>
      <w:r>
        <w:t>tion is m</w:t>
      </w:r>
      <w:r>
        <w:rPr>
          <w:spacing w:val="-1"/>
        </w:rPr>
        <w:t>a</w:t>
      </w:r>
      <w:r>
        <w:rPr>
          <w:spacing w:val="-2"/>
        </w:rPr>
        <w:t>t</w:t>
      </w:r>
      <w:r>
        <w:t>erially underst</w:t>
      </w:r>
      <w:r>
        <w:rPr>
          <w:spacing w:val="-1"/>
        </w:rPr>
        <w:t>a</w:t>
      </w:r>
      <w:r>
        <w:rPr>
          <w:spacing w:val="-2"/>
        </w:rPr>
        <w:t>t</w:t>
      </w:r>
      <w:r>
        <w:t>e</w:t>
      </w:r>
      <w:r>
        <w:rPr>
          <w:spacing w:val="-3"/>
        </w:rPr>
        <w:t>d</w:t>
      </w:r>
      <w:r>
        <w:t>, whe</w:t>
      </w:r>
      <w:r>
        <w:rPr>
          <w:spacing w:val="-3"/>
        </w:rPr>
        <w:t>r</w:t>
      </w:r>
      <w:r>
        <w:t xml:space="preserve">e the </w:t>
      </w:r>
      <w:r>
        <w:rPr>
          <w:spacing w:val="-3"/>
        </w:rPr>
        <w:t>r</w:t>
      </w:r>
      <w:r>
        <w:t>epla</w:t>
      </w:r>
      <w:r>
        <w:rPr>
          <w:spacing w:val="-2"/>
        </w:rPr>
        <w:t>c</w:t>
      </w:r>
      <w:r>
        <w:t>eme</w:t>
      </w:r>
      <w:r>
        <w:rPr>
          <w:spacing w:val="-1"/>
        </w:rPr>
        <w:t>n</w:t>
      </w:r>
      <w:r>
        <w:t xml:space="preserve">t </w:t>
      </w:r>
      <w:r>
        <w:rPr>
          <w:spacing w:val="-2"/>
        </w:rPr>
        <w:t>c</w:t>
      </w:r>
      <w:r>
        <w:t>ost is falling or whe</w:t>
      </w:r>
      <w:r>
        <w:rPr>
          <w:spacing w:val="-3"/>
        </w:rPr>
        <w:t>r</w:t>
      </w:r>
      <w:r>
        <w:t>e</w:t>
      </w:r>
      <w:r>
        <w:rPr>
          <w:spacing w:val="-1"/>
        </w:rPr>
        <w:t xml:space="preserve"> </w:t>
      </w:r>
      <w:r>
        <w:t>the</w:t>
      </w:r>
      <w:r>
        <w:rPr>
          <w:spacing w:val="-3"/>
        </w:rPr>
        <w:t>r</w:t>
      </w:r>
      <w:r>
        <w:t>e is</w:t>
      </w:r>
      <w:r>
        <w:rPr>
          <w:spacing w:val="-1"/>
        </w:rPr>
        <w:t xml:space="preserve"> </w:t>
      </w:r>
      <w:r>
        <w:t>a si</w:t>
      </w:r>
      <w:r>
        <w:rPr>
          <w:spacing w:val="-2"/>
        </w:rPr>
        <w:t>g</w:t>
      </w:r>
      <w:r>
        <w:t>nifica</w:t>
      </w:r>
      <w:r>
        <w:rPr>
          <w:spacing w:val="-1"/>
        </w:rPr>
        <w:t>n</w:t>
      </w:r>
      <w:r>
        <w:t>t</w:t>
      </w:r>
      <w:r>
        <w:rPr>
          <w:spacing w:val="-1"/>
        </w:rPr>
        <w:t xml:space="preserve"> </w:t>
      </w:r>
      <w:r>
        <w:t>change in</w:t>
      </w:r>
      <w:r>
        <w:rPr>
          <w:spacing w:val="-1"/>
        </w:rPr>
        <w:t xml:space="preserve"> </w:t>
      </w:r>
      <w:r>
        <w:t>useful li</w:t>
      </w:r>
      <w:r>
        <w:rPr>
          <w:spacing w:val="-3"/>
        </w:rPr>
        <w:t>fe</w:t>
      </w:r>
      <w:r>
        <w:t>.</w:t>
      </w:r>
      <w:r>
        <w:rPr>
          <w:spacing w:val="46"/>
        </w:rPr>
        <w:t xml:space="preserve"> </w:t>
      </w:r>
      <w:r>
        <w:t>Each</w:t>
      </w:r>
      <w:r>
        <w:rPr>
          <w:spacing w:val="-1"/>
        </w:rPr>
        <w:t xml:space="preserve"> </w:t>
      </w:r>
      <w:r>
        <w:rPr>
          <w:spacing w:val="-3"/>
        </w:rPr>
        <w:t>r</w:t>
      </w:r>
      <w:r>
        <w:t>ele</w:t>
      </w:r>
      <w:r>
        <w:rPr>
          <w:spacing w:val="-1"/>
        </w:rPr>
        <w:t>v</w:t>
      </w:r>
      <w:r>
        <w:t>a</w:t>
      </w:r>
      <w:r>
        <w:rPr>
          <w:spacing w:val="-1"/>
        </w:rPr>
        <w:t>n</w:t>
      </w:r>
      <w:r>
        <w:t>t class</w:t>
      </w:r>
      <w:r>
        <w:rPr>
          <w:spacing w:val="-1"/>
        </w:rPr>
        <w:t xml:space="preserve"> </w:t>
      </w:r>
      <w:r>
        <w:t xml:space="preserve">of assets is </w:t>
      </w:r>
      <w:r>
        <w:rPr>
          <w:spacing w:val="-3"/>
        </w:rPr>
        <w:t>r</w:t>
      </w:r>
      <w:r>
        <w:t>evie</w:t>
      </w:r>
      <w:r>
        <w:rPr>
          <w:spacing w:val="-3"/>
        </w:rPr>
        <w:t>w</w:t>
      </w:r>
      <w:r>
        <w:t xml:space="preserve">ed annually </w:t>
      </w:r>
      <w:r>
        <w:rPr>
          <w:spacing w:val="-2"/>
        </w:rPr>
        <w:t>t</w:t>
      </w:r>
      <w:r>
        <w:t xml:space="preserve">o </w:t>
      </w:r>
      <w:r>
        <w:rPr>
          <w:spacing w:val="-3"/>
        </w:rPr>
        <w:t>v</w:t>
      </w:r>
      <w:r>
        <w:t>erify th</w:t>
      </w:r>
      <w:r>
        <w:rPr>
          <w:spacing w:val="-1"/>
        </w:rPr>
        <w:t>a</w:t>
      </w:r>
      <w:r>
        <w:t>t the a</w:t>
      </w:r>
      <w:r>
        <w:rPr>
          <w:spacing w:val="-2"/>
        </w:rPr>
        <w:t>c</w:t>
      </w:r>
      <w:r>
        <w:t>cumul</w:t>
      </w:r>
      <w:r>
        <w:rPr>
          <w:spacing w:val="-1"/>
        </w:rPr>
        <w:t>a</w:t>
      </w:r>
      <w:r>
        <w:rPr>
          <w:spacing w:val="-2"/>
        </w:rPr>
        <w:t>t</w:t>
      </w:r>
      <w:r>
        <w:t>ed dep</w:t>
      </w:r>
      <w:r>
        <w:rPr>
          <w:spacing w:val="-3"/>
        </w:rPr>
        <w:t>r</w:t>
      </w:r>
      <w:r>
        <w:t>eci</w:t>
      </w:r>
      <w:r>
        <w:rPr>
          <w:spacing w:val="-1"/>
        </w:rPr>
        <w:t>a</w:t>
      </w:r>
      <w:r>
        <w:t>tion/amo</w:t>
      </w:r>
      <w:r>
        <w:rPr>
          <w:spacing w:val="5"/>
        </w:rPr>
        <w:t>r</w:t>
      </w:r>
      <w:r>
        <w:t>tis</w:t>
      </w:r>
      <w:r>
        <w:rPr>
          <w:spacing w:val="-1"/>
        </w:rPr>
        <w:t>a</w:t>
      </w:r>
      <w:r>
        <w:t>tion</w:t>
      </w:r>
      <w:r>
        <w:rPr>
          <w:color w:val="000000"/>
        </w:rPr>
        <w:t xml:space="preserve"> </w:t>
      </w:r>
      <w:r>
        <w:rPr>
          <w:spacing w:val="-3"/>
        </w:rPr>
        <w:t>r</w:t>
      </w:r>
      <w:r>
        <w:t>efle</w:t>
      </w:r>
      <w:r>
        <w:rPr>
          <w:spacing w:val="2"/>
        </w:rPr>
        <w:t>c</w:t>
      </w:r>
      <w:r>
        <w:t>ts</w:t>
      </w:r>
      <w:r>
        <w:rPr>
          <w:spacing w:val="-2"/>
        </w:rPr>
        <w:t xml:space="preserve"> </w:t>
      </w:r>
      <w:r>
        <w:t>the</w:t>
      </w:r>
      <w:r>
        <w:rPr>
          <w:spacing w:val="-1"/>
        </w:rPr>
        <w:t xml:space="preserve"> </w:t>
      </w:r>
      <w:r>
        <w:t>le</w:t>
      </w:r>
      <w:r>
        <w:rPr>
          <w:spacing w:val="-3"/>
        </w:rPr>
        <w:t>v</w:t>
      </w:r>
      <w:r>
        <w:t>el</w:t>
      </w:r>
      <w:r>
        <w:rPr>
          <w:spacing w:val="-1"/>
        </w:rPr>
        <w:t xml:space="preserve"> </w:t>
      </w:r>
      <w:r>
        <w:t>of</w:t>
      </w:r>
      <w:r>
        <w:rPr>
          <w:spacing w:val="-1"/>
        </w:rPr>
        <w:t xml:space="preserve"> </w:t>
      </w:r>
      <w:r>
        <w:rPr>
          <w:spacing w:val="-2"/>
        </w:rPr>
        <w:t>c</w:t>
      </w:r>
      <w:r>
        <w:t>onsumption</w:t>
      </w:r>
      <w:r>
        <w:rPr>
          <w:spacing w:val="-1"/>
        </w:rPr>
        <w:t xml:space="preserve"> </w:t>
      </w:r>
      <w:r>
        <w:t>or</w:t>
      </w:r>
      <w:r>
        <w:rPr>
          <w:spacing w:val="-1"/>
        </w:rPr>
        <w:t xml:space="preserve"> e</w:t>
      </w:r>
      <w:r>
        <w:t>xpi</w:t>
      </w:r>
      <w:r>
        <w:rPr>
          <w:spacing w:val="-2"/>
        </w:rPr>
        <w:t>r</w:t>
      </w:r>
      <w:r>
        <w:rPr>
          <w:spacing w:val="-1"/>
        </w:rPr>
        <w:t>a</w:t>
      </w:r>
      <w:r>
        <w:t>tion</w:t>
      </w:r>
      <w:r>
        <w:rPr>
          <w:spacing w:val="-1"/>
        </w:rPr>
        <w:t xml:space="preserve"> </w:t>
      </w:r>
      <w:r>
        <w:t>of</w:t>
      </w:r>
      <w:r>
        <w:rPr>
          <w:spacing w:val="-1"/>
        </w:rPr>
        <w:t xml:space="preserve"> </w:t>
      </w:r>
      <w:r>
        <w:t>asse</w:t>
      </w:r>
      <w:r>
        <w:rPr>
          <w:spacing w:val="4"/>
        </w:rPr>
        <w:t>t</w:t>
      </w:r>
      <w:r>
        <w:rPr>
          <w:spacing w:val="-16"/>
        </w:rPr>
        <w:t>’</w:t>
      </w:r>
      <w:r>
        <w:t>s</w:t>
      </w:r>
      <w:r>
        <w:rPr>
          <w:spacing w:val="-1"/>
        </w:rPr>
        <w:t xml:space="preserve"> </w:t>
      </w:r>
      <w:r>
        <w:t>futu</w:t>
      </w:r>
      <w:r>
        <w:rPr>
          <w:spacing w:val="-3"/>
        </w:rPr>
        <w:t>r</w:t>
      </w:r>
      <w:r>
        <w:t>e</w:t>
      </w:r>
      <w:r>
        <w:rPr>
          <w:spacing w:val="-1"/>
        </w:rPr>
        <w:t xml:space="preserve"> </w:t>
      </w:r>
      <w:r>
        <w:t>e</w:t>
      </w:r>
      <w:r>
        <w:rPr>
          <w:spacing w:val="-2"/>
        </w:rPr>
        <w:t>c</w:t>
      </w:r>
      <w:r>
        <w:t>onomic</w:t>
      </w:r>
      <w:r>
        <w:rPr>
          <w:spacing w:val="-1"/>
        </w:rPr>
        <w:t xml:space="preserve"> </w:t>
      </w:r>
      <w:r>
        <w:t>benefits</w:t>
      </w:r>
      <w:r>
        <w:rPr>
          <w:w w:val="99"/>
        </w:rPr>
        <w:t xml:space="preserve"> </w:t>
      </w:r>
      <w:r>
        <w:t xml:space="preserve">and </w:t>
      </w:r>
      <w:r>
        <w:rPr>
          <w:spacing w:val="-2"/>
        </w:rPr>
        <w:t>t</w:t>
      </w:r>
      <w:r>
        <w:t>o e</w:t>
      </w:r>
      <w:r>
        <w:rPr>
          <w:spacing w:val="-1"/>
        </w:rPr>
        <w:t>v</w:t>
      </w:r>
      <w:r>
        <w:t>alu</w:t>
      </w:r>
      <w:r>
        <w:rPr>
          <w:spacing w:val="-1"/>
        </w:rPr>
        <w:t>a</w:t>
      </w:r>
      <w:r>
        <w:rPr>
          <w:spacing w:val="-2"/>
        </w:rPr>
        <w:t>t</w:t>
      </w:r>
      <w:r>
        <w:t>e a</w:t>
      </w:r>
      <w:r>
        <w:rPr>
          <w:spacing w:val="-3"/>
        </w:rPr>
        <w:t>n</w:t>
      </w:r>
      <w:r>
        <w:t>y impairme</w:t>
      </w:r>
      <w:r>
        <w:rPr>
          <w:spacing w:val="-1"/>
        </w:rPr>
        <w:t>n</w:t>
      </w:r>
      <w:r>
        <w:t>t risk f</w:t>
      </w:r>
      <w:r>
        <w:rPr>
          <w:spacing w:val="-3"/>
        </w:rPr>
        <w:t>r</w:t>
      </w:r>
      <w:r>
        <w:t xml:space="preserve">om falling </w:t>
      </w:r>
      <w:r>
        <w:rPr>
          <w:spacing w:val="-3"/>
        </w:rPr>
        <w:t>r</w:t>
      </w:r>
      <w:r>
        <w:t>epla</w:t>
      </w:r>
      <w:r>
        <w:rPr>
          <w:spacing w:val="-2"/>
        </w:rPr>
        <w:t>c</w:t>
      </w:r>
      <w:r>
        <w:t>eme</w:t>
      </w:r>
      <w:r>
        <w:rPr>
          <w:spacing w:val="-1"/>
        </w:rPr>
        <w:t>n</w:t>
      </w:r>
      <w:r>
        <w:t xml:space="preserve">t </w:t>
      </w:r>
      <w:r>
        <w:rPr>
          <w:spacing w:val="-2"/>
        </w:rPr>
        <w:t>c</w:t>
      </w:r>
      <w:r>
        <w:t>ost</w:t>
      </w:r>
      <w:r>
        <w:rPr>
          <w:spacing w:val="-3"/>
        </w:rPr>
        <w:t>s</w:t>
      </w:r>
      <w:r>
        <w:t>.</w:t>
      </w:r>
    </w:p>
    <w:p w14:paraId="1210BDB4" w14:textId="77777777" w:rsidR="00272B6E" w:rsidRDefault="00272B6E" w:rsidP="00272B6E">
      <w:r>
        <w:rPr>
          <w:spacing w:val="2"/>
        </w:rPr>
        <w:t>I</w:t>
      </w:r>
      <w:r>
        <w:rPr>
          <w:spacing w:val="-1"/>
        </w:rPr>
        <w:t>n</w:t>
      </w:r>
      <w:r>
        <w:t>tan</w:t>
      </w:r>
      <w:r>
        <w:rPr>
          <w:spacing w:val="-2"/>
        </w:rPr>
        <w:t>g</w:t>
      </w:r>
      <w:r>
        <w:t>ible</w:t>
      </w:r>
      <w:r>
        <w:rPr>
          <w:spacing w:val="-1"/>
        </w:rPr>
        <w:t xml:space="preserve"> </w:t>
      </w:r>
      <w:r>
        <w:t>assets</w:t>
      </w:r>
      <w:r>
        <w:rPr>
          <w:spacing w:val="-1"/>
        </w:rPr>
        <w:t xml:space="preserve"> </w:t>
      </w:r>
      <w:r>
        <w:t>with</w:t>
      </w:r>
      <w:r>
        <w:rPr>
          <w:spacing w:val="-1"/>
        </w:rPr>
        <w:t xml:space="preserve"> </w:t>
      </w:r>
      <w:r>
        <w:t>an indefini</w:t>
      </w:r>
      <w:r>
        <w:rPr>
          <w:spacing w:val="-2"/>
        </w:rPr>
        <w:t>t</w:t>
      </w:r>
      <w:r>
        <w:t>e</w:t>
      </w:r>
      <w:r>
        <w:rPr>
          <w:spacing w:val="-1"/>
        </w:rPr>
        <w:t xml:space="preserve"> </w:t>
      </w:r>
      <w:r>
        <w:t>useful</w:t>
      </w:r>
      <w:r>
        <w:rPr>
          <w:spacing w:val="-1"/>
        </w:rPr>
        <w:t xml:space="preserve"> </w:t>
      </w:r>
      <w:r>
        <w:t>li</w:t>
      </w:r>
      <w:r>
        <w:rPr>
          <w:spacing w:val="-3"/>
        </w:rPr>
        <w:t>f</w:t>
      </w:r>
      <w:r>
        <w:t>e and</w:t>
      </w:r>
      <w:r>
        <w:rPr>
          <w:spacing w:val="-1"/>
        </w:rPr>
        <w:t xml:space="preserve"> </w:t>
      </w:r>
      <w:r>
        <w:t>i</w:t>
      </w:r>
      <w:r>
        <w:rPr>
          <w:spacing w:val="-1"/>
        </w:rPr>
        <w:t>n</w:t>
      </w:r>
      <w:r>
        <w:t>tan</w:t>
      </w:r>
      <w:r>
        <w:rPr>
          <w:spacing w:val="-2"/>
        </w:rPr>
        <w:t>g</w:t>
      </w:r>
      <w:r>
        <w:t>ible</w:t>
      </w:r>
      <w:r>
        <w:rPr>
          <w:spacing w:val="-1"/>
        </w:rPr>
        <w:t xml:space="preserve"> </w:t>
      </w:r>
      <w:r>
        <w:t>assets not</w:t>
      </w:r>
      <w:r>
        <w:rPr>
          <w:spacing w:val="-1"/>
        </w:rPr>
        <w:t xml:space="preserve"> </w:t>
      </w:r>
      <w:r>
        <w:rPr>
          <w:spacing w:val="-3"/>
        </w:rPr>
        <w:t>y</w:t>
      </w:r>
      <w:r>
        <w:t xml:space="preserve">et </w:t>
      </w:r>
      <w:r>
        <w:rPr>
          <w:spacing w:val="-2"/>
        </w:rPr>
        <w:t>a</w:t>
      </w:r>
      <w:r>
        <w:rPr>
          <w:spacing w:val="-1"/>
        </w:rPr>
        <w:t>v</w:t>
      </w:r>
      <w:r>
        <w:t xml:space="preserve">ailable </w:t>
      </w:r>
      <w:r>
        <w:rPr>
          <w:spacing w:val="-3"/>
        </w:rPr>
        <w:t>f</w:t>
      </w:r>
      <w:r>
        <w:t>or use a</w:t>
      </w:r>
      <w:r>
        <w:rPr>
          <w:spacing w:val="-3"/>
        </w:rPr>
        <w:t>r</w:t>
      </w:r>
      <w:r>
        <w:t xml:space="preserve">e </w:t>
      </w:r>
      <w:r>
        <w:rPr>
          <w:spacing w:val="-2"/>
        </w:rPr>
        <w:t>t</w:t>
      </w:r>
      <w:r>
        <w:t>es</w:t>
      </w:r>
      <w:r>
        <w:rPr>
          <w:spacing w:val="-2"/>
        </w:rPr>
        <w:t>t</w:t>
      </w:r>
      <w:r>
        <w:t xml:space="preserve">ed </w:t>
      </w:r>
      <w:r>
        <w:rPr>
          <w:spacing w:val="-3"/>
        </w:rPr>
        <w:t>f</w:t>
      </w:r>
      <w:r>
        <w:t>or impairme</w:t>
      </w:r>
      <w:r>
        <w:rPr>
          <w:spacing w:val="-1"/>
        </w:rPr>
        <w:t>n</w:t>
      </w:r>
      <w:r>
        <w:t xml:space="preserve">t </w:t>
      </w:r>
      <w:r>
        <w:rPr>
          <w:spacing w:val="-1"/>
        </w:rPr>
        <w:t>a</w:t>
      </w:r>
      <w:r>
        <w:t xml:space="preserve">t the end of each </w:t>
      </w:r>
      <w:r>
        <w:rPr>
          <w:spacing w:val="-3"/>
        </w:rPr>
        <w:t>r</w:t>
      </w:r>
      <w:r>
        <w:t>epo</w:t>
      </w:r>
      <w:r>
        <w:rPr>
          <w:spacing w:val="5"/>
        </w:rPr>
        <w:t>r</w:t>
      </w:r>
      <w:r>
        <w:t>ting period ir</w:t>
      </w:r>
      <w:r>
        <w:rPr>
          <w:spacing w:val="-3"/>
        </w:rPr>
        <w:t>r</w:t>
      </w:r>
      <w:r>
        <w:t>espe</w:t>
      </w:r>
      <w:r>
        <w:rPr>
          <w:spacing w:val="2"/>
        </w:rPr>
        <w:t>c</w:t>
      </w:r>
      <w:r>
        <w:t>ti</w:t>
      </w:r>
      <w:r>
        <w:rPr>
          <w:spacing w:val="-3"/>
        </w:rPr>
        <w:t>v</w:t>
      </w:r>
      <w:r>
        <w:t>e of whether the</w:t>
      </w:r>
      <w:r>
        <w:rPr>
          <w:spacing w:val="-3"/>
        </w:rPr>
        <w:t>r</w:t>
      </w:r>
      <w:r>
        <w:t>e is a</w:t>
      </w:r>
      <w:r>
        <w:rPr>
          <w:spacing w:val="-3"/>
        </w:rPr>
        <w:t>n</w:t>
      </w:r>
      <w:r>
        <w:t>y indic</w:t>
      </w:r>
      <w:r>
        <w:rPr>
          <w:spacing w:val="-1"/>
        </w:rPr>
        <w:t>a</w:t>
      </w:r>
      <w:r>
        <w:t>tion of impairme</w:t>
      </w:r>
      <w:r>
        <w:rPr>
          <w:spacing w:val="-1"/>
        </w:rPr>
        <w:t>nt</w:t>
      </w:r>
      <w:r>
        <w:t>.</w:t>
      </w:r>
    </w:p>
    <w:p w14:paraId="1A488E52" w14:textId="17B755B5" w:rsidR="0021382E" w:rsidRDefault="0021382E" w:rsidP="0021382E">
      <w:pPr>
        <w:rPr>
          <w:color w:val="000000"/>
        </w:rPr>
      </w:pPr>
      <w:r>
        <w:rPr>
          <w:noProof/>
          <w:lang w:eastAsia="en-AU"/>
        </w:rPr>
        <mc:AlternateContent>
          <mc:Choice Requires="wps">
            <w:drawing>
              <wp:anchor distT="0" distB="0" distL="114300" distR="114300" simplePos="0" relativeHeight="251737088" behindDoc="1" locked="0" layoutInCell="0" allowOverlap="1" wp14:anchorId="1985CA7B" wp14:editId="003F89DD">
                <wp:simplePos x="0" y="0"/>
                <wp:positionH relativeFrom="page">
                  <wp:posOffset>0</wp:posOffset>
                </wp:positionH>
                <wp:positionV relativeFrom="page">
                  <wp:posOffset>186055</wp:posOffset>
                </wp:positionV>
                <wp:extent cx="450850" cy="118745"/>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0" cy="118745"/>
                        </a:xfrm>
                        <a:prstGeom prst="rect">
                          <a:avLst/>
                        </a:prstGeom>
                        <a:solidFill>
                          <a:srgbClr val="B6C6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988CB" id="Rectangle 87" o:spid="_x0000_s1026" style="position:absolute;margin-left:0;margin-top:14.65pt;width:35.5pt;height:9.3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" o:allowincell="f" fillcolor="#b6c6c2" stroked="f">
                <v:path arrowok="t"/>
                <w10:wrap anchorx="page" anchory="page"/>
              </v:rect>
            </w:pict>
          </mc:Fallback>
        </mc:AlternateContent>
      </w:r>
      <w:r>
        <w:rPr>
          <w:spacing w:val="-2"/>
        </w:rPr>
        <w:t>T</w:t>
      </w:r>
      <w:r>
        <w:t>he</w:t>
      </w:r>
      <w:r>
        <w:rPr>
          <w:spacing w:val="-1"/>
        </w:rPr>
        <w:t xml:space="preserve"> </w:t>
      </w:r>
      <w:r>
        <w:rPr>
          <w:spacing w:val="-3"/>
        </w:rPr>
        <w:t>r</w:t>
      </w:r>
      <w:r>
        <w:t>e</w:t>
      </w:r>
      <w:r>
        <w:rPr>
          <w:spacing w:val="-2"/>
        </w:rPr>
        <w:t>co</w:t>
      </w:r>
      <w:r>
        <w:rPr>
          <w:spacing w:val="-3"/>
        </w:rPr>
        <w:t>v</w:t>
      </w:r>
      <w:r>
        <w:t>e</w:t>
      </w:r>
      <w:r>
        <w:rPr>
          <w:spacing w:val="-2"/>
        </w:rPr>
        <w:t>r</w:t>
      </w:r>
      <w:r>
        <w:t>able amou</w:t>
      </w:r>
      <w:r>
        <w:rPr>
          <w:spacing w:val="-1"/>
        </w:rPr>
        <w:t>n</w:t>
      </w:r>
      <w:r>
        <w:t>t</w:t>
      </w:r>
      <w:r>
        <w:rPr>
          <w:spacing w:val="-1"/>
        </w:rPr>
        <w:t xml:space="preserve"> </w:t>
      </w:r>
      <w:r>
        <w:t>of assets ide</w:t>
      </w:r>
      <w:r>
        <w:rPr>
          <w:spacing w:val="-1"/>
        </w:rPr>
        <w:t>n</w:t>
      </w:r>
      <w:r>
        <w:t>tified</w:t>
      </w:r>
      <w:r>
        <w:rPr>
          <w:spacing w:val="-1"/>
        </w:rPr>
        <w:t xml:space="preserve"> </w:t>
      </w:r>
      <w:r>
        <w:t>as surplus</w:t>
      </w:r>
      <w:r>
        <w:rPr>
          <w:spacing w:val="-1"/>
        </w:rPr>
        <w:t xml:space="preserve"> </w:t>
      </w:r>
      <w:r>
        <w:t>assets is the</w:t>
      </w:r>
      <w:r>
        <w:rPr>
          <w:spacing w:val="-1"/>
        </w:rPr>
        <w:t xml:space="preserve"> </w:t>
      </w:r>
      <w:r>
        <w:t>higher of fair</w:t>
      </w:r>
      <w:r>
        <w:rPr>
          <w:spacing w:val="-1"/>
        </w:rPr>
        <w:t xml:space="preserve"> v</w:t>
      </w:r>
      <w:r>
        <w:t xml:space="preserve">alue less </w:t>
      </w:r>
      <w:r>
        <w:rPr>
          <w:spacing w:val="-2"/>
        </w:rPr>
        <w:t>c</w:t>
      </w:r>
      <w:r>
        <w:t xml:space="preserve">osts </w:t>
      </w:r>
      <w:r>
        <w:rPr>
          <w:spacing w:val="-2"/>
        </w:rPr>
        <w:t>t</w:t>
      </w:r>
      <w:r>
        <w:t>o sell and</w:t>
      </w:r>
      <w:r>
        <w:rPr>
          <w:spacing w:val="-1"/>
        </w:rPr>
        <w:t xml:space="preserve"> </w:t>
      </w:r>
      <w:r>
        <w:t>the p</w:t>
      </w:r>
      <w:r>
        <w:rPr>
          <w:spacing w:val="-3"/>
        </w:rPr>
        <w:t>r</w:t>
      </w:r>
      <w:r>
        <w:t>ese</w:t>
      </w:r>
      <w:r>
        <w:rPr>
          <w:spacing w:val="-1"/>
        </w:rPr>
        <w:t>n</w:t>
      </w:r>
      <w:r>
        <w:t xml:space="preserve">t </w:t>
      </w:r>
      <w:r>
        <w:rPr>
          <w:spacing w:val="-1"/>
        </w:rPr>
        <w:t>v</w:t>
      </w:r>
      <w:r>
        <w:t>alue of futu</w:t>
      </w:r>
      <w:r>
        <w:rPr>
          <w:spacing w:val="-3"/>
        </w:rPr>
        <w:t>r</w:t>
      </w:r>
      <w:r>
        <w:t>e</w:t>
      </w:r>
      <w:r>
        <w:rPr>
          <w:spacing w:val="-1"/>
        </w:rPr>
        <w:t xml:space="preserve"> </w:t>
      </w:r>
      <w:r>
        <w:t>cash fl</w:t>
      </w:r>
      <w:r>
        <w:rPr>
          <w:spacing w:val="-2"/>
        </w:rPr>
        <w:t>ow</w:t>
      </w:r>
      <w:r>
        <w:t xml:space="preserve">s </w:t>
      </w:r>
      <w:r>
        <w:rPr>
          <w:spacing w:val="-1"/>
        </w:rPr>
        <w:t>e</w:t>
      </w:r>
      <w:r>
        <w:t>xpe</w:t>
      </w:r>
      <w:r>
        <w:rPr>
          <w:spacing w:val="2"/>
        </w:rPr>
        <w:t>c</w:t>
      </w:r>
      <w:r>
        <w:rPr>
          <w:spacing w:val="-2"/>
        </w:rPr>
        <w:t>t</w:t>
      </w:r>
      <w:r>
        <w:t xml:space="preserve">ed </w:t>
      </w:r>
      <w:r>
        <w:rPr>
          <w:spacing w:val="-2"/>
        </w:rPr>
        <w:t>t</w:t>
      </w:r>
      <w:r>
        <w:t>o be deri</w:t>
      </w:r>
      <w:r>
        <w:rPr>
          <w:spacing w:val="-3"/>
        </w:rPr>
        <w:t>v</w:t>
      </w:r>
      <w:r>
        <w:t>ed f</w:t>
      </w:r>
      <w:r>
        <w:rPr>
          <w:spacing w:val="-3"/>
        </w:rPr>
        <w:t>r</w:t>
      </w:r>
      <w:r>
        <w:t>om the asse</w:t>
      </w:r>
      <w:r>
        <w:rPr>
          <w:spacing w:val="-1"/>
        </w:rPr>
        <w:t>t</w:t>
      </w:r>
      <w:r>
        <w:t>.</w:t>
      </w:r>
      <w:r>
        <w:rPr>
          <w:spacing w:val="46"/>
        </w:rPr>
        <w:t xml:space="preserve"> </w:t>
      </w:r>
      <w:r>
        <w:t xml:space="preserve">Surplus assets carried </w:t>
      </w:r>
      <w:r>
        <w:rPr>
          <w:spacing w:val="-1"/>
        </w:rPr>
        <w:t>a</w:t>
      </w:r>
      <w:r>
        <w:t xml:space="preserve">t fair </w:t>
      </w:r>
      <w:r>
        <w:rPr>
          <w:spacing w:val="-1"/>
        </w:rPr>
        <w:t>v</w:t>
      </w:r>
      <w:r>
        <w:t>alue h</w:t>
      </w:r>
      <w:r>
        <w:rPr>
          <w:spacing w:val="-2"/>
        </w:rPr>
        <w:t>a</w:t>
      </w:r>
      <w:r>
        <w:rPr>
          <w:spacing w:val="-3"/>
        </w:rPr>
        <w:t>v</w:t>
      </w:r>
      <w:r>
        <w:t>e no risk of</w:t>
      </w:r>
      <w:r>
        <w:rPr>
          <w:color w:val="000000"/>
        </w:rPr>
        <w:t xml:space="preserve"> </w:t>
      </w:r>
      <w:r>
        <w:t>m</w:t>
      </w:r>
      <w:r>
        <w:rPr>
          <w:spacing w:val="-1"/>
        </w:rPr>
        <w:t>a</w:t>
      </w:r>
      <w:r>
        <w:rPr>
          <w:spacing w:val="-2"/>
        </w:rPr>
        <w:t>t</w:t>
      </w:r>
      <w:r>
        <w:t>erial impairme</w:t>
      </w:r>
      <w:r>
        <w:rPr>
          <w:spacing w:val="-1"/>
        </w:rPr>
        <w:t>n</w:t>
      </w:r>
      <w:r>
        <w:t>t whe</w:t>
      </w:r>
      <w:r>
        <w:rPr>
          <w:spacing w:val="-3"/>
        </w:rPr>
        <w:t>r</w:t>
      </w:r>
      <w:r>
        <w:t xml:space="preserve">e fair </w:t>
      </w:r>
      <w:r>
        <w:rPr>
          <w:spacing w:val="-1"/>
        </w:rPr>
        <w:t>v</w:t>
      </w:r>
      <w:r>
        <w:t>alue is de</w:t>
      </w:r>
      <w:r>
        <w:rPr>
          <w:spacing w:val="-2"/>
        </w:rPr>
        <w:t>t</w:t>
      </w:r>
      <w:r>
        <w:t xml:space="preserve">ermined </w:t>
      </w:r>
      <w:r>
        <w:rPr>
          <w:spacing w:val="-2"/>
        </w:rPr>
        <w:t>b</w:t>
      </w:r>
      <w:r>
        <w:t xml:space="preserve">y </w:t>
      </w:r>
      <w:r>
        <w:rPr>
          <w:spacing w:val="-3"/>
        </w:rPr>
        <w:t>r</w:t>
      </w:r>
      <w:r>
        <w:t>e</w:t>
      </w:r>
      <w:r>
        <w:rPr>
          <w:spacing w:val="-3"/>
        </w:rPr>
        <w:t>f</w:t>
      </w:r>
      <w:r>
        <w:t>e</w:t>
      </w:r>
      <w:r>
        <w:rPr>
          <w:spacing w:val="-3"/>
        </w:rPr>
        <w:t>r</w:t>
      </w:r>
      <w:r>
        <w:t>en</w:t>
      </w:r>
      <w:r>
        <w:rPr>
          <w:spacing w:val="-2"/>
        </w:rPr>
        <w:t>c</w:t>
      </w:r>
      <w:r>
        <w:t xml:space="preserve">e </w:t>
      </w:r>
      <w:r>
        <w:rPr>
          <w:spacing w:val="-2"/>
        </w:rPr>
        <w:t>t</w:t>
      </w:r>
      <w:r>
        <w:t>o marke</w:t>
      </w:r>
      <w:r>
        <w:rPr>
          <w:spacing w:val="-2"/>
        </w:rPr>
        <w:t>t</w:t>
      </w:r>
      <w:r>
        <w:t>-based eviden</w:t>
      </w:r>
      <w:r>
        <w:rPr>
          <w:spacing w:val="-2"/>
        </w:rPr>
        <w:t>c</w:t>
      </w:r>
      <w:r>
        <w:rPr>
          <w:spacing w:val="-3"/>
        </w:rPr>
        <w:t>e</w:t>
      </w:r>
      <w:r>
        <w:t xml:space="preserve">. Surplus assets </w:t>
      </w:r>
      <w:r>
        <w:rPr>
          <w:spacing w:val="-1"/>
        </w:rPr>
        <w:t>a</w:t>
      </w:r>
      <w:r>
        <w:t xml:space="preserve">t </w:t>
      </w:r>
      <w:r>
        <w:rPr>
          <w:spacing w:val="-2"/>
        </w:rPr>
        <w:t>c</w:t>
      </w:r>
      <w:r>
        <w:t>ost a</w:t>
      </w:r>
      <w:r>
        <w:rPr>
          <w:spacing w:val="-3"/>
        </w:rPr>
        <w:t>r</w:t>
      </w:r>
      <w:r>
        <w:t xml:space="preserve">e </w:t>
      </w:r>
      <w:r>
        <w:rPr>
          <w:spacing w:val="-2"/>
        </w:rPr>
        <w:t>t</w:t>
      </w:r>
      <w:r>
        <w:t>es</w:t>
      </w:r>
      <w:r>
        <w:rPr>
          <w:spacing w:val="-2"/>
        </w:rPr>
        <w:t>t</w:t>
      </w:r>
      <w:r>
        <w:t xml:space="preserve">ed </w:t>
      </w:r>
      <w:r>
        <w:rPr>
          <w:spacing w:val="-3"/>
        </w:rPr>
        <w:t>f</w:t>
      </w:r>
      <w:r>
        <w:t>or indic</w:t>
      </w:r>
      <w:r>
        <w:rPr>
          <w:spacing w:val="-1"/>
        </w:rPr>
        <w:t>a</w:t>
      </w:r>
      <w:r>
        <w:t>tions of impairme</w:t>
      </w:r>
      <w:r>
        <w:rPr>
          <w:spacing w:val="-1"/>
        </w:rPr>
        <w:t>n</w:t>
      </w:r>
      <w:r>
        <w:t xml:space="preserve">t </w:t>
      </w:r>
      <w:r>
        <w:rPr>
          <w:spacing w:val="-1"/>
        </w:rPr>
        <w:t>a</w:t>
      </w:r>
      <w:r>
        <w:t xml:space="preserve">t the end of each </w:t>
      </w:r>
      <w:r>
        <w:rPr>
          <w:spacing w:val="-3"/>
        </w:rPr>
        <w:t>r</w:t>
      </w:r>
      <w:r>
        <w:t>epo</w:t>
      </w:r>
      <w:r>
        <w:rPr>
          <w:spacing w:val="5"/>
        </w:rPr>
        <w:t>r</w:t>
      </w:r>
      <w:r>
        <w:t>ting perio</w:t>
      </w:r>
      <w:r>
        <w:rPr>
          <w:spacing w:val="-3"/>
        </w:rPr>
        <w:t>d</w:t>
      </w:r>
      <w:r>
        <w:t>.</w:t>
      </w:r>
    </w:p>
    <w:p w14:paraId="4F1EC285" w14:textId="6F5FC084" w:rsidR="0021382E" w:rsidRPr="00DA1E18" w:rsidRDefault="0021382E" w:rsidP="0021382E">
      <w:pPr>
        <w:rPr>
          <w:rStyle w:val="Strong"/>
        </w:rPr>
      </w:pPr>
      <w:r w:rsidRPr="00DA1E18">
        <w:rPr>
          <w:rStyle w:val="Strong"/>
        </w:rPr>
        <w:t>(h) Leases</w:t>
      </w:r>
    </w:p>
    <w:p w14:paraId="67C0B68B" w14:textId="77777777" w:rsidR="0021382E" w:rsidRDefault="0021382E" w:rsidP="0021382E">
      <w:pPr>
        <w:rPr>
          <w:color w:val="000000"/>
        </w:rPr>
      </w:pPr>
      <w:r>
        <w:rPr>
          <w:spacing w:val="-2"/>
        </w:rPr>
        <w:t>T</w:t>
      </w:r>
      <w:r>
        <w:t>he</w:t>
      </w:r>
      <w:r>
        <w:rPr>
          <w:spacing w:val="-1"/>
        </w:rPr>
        <w:t xml:space="preserve"> </w:t>
      </w:r>
      <w:r>
        <w:rPr>
          <w:spacing w:val="-3"/>
        </w:rPr>
        <w:t>A</w:t>
      </w:r>
      <w:r>
        <w:t>uthori</w:t>
      </w:r>
      <w:r>
        <w:rPr>
          <w:spacing w:val="1"/>
        </w:rPr>
        <w:t>t</w:t>
      </w:r>
      <w:r>
        <w:t>y</w:t>
      </w:r>
      <w:r>
        <w:rPr>
          <w:spacing w:val="-1"/>
        </w:rPr>
        <w:t xml:space="preserve"> </w:t>
      </w:r>
      <w:r>
        <w:t>has not</w:t>
      </w:r>
      <w:r>
        <w:rPr>
          <w:spacing w:val="-1"/>
        </w:rPr>
        <w:t xml:space="preserve"> </w:t>
      </w:r>
      <w:r>
        <w:t>e</w:t>
      </w:r>
      <w:r>
        <w:rPr>
          <w:spacing w:val="-1"/>
        </w:rPr>
        <w:t>n</w:t>
      </w:r>
      <w:r>
        <w:rPr>
          <w:spacing w:val="-2"/>
        </w:rPr>
        <w:t>t</w:t>
      </w:r>
      <w:r>
        <w:t>e</w:t>
      </w:r>
      <w:r>
        <w:rPr>
          <w:spacing w:val="-3"/>
        </w:rPr>
        <w:t>r</w:t>
      </w:r>
      <w:r>
        <w:t>ed</w:t>
      </w:r>
      <w:r>
        <w:rPr>
          <w:spacing w:val="-1"/>
        </w:rPr>
        <w:t xml:space="preserve"> </w:t>
      </w:r>
      <w:r>
        <w:t>i</w:t>
      </w:r>
      <w:r>
        <w:rPr>
          <w:spacing w:val="-1"/>
        </w:rPr>
        <w:t>n</w:t>
      </w:r>
      <w:r>
        <w:rPr>
          <w:spacing w:val="-2"/>
        </w:rPr>
        <w:t>t</w:t>
      </w:r>
      <w:r>
        <w:t>o a</w:t>
      </w:r>
      <w:r>
        <w:rPr>
          <w:spacing w:val="-3"/>
        </w:rPr>
        <w:t>n</w:t>
      </w:r>
      <w:r>
        <w:t>y</w:t>
      </w:r>
      <w:r>
        <w:rPr>
          <w:spacing w:val="-1"/>
        </w:rPr>
        <w:t xml:space="preserve"> </w:t>
      </w:r>
      <w:r>
        <w:t>finan</w:t>
      </w:r>
      <w:r>
        <w:rPr>
          <w:spacing w:val="-2"/>
        </w:rPr>
        <w:t>c</w:t>
      </w:r>
      <w:r>
        <w:t>e lease</w:t>
      </w:r>
      <w:r>
        <w:rPr>
          <w:spacing w:val="-1"/>
        </w:rPr>
        <w:t xml:space="preserve"> </w:t>
      </w:r>
      <w:r>
        <w:t>ar</w:t>
      </w:r>
      <w:r>
        <w:rPr>
          <w:spacing w:val="-2"/>
        </w:rPr>
        <w:t>r</w:t>
      </w:r>
      <w:r>
        <w:t>angeme</w:t>
      </w:r>
      <w:r>
        <w:rPr>
          <w:spacing w:val="-1"/>
        </w:rPr>
        <w:t>n</w:t>
      </w:r>
      <w:r>
        <w:t>t</w:t>
      </w:r>
      <w:r>
        <w:rPr>
          <w:spacing w:val="-3"/>
        </w:rPr>
        <w:t>s</w:t>
      </w:r>
      <w:r>
        <w:t xml:space="preserve">. </w:t>
      </w:r>
      <w:r>
        <w:rPr>
          <w:spacing w:val="-2"/>
        </w:rPr>
        <w:t>T</w:t>
      </w:r>
      <w:r>
        <w:t xml:space="preserve">he </w:t>
      </w:r>
      <w:r>
        <w:rPr>
          <w:spacing w:val="-3"/>
        </w:rPr>
        <w:t>A</w:t>
      </w:r>
      <w:r>
        <w:t>uthori</w:t>
      </w:r>
      <w:r>
        <w:rPr>
          <w:spacing w:val="1"/>
        </w:rPr>
        <w:t>t</w:t>
      </w:r>
      <w:r>
        <w:t>y has not e</w:t>
      </w:r>
      <w:r>
        <w:rPr>
          <w:spacing w:val="-1"/>
        </w:rPr>
        <w:t>n</w:t>
      </w:r>
      <w:r>
        <w:rPr>
          <w:spacing w:val="-2"/>
        </w:rPr>
        <w:t>t</w:t>
      </w:r>
      <w:r>
        <w:t>e</w:t>
      </w:r>
      <w:r>
        <w:rPr>
          <w:spacing w:val="-3"/>
        </w:rPr>
        <w:t>r</w:t>
      </w:r>
      <w:r>
        <w:t>ed i</w:t>
      </w:r>
      <w:r>
        <w:rPr>
          <w:spacing w:val="-1"/>
        </w:rPr>
        <w:t>n</w:t>
      </w:r>
      <w:r>
        <w:rPr>
          <w:spacing w:val="-2"/>
        </w:rPr>
        <w:t>t</w:t>
      </w:r>
      <w:r>
        <w:t>o a</w:t>
      </w:r>
      <w:r>
        <w:rPr>
          <w:spacing w:val="-3"/>
        </w:rPr>
        <w:t>n</w:t>
      </w:r>
      <w:r>
        <w:t>y ope</w:t>
      </w:r>
      <w:r>
        <w:rPr>
          <w:spacing w:val="-2"/>
        </w:rPr>
        <w:t>r</w:t>
      </w:r>
      <w:r>
        <w:rPr>
          <w:spacing w:val="-1"/>
        </w:rPr>
        <w:t>a</w:t>
      </w:r>
      <w:r>
        <w:t>ting lease ar</w:t>
      </w:r>
      <w:r>
        <w:rPr>
          <w:spacing w:val="-2"/>
        </w:rPr>
        <w:t>r</w:t>
      </w:r>
      <w:r>
        <w:t>angeme</w:t>
      </w:r>
      <w:r>
        <w:rPr>
          <w:spacing w:val="-1"/>
        </w:rPr>
        <w:t>n</w:t>
      </w:r>
      <w:r>
        <w:t>t</w:t>
      </w:r>
      <w:r>
        <w:rPr>
          <w:spacing w:val="-3"/>
        </w:rPr>
        <w:t>s</w:t>
      </w:r>
      <w:r>
        <w:t>.</w:t>
      </w:r>
    </w:p>
    <w:p w14:paraId="6727E5A9" w14:textId="3DB68792" w:rsidR="0021382E" w:rsidRPr="00DA1E18" w:rsidRDefault="0021382E" w:rsidP="0021382E">
      <w:pPr>
        <w:rPr>
          <w:rStyle w:val="Strong"/>
        </w:rPr>
      </w:pPr>
      <w:r w:rsidRPr="00DA1E18">
        <w:rPr>
          <w:rStyle w:val="Strong"/>
        </w:rPr>
        <w:t>(i) Financial instruments</w:t>
      </w:r>
    </w:p>
    <w:p w14:paraId="3F3B4DD1" w14:textId="1E7BD22B" w:rsidR="0021382E" w:rsidRPr="0021382E" w:rsidRDefault="0021382E" w:rsidP="0021382E">
      <w:pPr>
        <w:rPr>
          <w:color w:val="000000"/>
        </w:rPr>
      </w:pPr>
      <w:r>
        <w:rPr>
          <w:spacing w:val="2"/>
        </w:rPr>
        <w:t>I</w:t>
      </w:r>
      <w:r>
        <w:t>n</w:t>
      </w:r>
      <w:r>
        <w:rPr>
          <w:spacing w:val="-1"/>
        </w:rPr>
        <w:t xml:space="preserve"> </w:t>
      </w:r>
      <w:r>
        <w:t>addition</w:t>
      </w:r>
      <w:r>
        <w:rPr>
          <w:spacing w:val="-1"/>
        </w:rPr>
        <w:t xml:space="preserve"> </w:t>
      </w:r>
      <w:r>
        <w:rPr>
          <w:spacing w:val="-2"/>
        </w:rPr>
        <w:t>t</w:t>
      </w:r>
      <w:r>
        <w:t>o</w:t>
      </w:r>
      <w:r>
        <w:rPr>
          <w:spacing w:val="-1"/>
        </w:rPr>
        <w:t xml:space="preserve"> </w:t>
      </w:r>
      <w:r>
        <w:t>cash, the</w:t>
      </w:r>
      <w:r>
        <w:rPr>
          <w:spacing w:val="-1"/>
        </w:rPr>
        <w:t xml:space="preserve"> </w:t>
      </w:r>
      <w:r>
        <w:rPr>
          <w:spacing w:val="-3"/>
        </w:rPr>
        <w:t>A</w:t>
      </w:r>
      <w:r>
        <w:t>uthori</w:t>
      </w:r>
      <w:r>
        <w:rPr>
          <w:spacing w:val="1"/>
        </w:rPr>
        <w:t>t</w:t>
      </w:r>
      <w:r>
        <w:t>y</w:t>
      </w:r>
      <w:r>
        <w:rPr>
          <w:spacing w:val="-1"/>
        </w:rPr>
        <w:t xml:space="preserve"> </w:t>
      </w:r>
      <w:r>
        <w:t>has th</w:t>
      </w:r>
      <w:r>
        <w:rPr>
          <w:spacing w:val="-3"/>
        </w:rPr>
        <w:t>r</w:t>
      </w:r>
      <w:r>
        <w:t>ee</w:t>
      </w:r>
      <w:r>
        <w:rPr>
          <w:spacing w:val="-1"/>
        </w:rPr>
        <w:t xml:space="preserve"> </w:t>
      </w:r>
      <w:r>
        <w:t>c</w:t>
      </w:r>
      <w:r>
        <w:rPr>
          <w:spacing w:val="-1"/>
        </w:rPr>
        <w:t>a</w:t>
      </w:r>
      <w:r>
        <w:rPr>
          <w:spacing w:val="-2"/>
        </w:rPr>
        <w:t>t</w:t>
      </w:r>
      <w:r>
        <w:t>egories</w:t>
      </w:r>
      <w:r>
        <w:rPr>
          <w:spacing w:val="-1"/>
        </w:rPr>
        <w:t xml:space="preserve"> </w:t>
      </w:r>
      <w:r>
        <w:t>of</w:t>
      </w:r>
      <w:r>
        <w:rPr>
          <w:spacing w:val="-1"/>
        </w:rPr>
        <w:t xml:space="preserve"> </w:t>
      </w:r>
      <w:r>
        <w:t>financial instrume</w:t>
      </w:r>
      <w:r>
        <w:rPr>
          <w:spacing w:val="-1"/>
        </w:rPr>
        <w:t>n</w:t>
      </w:r>
      <w:r>
        <w:t>t:</w:t>
      </w:r>
    </w:p>
    <w:p w14:paraId="6125212B" w14:textId="77777777" w:rsidR="0021382E" w:rsidRDefault="0021382E" w:rsidP="0021382E">
      <w:pPr>
        <w:pStyle w:val="BulletListLevel1"/>
        <w:rPr>
          <w:color w:val="000000"/>
        </w:rPr>
      </w:pPr>
      <w:r>
        <w:rPr>
          <w:spacing w:val="-4"/>
        </w:rPr>
        <w:t>L</w:t>
      </w:r>
      <w:r>
        <w:t xml:space="preserve">oans and </w:t>
      </w:r>
      <w:r>
        <w:rPr>
          <w:spacing w:val="-3"/>
        </w:rPr>
        <w:t>r</w:t>
      </w:r>
      <w:r>
        <w:t>e</w:t>
      </w:r>
      <w:r>
        <w:rPr>
          <w:spacing w:val="-2"/>
        </w:rPr>
        <w:t>c</w:t>
      </w:r>
      <w:r>
        <w:t>ei</w:t>
      </w:r>
      <w:r>
        <w:rPr>
          <w:spacing w:val="-1"/>
        </w:rPr>
        <w:t>v</w:t>
      </w:r>
      <w:r>
        <w:t>ables;</w:t>
      </w:r>
    </w:p>
    <w:p w14:paraId="68764B15" w14:textId="77777777" w:rsidR="0021382E" w:rsidRDefault="0021382E" w:rsidP="0021382E">
      <w:pPr>
        <w:pStyle w:val="BulletListLevel1"/>
        <w:rPr>
          <w:color w:val="000000"/>
        </w:rPr>
      </w:pPr>
      <w:r>
        <w:t>Held-</w:t>
      </w:r>
      <w:r>
        <w:rPr>
          <w:spacing w:val="-2"/>
        </w:rPr>
        <w:t>t</w:t>
      </w:r>
      <w:r>
        <w:rPr>
          <w:spacing w:val="3"/>
        </w:rPr>
        <w:t>o</w:t>
      </w:r>
      <w:r>
        <w:t>-m</w:t>
      </w:r>
      <w:r>
        <w:rPr>
          <w:spacing w:val="-1"/>
        </w:rPr>
        <w:t>a</w:t>
      </w:r>
      <w:r>
        <w:t>turi</w:t>
      </w:r>
      <w:r>
        <w:rPr>
          <w:spacing w:val="2"/>
        </w:rPr>
        <w:t>t</w:t>
      </w:r>
      <w:r>
        <w:t>y i</w:t>
      </w:r>
      <w:r>
        <w:rPr>
          <w:spacing w:val="-3"/>
        </w:rPr>
        <w:t>nv</w:t>
      </w:r>
      <w:r>
        <w:t>estme</w:t>
      </w:r>
      <w:r>
        <w:rPr>
          <w:spacing w:val="-1"/>
        </w:rPr>
        <w:t>n</w:t>
      </w:r>
      <w:r>
        <w:t>ts (</w:t>
      </w:r>
      <w:r>
        <w:rPr>
          <w:spacing w:val="-2"/>
        </w:rPr>
        <w:t>t</w:t>
      </w:r>
      <w:r>
        <w:t>erm deposits); and</w:t>
      </w:r>
    </w:p>
    <w:p w14:paraId="1FDD09B3" w14:textId="29E0448D" w:rsidR="0021382E" w:rsidRPr="0021382E" w:rsidRDefault="0021382E" w:rsidP="0021382E">
      <w:pPr>
        <w:pStyle w:val="BulletListLevel1"/>
        <w:rPr>
          <w:color w:val="000000"/>
        </w:rPr>
      </w:pPr>
      <w:r>
        <w:rPr>
          <w:spacing w:val="-6"/>
        </w:rPr>
        <w:t>F</w:t>
      </w:r>
      <w:r>
        <w:t>inancial liabilities measu</w:t>
      </w:r>
      <w:r>
        <w:rPr>
          <w:spacing w:val="-3"/>
        </w:rPr>
        <w:t>r</w:t>
      </w:r>
      <w:r>
        <w:t xml:space="preserve">ed </w:t>
      </w:r>
      <w:r>
        <w:rPr>
          <w:spacing w:val="-1"/>
        </w:rPr>
        <w:t>a</w:t>
      </w:r>
      <w:r>
        <w:t>t amo</w:t>
      </w:r>
      <w:r>
        <w:rPr>
          <w:spacing w:val="5"/>
        </w:rPr>
        <w:t>r</w:t>
      </w:r>
      <w:r>
        <w:t xml:space="preserve">tised </w:t>
      </w:r>
      <w:r>
        <w:rPr>
          <w:spacing w:val="-2"/>
        </w:rPr>
        <w:t>c</w:t>
      </w:r>
      <w:r>
        <w:t>os</w:t>
      </w:r>
      <w:r>
        <w:rPr>
          <w:spacing w:val="-1"/>
        </w:rPr>
        <w:t>t</w:t>
      </w:r>
      <w:r>
        <w:t>.</w:t>
      </w:r>
    </w:p>
    <w:p w14:paraId="41CA62F3" w14:textId="1BB29F54" w:rsidR="0021382E" w:rsidRPr="0021382E" w:rsidRDefault="0021382E" w:rsidP="0021382E">
      <w:pPr>
        <w:rPr>
          <w:color w:val="000000"/>
        </w:rPr>
      </w:pPr>
      <w:r>
        <w:rPr>
          <w:spacing w:val="-2"/>
        </w:rPr>
        <w:t>T</w:t>
      </w:r>
      <w:r>
        <w:t>hese</w:t>
      </w:r>
      <w:r>
        <w:rPr>
          <w:spacing w:val="-1"/>
        </w:rPr>
        <w:t xml:space="preserve"> </w:t>
      </w:r>
      <w:r>
        <w:t>financial</w:t>
      </w:r>
      <w:r>
        <w:rPr>
          <w:spacing w:val="-1"/>
        </w:rPr>
        <w:t xml:space="preserve"> </w:t>
      </w:r>
      <w:r>
        <w:t>instrume</w:t>
      </w:r>
      <w:r>
        <w:rPr>
          <w:spacing w:val="-1"/>
        </w:rPr>
        <w:t>n</w:t>
      </w:r>
      <w:r>
        <w:t>ts</w:t>
      </w:r>
      <w:r>
        <w:rPr>
          <w:spacing w:val="-1"/>
        </w:rPr>
        <w:t xml:space="preserve"> </w:t>
      </w:r>
      <w:r>
        <w:t>h</w:t>
      </w:r>
      <w:r>
        <w:rPr>
          <w:spacing w:val="-2"/>
        </w:rPr>
        <w:t>a</w:t>
      </w:r>
      <w:r>
        <w:rPr>
          <w:spacing w:val="-3"/>
        </w:rPr>
        <w:t>v</w:t>
      </w:r>
      <w:r>
        <w:t>e</w:t>
      </w:r>
      <w:r>
        <w:rPr>
          <w:spacing w:val="-1"/>
        </w:rPr>
        <w:t xml:space="preserve"> </w:t>
      </w:r>
      <w:r>
        <w:t>been</w:t>
      </w:r>
      <w:r>
        <w:rPr>
          <w:spacing w:val="-1"/>
        </w:rPr>
        <w:t xml:space="preserve"> </w:t>
      </w:r>
      <w:r>
        <w:t>disag</w:t>
      </w:r>
      <w:r>
        <w:rPr>
          <w:spacing w:val="-2"/>
        </w:rPr>
        <w:t>g</w:t>
      </w:r>
      <w:r>
        <w:rPr>
          <w:spacing w:val="-3"/>
        </w:rPr>
        <w:t>r</w:t>
      </w:r>
      <w:r>
        <w:t>eg</w:t>
      </w:r>
      <w:r>
        <w:rPr>
          <w:spacing w:val="-1"/>
        </w:rPr>
        <w:t>a</w:t>
      </w:r>
      <w:r>
        <w:rPr>
          <w:spacing w:val="-2"/>
        </w:rPr>
        <w:t>t</w:t>
      </w:r>
      <w:r>
        <w:t>ed</w:t>
      </w:r>
      <w:r>
        <w:rPr>
          <w:spacing w:val="-1"/>
        </w:rPr>
        <w:t xml:space="preserve"> </w:t>
      </w:r>
      <w:r>
        <w:t>in the</w:t>
      </w:r>
      <w:r>
        <w:rPr>
          <w:spacing w:val="-1"/>
        </w:rPr>
        <w:t xml:space="preserve"> </w:t>
      </w:r>
      <w:r>
        <w:rPr>
          <w:spacing w:val="-3"/>
        </w:rPr>
        <w:t>f</w:t>
      </w:r>
      <w:r>
        <w:t>oll</w:t>
      </w:r>
      <w:r>
        <w:rPr>
          <w:spacing w:val="-2"/>
        </w:rPr>
        <w:t>o</w:t>
      </w:r>
      <w:r>
        <w:t>wing</w:t>
      </w:r>
      <w:r>
        <w:rPr>
          <w:spacing w:val="-1"/>
        </w:rPr>
        <w:t xml:space="preserve"> </w:t>
      </w:r>
      <w:r>
        <w:t>classes:</w:t>
      </w:r>
    </w:p>
    <w:p w14:paraId="0C42D7FA" w14:textId="77777777" w:rsidR="0021382E" w:rsidRPr="00DA1E18" w:rsidRDefault="0021382E" w:rsidP="0021382E">
      <w:pPr>
        <w:rPr>
          <w:rStyle w:val="Strong"/>
          <w:i/>
        </w:rPr>
      </w:pPr>
      <w:r w:rsidRPr="00DA1E18">
        <w:rPr>
          <w:rStyle w:val="Strong"/>
          <w:i/>
        </w:rPr>
        <w:t>Financial Assets</w:t>
      </w:r>
    </w:p>
    <w:p w14:paraId="7B64412C" w14:textId="77777777" w:rsidR="0021382E" w:rsidRDefault="0021382E" w:rsidP="0021382E">
      <w:pPr>
        <w:pStyle w:val="BulletListLevel1"/>
        <w:rPr>
          <w:color w:val="000000"/>
        </w:rPr>
      </w:pPr>
      <w:r>
        <w:rPr>
          <w:spacing w:val="-2"/>
        </w:rPr>
        <w:t>C</w:t>
      </w:r>
      <w:r>
        <w:t>ash and cash equi</w:t>
      </w:r>
      <w:r>
        <w:rPr>
          <w:spacing w:val="-1"/>
        </w:rPr>
        <w:t>v</w:t>
      </w:r>
      <w:r>
        <w:t>ale</w:t>
      </w:r>
      <w:r>
        <w:rPr>
          <w:spacing w:val="-1"/>
        </w:rPr>
        <w:t>n</w:t>
      </w:r>
      <w:r>
        <w:t>ts</w:t>
      </w:r>
    </w:p>
    <w:p w14:paraId="50252D65" w14:textId="77777777" w:rsidR="0021382E" w:rsidRDefault="0021382E" w:rsidP="0021382E">
      <w:pPr>
        <w:pStyle w:val="BulletListLevel1"/>
        <w:rPr>
          <w:color w:val="000000"/>
        </w:rPr>
      </w:pPr>
      <w:r>
        <w:t>Restri</w:t>
      </w:r>
      <w:r>
        <w:rPr>
          <w:spacing w:val="2"/>
        </w:rPr>
        <w:t>c</w:t>
      </w:r>
      <w:r>
        <w:rPr>
          <w:spacing w:val="-2"/>
        </w:rPr>
        <w:t>t</w:t>
      </w:r>
      <w:r>
        <w:t>ed cash and cash equi</w:t>
      </w:r>
      <w:r>
        <w:rPr>
          <w:spacing w:val="-1"/>
        </w:rPr>
        <w:t>v</w:t>
      </w:r>
      <w:r>
        <w:t>ale</w:t>
      </w:r>
      <w:r>
        <w:rPr>
          <w:spacing w:val="-1"/>
        </w:rPr>
        <w:t>n</w:t>
      </w:r>
      <w:r>
        <w:t>ts</w:t>
      </w:r>
    </w:p>
    <w:p w14:paraId="3D4B51A2" w14:textId="77777777" w:rsidR="0021382E" w:rsidRDefault="0021382E" w:rsidP="0021382E">
      <w:pPr>
        <w:pStyle w:val="BulletListLevel1"/>
        <w:rPr>
          <w:color w:val="000000"/>
        </w:rPr>
      </w:pPr>
      <w:r>
        <w:t>Re</w:t>
      </w:r>
      <w:r>
        <w:rPr>
          <w:spacing w:val="-2"/>
        </w:rPr>
        <w:t>c</w:t>
      </w:r>
      <w:r>
        <w:t>ei</w:t>
      </w:r>
      <w:r>
        <w:rPr>
          <w:spacing w:val="-1"/>
        </w:rPr>
        <w:t>v</w:t>
      </w:r>
      <w:r>
        <w:t>ables</w:t>
      </w:r>
    </w:p>
    <w:p w14:paraId="0D879ACE" w14:textId="77777777" w:rsidR="0021382E" w:rsidRDefault="0021382E" w:rsidP="0021382E">
      <w:pPr>
        <w:pStyle w:val="BulletListLevel1"/>
        <w:rPr>
          <w:color w:val="000000"/>
        </w:rPr>
      </w:pPr>
      <w:r>
        <w:rPr>
          <w:spacing w:val="-16"/>
        </w:rPr>
        <w:t>T</w:t>
      </w:r>
      <w:r>
        <w:t>erm deposits</w:t>
      </w:r>
    </w:p>
    <w:p w14:paraId="170FDCB7" w14:textId="77777777" w:rsidR="0021382E" w:rsidRPr="00DA1E18" w:rsidRDefault="0021382E" w:rsidP="0021382E">
      <w:pPr>
        <w:rPr>
          <w:rStyle w:val="Strong"/>
          <w:i/>
        </w:rPr>
      </w:pPr>
      <w:r w:rsidRPr="00DA1E18">
        <w:rPr>
          <w:rStyle w:val="Strong"/>
          <w:i/>
        </w:rPr>
        <w:t>Financial Liabilities</w:t>
      </w:r>
    </w:p>
    <w:p w14:paraId="56931B8A" w14:textId="77777777" w:rsidR="0021382E" w:rsidRDefault="0021382E" w:rsidP="0021382E">
      <w:pPr>
        <w:pStyle w:val="BulletListLevel1"/>
        <w:rPr>
          <w:color w:val="000000"/>
        </w:rPr>
      </w:pPr>
      <w:r>
        <w:rPr>
          <w:spacing w:val="-6"/>
        </w:rPr>
        <w:lastRenderedPageBreak/>
        <w:t>P</w:t>
      </w:r>
      <w:r>
        <w:rPr>
          <w:spacing w:val="-2"/>
        </w:rPr>
        <w:t>a</w:t>
      </w:r>
      <w:r>
        <w:rPr>
          <w:spacing w:val="-1"/>
        </w:rPr>
        <w:t>y</w:t>
      </w:r>
      <w:r>
        <w:t>ables</w:t>
      </w:r>
    </w:p>
    <w:p w14:paraId="64946CC6" w14:textId="77777777" w:rsidR="0021382E" w:rsidRDefault="0021382E" w:rsidP="0021382E">
      <w:pPr>
        <w:kinsoku w:val="0"/>
        <w:overflowPunct w:val="0"/>
        <w:spacing w:before="10" w:line="220" w:lineRule="exact"/>
        <w:rPr>
          <w:sz w:val="22"/>
          <w:szCs w:val="22"/>
        </w:rPr>
      </w:pPr>
    </w:p>
    <w:p w14:paraId="2D1DDA7F" w14:textId="77777777" w:rsidR="0021382E" w:rsidRDefault="0021382E" w:rsidP="0021382E">
      <w:r>
        <w:rPr>
          <w:spacing w:val="2"/>
        </w:rPr>
        <w:t>I</w:t>
      </w:r>
      <w:r>
        <w:t>nitial</w:t>
      </w:r>
      <w:r>
        <w:rPr>
          <w:spacing w:val="-1"/>
        </w:rPr>
        <w:t xml:space="preserve"> </w:t>
      </w:r>
      <w:r>
        <w:rPr>
          <w:spacing w:val="-3"/>
        </w:rPr>
        <w:t>r</w:t>
      </w:r>
      <w:r>
        <w:t>e</w:t>
      </w:r>
      <w:r>
        <w:rPr>
          <w:spacing w:val="-2"/>
        </w:rPr>
        <w:t>c</w:t>
      </w:r>
      <w:r>
        <w:t>o</w:t>
      </w:r>
      <w:r>
        <w:rPr>
          <w:spacing w:val="-2"/>
        </w:rPr>
        <w:t>g</w:t>
      </w:r>
      <w:r>
        <w:t>nition</w:t>
      </w:r>
      <w:r>
        <w:rPr>
          <w:spacing w:val="-1"/>
        </w:rPr>
        <w:t xml:space="preserve"> </w:t>
      </w:r>
      <w:r>
        <w:t>and</w:t>
      </w:r>
      <w:r>
        <w:rPr>
          <w:spacing w:val="-1"/>
        </w:rPr>
        <w:t xml:space="preserve"> </w:t>
      </w:r>
      <w:r>
        <w:t>measu</w:t>
      </w:r>
      <w:r>
        <w:rPr>
          <w:spacing w:val="-3"/>
        </w:rPr>
        <w:t>r</w:t>
      </w:r>
      <w:r>
        <w:t>eme</w:t>
      </w:r>
      <w:r>
        <w:rPr>
          <w:spacing w:val="-1"/>
        </w:rPr>
        <w:t>n</w:t>
      </w:r>
      <w:r>
        <w:t>t</w:t>
      </w:r>
      <w:r>
        <w:rPr>
          <w:spacing w:val="-1"/>
        </w:rPr>
        <w:t xml:space="preserve"> </w:t>
      </w:r>
      <w:r>
        <w:t>of financial</w:t>
      </w:r>
      <w:r>
        <w:rPr>
          <w:spacing w:val="-1"/>
        </w:rPr>
        <w:t xml:space="preserve"> </w:t>
      </w:r>
      <w:r>
        <w:t>instrume</w:t>
      </w:r>
      <w:r>
        <w:rPr>
          <w:spacing w:val="-1"/>
        </w:rPr>
        <w:t>n</w:t>
      </w:r>
      <w:r>
        <w:t>ts</w:t>
      </w:r>
      <w:r>
        <w:rPr>
          <w:spacing w:val="-1"/>
        </w:rPr>
        <w:t xml:space="preserve"> </w:t>
      </w:r>
      <w:r>
        <w:t>is</w:t>
      </w:r>
      <w:r>
        <w:rPr>
          <w:spacing w:val="-1"/>
        </w:rPr>
        <w:t xml:space="preserve"> a</w:t>
      </w:r>
      <w:r>
        <w:t>t fair</w:t>
      </w:r>
      <w:r>
        <w:rPr>
          <w:spacing w:val="-1"/>
        </w:rPr>
        <w:t xml:space="preserve"> v</w:t>
      </w:r>
      <w:r>
        <w:t>alue which normally equ</w:t>
      </w:r>
      <w:r>
        <w:rPr>
          <w:spacing w:val="-1"/>
        </w:rPr>
        <w:t>a</w:t>
      </w:r>
      <w:r>
        <w:rPr>
          <w:spacing w:val="-2"/>
        </w:rPr>
        <w:t>t</w:t>
      </w:r>
      <w:r>
        <w:t xml:space="preserve">es </w:t>
      </w:r>
      <w:r>
        <w:rPr>
          <w:spacing w:val="-2"/>
        </w:rPr>
        <w:t>t</w:t>
      </w:r>
      <w:r>
        <w:t>o the t</w:t>
      </w:r>
      <w:r>
        <w:rPr>
          <w:spacing w:val="-2"/>
        </w:rPr>
        <w:t>r</w:t>
      </w:r>
      <w:r>
        <w:t>ansa</w:t>
      </w:r>
      <w:r>
        <w:rPr>
          <w:spacing w:val="2"/>
        </w:rPr>
        <w:t>c</w:t>
      </w:r>
      <w:r>
        <w:t xml:space="preserve">tion </w:t>
      </w:r>
      <w:r>
        <w:rPr>
          <w:spacing w:val="-2"/>
        </w:rPr>
        <w:t>c</w:t>
      </w:r>
      <w:r>
        <w:t>ost or the fa</w:t>
      </w:r>
      <w:r>
        <w:rPr>
          <w:spacing w:val="-2"/>
        </w:rPr>
        <w:t>c</w:t>
      </w:r>
      <w:r>
        <w:t xml:space="preserve">e </w:t>
      </w:r>
      <w:r>
        <w:rPr>
          <w:spacing w:val="-1"/>
        </w:rPr>
        <w:t>v</w:t>
      </w:r>
      <w:r>
        <w:t>alu</w:t>
      </w:r>
      <w:r>
        <w:rPr>
          <w:spacing w:val="-3"/>
        </w:rPr>
        <w:t>e</w:t>
      </w:r>
      <w:r>
        <w:t>. Subseque</w:t>
      </w:r>
      <w:r>
        <w:rPr>
          <w:spacing w:val="-1"/>
        </w:rPr>
        <w:t>n</w:t>
      </w:r>
      <w:r>
        <w:t>t measu</w:t>
      </w:r>
      <w:r>
        <w:rPr>
          <w:spacing w:val="-3"/>
        </w:rPr>
        <w:t>r</w:t>
      </w:r>
      <w:r>
        <w:t>eme</w:t>
      </w:r>
      <w:r>
        <w:rPr>
          <w:spacing w:val="-1"/>
        </w:rPr>
        <w:t>n</w:t>
      </w:r>
      <w:r>
        <w:t>t</w:t>
      </w:r>
      <w:r>
        <w:rPr>
          <w:spacing w:val="-1"/>
        </w:rPr>
        <w:t xml:space="preserve"> </w:t>
      </w:r>
      <w:r>
        <w:t xml:space="preserve">is </w:t>
      </w:r>
      <w:r>
        <w:rPr>
          <w:spacing w:val="-1"/>
        </w:rPr>
        <w:t>a</w:t>
      </w:r>
      <w:r>
        <w:t>t amo</w:t>
      </w:r>
      <w:r>
        <w:rPr>
          <w:spacing w:val="5"/>
        </w:rPr>
        <w:t>r</w:t>
      </w:r>
      <w:r>
        <w:t>tised</w:t>
      </w:r>
      <w:r>
        <w:rPr>
          <w:spacing w:val="-1"/>
        </w:rPr>
        <w:t xml:space="preserve"> </w:t>
      </w:r>
      <w:r>
        <w:rPr>
          <w:spacing w:val="-2"/>
        </w:rPr>
        <w:t>c</w:t>
      </w:r>
      <w:r>
        <w:t>ost using the ef</w:t>
      </w:r>
      <w:r>
        <w:rPr>
          <w:spacing w:val="-3"/>
        </w:rPr>
        <w:t>f</w:t>
      </w:r>
      <w:r>
        <w:t>e</w:t>
      </w:r>
      <w:r>
        <w:rPr>
          <w:spacing w:val="2"/>
        </w:rPr>
        <w:t>c</w:t>
      </w:r>
      <w:r>
        <w:t>ti</w:t>
      </w:r>
      <w:r>
        <w:rPr>
          <w:spacing w:val="-3"/>
        </w:rPr>
        <w:t>v</w:t>
      </w:r>
      <w:r>
        <w:t>e</w:t>
      </w:r>
      <w:r>
        <w:rPr>
          <w:spacing w:val="-1"/>
        </w:rPr>
        <w:t xml:space="preserve"> </w:t>
      </w:r>
      <w:r>
        <w:t>i</w:t>
      </w:r>
      <w:r>
        <w:rPr>
          <w:spacing w:val="-1"/>
        </w:rPr>
        <w:t>n</w:t>
      </w:r>
      <w:r>
        <w:rPr>
          <w:spacing w:val="-2"/>
        </w:rPr>
        <w:t>t</w:t>
      </w:r>
      <w:r>
        <w:t>e</w:t>
      </w:r>
      <w:r>
        <w:rPr>
          <w:spacing w:val="-3"/>
        </w:rPr>
        <w:t>r</w:t>
      </w:r>
      <w:r>
        <w:t>est metho</w:t>
      </w:r>
      <w:r>
        <w:rPr>
          <w:spacing w:val="-3"/>
        </w:rPr>
        <w:t>d</w:t>
      </w:r>
      <w:r>
        <w:t>.</w:t>
      </w:r>
    </w:p>
    <w:p w14:paraId="02C67CEF" w14:textId="57A33BC9" w:rsidR="0021382E" w:rsidRPr="0021382E" w:rsidRDefault="0021382E" w:rsidP="0021382E">
      <w:pPr>
        <w:rPr>
          <w:color w:val="000000"/>
        </w:rPr>
      </w:pPr>
      <w:r>
        <w:rPr>
          <w:spacing w:val="-2"/>
        </w:rPr>
        <w:t>T</w:t>
      </w:r>
      <w:r>
        <w:t xml:space="preserve">he fair </w:t>
      </w:r>
      <w:r>
        <w:rPr>
          <w:spacing w:val="-1"/>
        </w:rPr>
        <w:t>v</w:t>
      </w:r>
      <w:r>
        <w:t>alue of sho</w:t>
      </w:r>
      <w:r>
        <w:rPr>
          <w:spacing w:val="5"/>
        </w:rPr>
        <w:t>r</w:t>
      </w:r>
      <w:r>
        <w:rPr>
          <w:spacing w:val="-2"/>
        </w:rPr>
        <w:t>t</w:t>
      </w:r>
      <w:r>
        <w:t>-</w:t>
      </w:r>
      <w:r>
        <w:rPr>
          <w:spacing w:val="-2"/>
        </w:rPr>
        <w:t>t</w:t>
      </w:r>
      <w:r>
        <w:t xml:space="preserve">erm </w:t>
      </w:r>
      <w:r>
        <w:rPr>
          <w:spacing w:val="-3"/>
        </w:rPr>
        <w:t>r</w:t>
      </w:r>
      <w:r>
        <w:t>e</w:t>
      </w:r>
      <w:r>
        <w:rPr>
          <w:spacing w:val="-2"/>
        </w:rPr>
        <w:t>c</w:t>
      </w:r>
      <w:r>
        <w:t>ei</w:t>
      </w:r>
      <w:r>
        <w:rPr>
          <w:spacing w:val="-1"/>
        </w:rPr>
        <w:t>v</w:t>
      </w:r>
      <w:r>
        <w:t>ables and p</w:t>
      </w:r>
      <w:r>
        <w:rPr>
          <w:spacing w:val="-2"/>
        </w:rPr>
        <w:t>a</w:t>
      </w:r>
      <w:r>
        <w:rPr>
          <w:spacing w:val="-1"/>
        </w:rPr>
        <w:t>y</w:t>
      </w:r>
      <w:r>
        <w:t>ables is the t</w:t>
      </w:r>
      <w:r>
        <w:rPr>
          <w:spacing w:val="-2"/>
        </w:rPr>
        <w:t>r</w:t>
      </w:r>
      <w:r>
        <w:t>ansa</w:t>
      </w:r>
      <w:r>
        <w:rPr>
          <w:spacing w:val="2"/>
        </w:rPr>
        <w:t>c</w:t>
      </w:r>
      <w:r>
        <w:t xml:space="preserve">tion </w:t>
      </w:r>
      <w:r>
        <w:rPr>
          <w:spacing w:val="-2"/>
        </w:rPr>
        <w:t>c</w:t>
      </w:r>
      <w:r>
        <w:t>ost or the fa</w:t>
      </w:r>
      <w:r>
        <w:rPr>
          <w:spacing w:val="-2"/>
        </w:rPr>
        <w:t>c</w:t>
      </w:r>
      <w:r>
        <w:t xml:space="preserve">e </w:t>
      </w:r>
      <w:r>
        <w:rPr>
          <w:spacing w:val="-1"/>
        </w:rPr>
        <w:t>v</w:t>
      </w:r>
      <w:r>
        <w:t>alue because the</w:t>
      </w:r>
      <w:r>
        <w:rPr>
          <w:spacing w:val="-3"/>
        </w:rPr>
        <w:t>r</w:t>
      </w:r>
      <w:r>
        <w:t>e is no i</w:t>
      </w:r>
      <w:r>
        <w:rPr>
          <w:spacing w:val="-1"/>
        </w:rPr>
        <w:t>n</w:t>
      </w:r>
      <w:r>
        <w:rPr>
          <w:spacing w:val="-2"/>
        </w:rPr>
        <w:t>t</w:t>
      </w:r>
      <w:r>
        <w:t>e</w:t>
      </w:r>
      <w:r>
        <w:rPr>
          <w:spacing w:val="-3"/>
        </w:rPr>
        <w:t>r</w:t>
      </w:r>
      <w:r>
        <w:t xml:space="preserve">est </w:t>
      </w:r>
      <w:r>
        <w:rPr>
          <w:spacing w:val="-2"/>
        </w:rPr>
        <w:t>r</w:t>
      </w:r>
      <w:r>
        <w:rPr>
          <w:spacing w:val="-1"/>
        </w:rPr>
        <w:t>a</w:t>
      </w:r>
      <w:r>
        <w:rPr>
          <w:spacing w:val="-2"/>
        </w:rPr>
        <w:t>t</w:t>
      </w:r>
      <w:r>
        <w:t>e applicable and subseque</w:t>
      </w:r>
      <w:r>
        <w:rPr>
          <w:spacing w:val="-1"/>
        </w:rPr>
        <w:t>n</w:t>
      </w:r>
      <w:r>
        <w:t>t measu</w:t>
      </w:r>
      <w:r>
        <w:rPr>
          <w:spacing w:val="-3"/>
        </w:rPr>
        <w:t>r</w:t>
      </w:r>
      <w:r>
        <w:t>eme</w:t>
      </w:r>
      <w:r>
        <w:rPr>
          <w:spacing w:val="-1"/>
        </w:rPr>
        <w:t>n</w:t>
      </w:r>
      <w:r>
        <w:t>t</w:t>
      </w:r>
      <w:r>
        <w:rPr>
          <w:spacing w:val="-1"/>
        </w:rPr>
        <w:t xml:space="preserve"> </w:t>
      </w:r>
      <w:r>
        <w:t xml:space="preserve">is not </w:t>
      </w:r>
      <w:r>
        <w:rPr>
          <w:spacing w:val="-3"/>
        </w:rPr>
        <w:t>r</w:t>
      </w:r>
      <w:r>
        <w:t>equi</w:t>
      </w:r>
      <w:r>
        <w:rPr>
          <w:spacing w:val="-3"/>
        </w:rPr>
        <w:t>r</w:t>
      </w:r>
      <w:r>
        <w:t>ed as</w:t>
      </w:r>
      <w:r>
        <w:rPr>
          <w:spacing w:val="-1"/>
        </w:rPr>
        <w:t xml:space="preserve"> </w:t>
      </w:r>
      <w:r>
        <w:t>the ef</w:t>
      </w:r>
      <w:r>
        <w:rPr>
          <w:spacing w:val="-3"/>
        </w:rPr>
        <w:t>f</w:t>
      </w:r>
      <w:r>
        <w:t>e</w:t>
      </w:r>
      <w:r>
        <w:rPr>
          <w:spacing w:val="2"/>
        </w:rPr>
        <w:t>c</w:t>
      </w:r>
      <w:r>
        <w:t>t of dis</w:t>
      </w:r>
      <w:r>
        <w:rPr>
          <w:spacing w:val="-2"/>
        </w:rPr>
        <w:t>c</w:t>
      </w:r>
      <w:r>
        <w:t>ou</w:t>
      </w:r>
      <w:r>
        <w:rPr>
          <w:spacing w:val="-1"/>
        </w:rPr>
        <w:t>n</w:t>
      </w:r>
      <w:r>
        <w:t>ting is</w:t>
      </w:r>
      <w:r>
        <w:rPr>
          <w:spacing w:val="-1"/>
        </w:rPr>
        <w:t xml:space="preserve"> </w:t>
      </w:r>
      <w:r>
        <w:t>not m</w:t>
      </w:r>
      <w:r>
        <w:rPr>
          <w:spacing w:val="-1"/>
        </w:rPr>
        <w:t>a</w:t>
      </w:r>
      <w:r>
        <w:rPr>
          <w:spacing w:val="-2"/>
        </w:rPr>
        <w:t>t</w:t>
      </w:r>
      <w:r>
        <w:t>eria</w:t>
      </w:r>
      <w:r>
        <w:rPr>
          <w:spacing w:val="-3"/>
        </w:rPr>
        <w:t>l</w:t>
      </w:r>
      <w:r>
        <w:t>.</w:t>
      </w:r>
    </w:p>
    <w:p w14:paraId="6CB6347F" w14:textId="2C396C0E" w:rsidR="0021382E" w:rsidRPr="00DA1E18" w:rsidRDefault="0021382E" w:rsidP="0021382E">
      <w:pPr>
        <w:rPr>
          <w:rStyle w:val="Strong"/>
        </w:rPr>
      </w:pPr>
      <w:r w:rsidRPr="00DA1E18">
        <w:rPr>
          <w:rStyle w:val="Strong"/>
        </w:rPr>
        <w:t>(j) Cash and cash equivalents</w:t>
      </w:r>
    </w:p>
    <w:p w14:paraId="5EB0C1C5" w14:textId="31F32D5A" w:rsidR="0021382E" w:rsidRPr="0021382E" w:rsidRDefault="0021382E" w:rsidP="0021382E">
      <w:pPr>
        <w:rPr>
          <w:color w:val="000000"/>
        </w:rPr>
      </w:pPr>
      <w:r>
        <w:rPr>
          <w:spacing w:val="-7"/>
        </w:rPr>
        <w:t>F</w:t>
      </w:r>
      <w:r>
        <w:t xml:space="preserve">or the purpose of the </w:t>
      </w:r>
      <w:r>
        <w:rPr>
          <w:spacing w:val="-1"/>
        </w:rPr>
        <w:t>S</w:t>
      </w:r>
      <w:r>
        <w:t>t</w:t>
      </w:r>
      <w:r>
        <w:rPr>
          <w:spacing w:val="-1"/>
        </w:rPr>
        <w:t>a</w:t>
      </w:r>
      <w:r>
        <w:rPr>
          <w:spacing w:val="-2"/>
        </w:rPr>
        <w:t>t</w:t>
      </w:r>
      <w:r>
        <w:t>eme</w:t>
      </w:r>
      <w:r>
        <w:rPr>
          <w:spacing w:val="-1"/>
        </w:rPr>
        <w:t>n</w:t>
      </w:r>
      <w:r>
        <w:t xml:space="preserve">t of </w:t>
      </w:r>
      <w:r>
        <w:rPr>
          <w:spacing w:val="-2"/>
        </w:rPr>
        <w:t>C</w:t>
      </w:r>
      <w:r>
        <w:t xml:space="preserve">ash </w:t>
      </w:r>
      <w:r>
        <w:rPr>
          <w:spacing w:val="-4"/>
        </w:rPr>
        <w:t>F</w:t>
      </w:r>
      <w:r>
        <w:t>l</w:t>
      </w:r>
      <w:r>
        <w:rPr>
          <w:spacing w:val="-2"/>
        </w:rPr>
        <w:t>ow</w:t>
      </w:r>
      <w:r>
        <w:rPr>
          <w:spacing w:val="-3"/>
        </w:rPr>
        <w:t>s</w:t>
      </w:r>
      <w:r>
        <w:t>, cash and cash equi</w:t>
      </w:r>
      <w:r>
        <w:rPr>
          <w:spacing w:val="-1"/>
        </w:rPr>
        <w:t>v</w:t>
      </w:r>
      <w:r>
        <w:t>ale</w:t>
      </w:r>
      <w:r>
        <w:rPr>
          <w:spacing w:val="-1"/>
        </w:rPr>
        <w:t>n</w:t>
      </w:r>
      <w:r>
        <w:t xml:space="preserve">t (and </w:t>
      </w:r>
      <w:r>
        <w:rPr>
          <w:spacing w:val="-3"/>
        </w:rPr>
        <w:t>r</w:t>
      </w:r>
      <w:r>
        <w:t>estri</w:t>
      </w:r>
      <w:r>
        <w:rPr>
          <w:spacing w:val="2"/>
        </w:rPr>
        <w:t>c</w:t>
      </w:r>
      <w:r>
        <w:rPr>
          <w:spacing w:val="-2"/>
        </w:rPr>
        <w:t>t</w:t>
      </w:r>
      <w:r>
        <w:t>ed cash and cash equi</w:t>
      </w:r>
      <w:r>
        <w:rPr>
          <w:spacing w:val="-1"/>
        </w:rPr>
        <w:t>v</w:t>
      </w:r>
      <w:r>
        <w:t>ale</w:t>
      </w:r>
      <w:r>
        <w:rPr>
          <w:spacing w:val="-1"/>
        </w:rPr>
        <w:t>n</w:t>
      </w:r>
      <w:r>
        <w:t xml:space="preserve">t) assets </w:t>
      </w:r>
      <w:r>
        <w:rPr>
          <w:spacing w:val="-2"/>
        </w:rPr>
        <w:t>c</w:t>
      </w:r>
      <w:r>
        <w:t>omprise cash on hand and sho</w:t>
      </w:r>
      <w:r>
        <w:rPr>
          <w:spacing w:val="5"/>
        </w:rPr>
        <w:t>r</w:t>
      </w:r>
      <w:r>
        <w:rPr>
          <w:spacing w:val="-2"/>
        </w:rPr>
        <w:t>t</w:t>
      </w:r>
      <w:r>
        <w:t xml:space="preserve">- </w:t>
      </w:r>
      <w:r>
        <w:rPr>
          <w:spacing w:val="-2"/>
        </w:rPr>
        <w:t>t</w:t>
      </w:r>
      <w:r>
        <w:t>erm deposits with ori</w:t>
      </w:r>
      <w:r>
        <w:rPr>
          <w:spacing w:val="-2"/>
        </w:rPr>
        <w:t>g</w:t>
      </w:r>
      <w:r>
        <w:t>inal m</w:t>
      </w:r>
      <w:r>
        <w:rPr>
          <w:spacing w:val="-1"/>
        </w:rPr>
        <w:t>a</w:t>
      </w:r>
      <w:r>
        <w:t>turities of th</w:t>
      </w:r>
      <w:r>
        <w:rPr>
          <w:spacing w:val="-3"/>
        </w:rPr>
        <w:t>r</w:t>
      </w:r>
      <w:r>
        <w:t>ee mo</w:t>
      </w:r>
      <w:r>
        <w:rPr>
          <w:spacing w:val="-1"/>
        </w:rPr>
        <w:t>n</w:t>
      </w:r>
      <w:r>
        <w:t>ths or less th</w:t>
      </w:r>
      <w:r>
        <w:rPr>
          <w:spacing w:val="-1"/>
        </w:rPr>
        <w:t>a</w:t>
      </w:r>
      <w:r>
        <w:t>t a</w:t>
      </w:r>
      <w:r>
        <w:rPr>
          <w:spacing w:val="-3"/>
        </w:rPr>
        <w:t>r</w:t>
      </w:r>
      <w:r>
        <w:t xml:space="preserve">e </w:t>
      </w:r>
      <w:r>
        <w:rPr>
          <w:spacing w:val="-3"/>
        </w:rPr>
        <w:t>r</w:t>
      </w:r>
      <w:r>
        <w:t xml:space="preserve">eadily </w:t>
      </w:r>
      <w:r>
        <w:rPr>
          <w:spacing w:val="-2"/>
        </w:rPr>
        <w:t>c</w:t>
      </w:r>
      <w:r>
        <w:t>o</w:t>
      </w:r>
      <w:r>
        <w:rPr>
          <w:spacing w:val="-3"/>
        </w:rPr>
        <w:t>nv</w:t>
      </w:r>
      <w:r>
        <w:t>e</w:t>
      </w:r>
      <w:r>
        <w:rPr>
          <w:spacing w:val="5"/>
        </w:rPr>
        <w:t>r</w:t>
      </w:r>
      <w:r>
        <w:t>tible</w:t>
      </w:r>
      <w:r>
        <w:rPr>
          <w:spacing w:val="-1"/>
        </w:rPr>
        <w:t xml:space="preserve"> </w:t>
      </w:r>
      <w:r>
        <w:rPr>
          <w:spacing w:val="-2"/>
        </w:rPr>
        <w:t>t</w:t>
      </w:r>
      <w:r>
        <w:t>o a</w:t>
      </w:r>
      <w:r>
        <w:rPr>
          <w:spacing w:val="-1"/>
        </w:rPr>
        <w:t xml:space="preserve"> </w:t>
      </w:r>
      <w:r>
        <w:rPr>
          <w:spacing w:val="3"/>
        </w:rPr>
        <w:t>k</w:t>
      </w:r>
      <w:r>
        <w:t>n</w:t>
      </w:r>
      <w:r>
        <w:rPr>
          <w:spacing w:val="-2"/>
        </w:rPr>
        <w:t>o</w:t>
      </w:r>
      <w:r>
        <w:t>wn amou</w:t>
      </w:r>
      <w:r>
        <w:rPr>
          <w:spacing w:val="-1"/>
        </w:rPr>
        <w:t>n</w:t>
      </w:r>
      <w:r>
        <w:t>t</w:t>
      </w:r>
      <w:r>
        <w:rPr>
          <w:spacing w:val="-1"/>
        </w:rPr>
        <w:t xml:space="preserve"> </w:t>
      </w:r>
      <w:r>
        <w:t>of cash</w:t>
      </w:r>
      <w:r>
        <w:rPr>
          <w:spacing w:val="-1"/>
        </w:rPr>
        <w:t xml:space="preserve"> </w:t>
      </w:r>
      <w:r>
        <w:t>and which</w:t>
      </w:r>
      <w:r>
        <w:rPr>
          <w:spacing w:val="-1"/>
        </w:rPr>
        <w:t xml:space="preserve"> </w:t>
      </w:r>
      <w:r>
        <w:t>a</w:t>
      </w:r>
      <w:r>
        <w:rPr>
          <w:spacing w:val="-3"/>
        </w:rPr>
        <w:t>r</w:t>
      </w:r>
      <w:r>
        <w:t>e subje</w:t>
      </w:r>
      <w:r>
        <w:rPr>
          <w:spacing w:val="2"/>
        </w:rPr>
        <w:t>c</w:t>
      </w:r>
      <w:r>
        <w:t>t</w:t>
      </w:r>
      <w:r>
        <w:rPr>
          <w:spacing w:val="-1"/>
        </w:rPr>
        <w:t xml:space="preserve"> </w:t>
      </w:r>
      <w:r>
        <w:rPr>
          <w:spacing w:val="-2"/>
        </w:rPr>
        <w:t>t</w:t>
      </w:r>
      <w:r>
        <w:t>o insi</w:t>
      </w:r>
      <w:r>
        <w:rPr>
          <w:spacing w:val="-2"/>
        </w:rPr>
        <w:t>g</w:t>
      </w:r>
      <w:r>
        <w:t>nifica</w:t>
      </w:r>
      <w:r>
        <w:rPr>
          <w:spacing w:val="-1"/>
        </w:rPr>
        <w:t>n</w:t>
      </w:r>
      <w:r>
        <w:t>t</w:t>
      </w:r>
      <w:r>
        <w:rPr>
          <w:spacing w:val="-1"/>
        </w:rPr>
        <w:t xml:space="preserve"> </w:t>
      </w:r>
      <w:r>
        <w:t xml:space="preserve">risk of changes in </w:t>
      </w:r>
      <w:r>
        <w:rPr>
          <w:spacing w:val="-1"/>
        </w:rPr>
        <w:t>v</w:t>
      </w:r>
      <w:r>
        <w:t>alu</w:t>
      </w:r>
      <w:r>
        <w:rPr>
          <w:spacing w:val="-3"/>
        </w:rPr>
        <w:t>e</w:t>
      </w:r>
      <w:r>
        <w:t>.</w:t>
      </w:r>
    </w:p>
    <w:p w14:paraId="1C3278AF" w14:textId="2F75AE41" w:rsidR="0021382E" w:rsidRPr="00DA1E18" w:rsidRDefault="0021382E" w:rsidP="0021382E">
      <w:pPr>
        <w:rPr>
          <w:rStyle w:val="Strong"/>
        </w:rPr>
      </w:pPr>
      <w:r w:rsidRPr="00DA1E18">
        <w:rPr>
          <w:rStyle w:val="Strong"/>
        </w:rPr>
        <w:t>(k) Accrued Salaries</w:t>
      </w:r>
    </w:p>
    <w:p w14:paraId="31EBC39B" w14:textId="50AAB9F8" w:rsidR="0021382E" w:rsidRPr="0021382E" w:rsidRDefault="0021382E" w:rsidP="0021382E">
      <w:pPr>
        <w:rPr>
          <w:color w:val="000000"/>
        </w:rPr>
      </w:pPr>
      <w:r>
        <w:rPr>
          <w:spacing w:val="-3"/>
        </w:rPr>
        <w:t>A</w:t>
      </w:r>
      <w:r>
        <w:rPr>
          <w:spacing w:val="-2"/>
        </w:rPr>
        <w:t>c</w:t>
      </w:r>
      <w:r>
        <w:t>crued</w:t>
      </w:r>
      <w:r>
        <w:rPr>
          <w:spacing w:val="-1"/>
        </w:rPr>
        <w:t xml:space="preserve"> </w:t>
      </w:r>
      <w:r>
        <w:t>salaries (</w:t>
      </w:r>
      <w:r>
        <w:rPr>
          <w:spacing w:val="-3"/>
        </w:rPr>
        <w:t>r</w:t>
      </w:r>
      <w:r>
        <w:t>e</w:t>
      </w:r>
      <w:r>
        <w:rPr>
          <w:spacing w:val="-3"/>
        </w:rPr>
        <w:t>f</w:t>
      </w:r>
      <w:r>
        <w:t>er</w:t>
      </w:r>
      <w:r>
        <w:rPr>
          <w:spacing w:val="-1"/>
        </w:rPr>
        <w:t xml:space="preserve"> </w:t>
      </w:r>
      <w:r>
        <w:rPr>
          <w:spacing w:val="-2"/>
        </w:rPr>
        <w:t>t</w:t>
      </w:r>
      <w:r>
        <w:t>o no</w:t>
      </w:r>
      <w:r>
        <w:rPr>
          <w:spacing w:val="-2"/>
        </w:rPr>
        <w:t>t</w:t>
      </w:r>
      <w:r>
        <w:t>e 26</w:t>
      </w:r>
      <w:r>
        <w:rPr>
          <w:spacing w:val="-19"/>
        </w:rPr>
        <w:t xml:space="preserve"> </w:t>
      </w:r>
      <w:r>
        <w:t>‘</w:t>
      </w:r>
      <w:r>
        <w:rPr>
          <w:spacing w:val="-6"/>
        </w:rPr>
        <w:t>P</w:t>
      </w:r>
      <w:r>
        <w:rPr>
          <w:spacing w:val="-2"/>
        </w:rPr>
        <w:t>a</w:t>
      </w:r>
      <w:r>
        <w:rPr>
          <w:spacing w:val="-1"/>
        </w:rPr>
        <w:t>y</w:t>
      </w:r>
      <w:r>
        <w:t>able</w:t>
      </w:r>
      <w:r>
        <w:rPr>
          <w:spacing w:val="-4"/>
        </w:rPr>
        <w:t>s</w:t>
      </w:r>
      <w:r>
        <w:t>’)</w:t>
      </w:r>
      <w:r>
        <w:rPr>
          <w:spacing w:val="-1"/>
        </w:rPr>
        <w:t xml:space="preserve"> </w:t>
      </w:r>
      <w:r>
        <w:rPr>
          <w:spacing w:val="-3"/>
        </w:rPr>
        <w:t>r</w:t>
      </w:r>
      <w:r>
        <w:t>ep</w:t>
      </w:r>
      <w:r>
        <w:rPr>
          <w:spacing w:val="-3"/>
        </w:rPr>
        <w:t>r</w:t>
      </w:r>
      <w:r>
        <w:t>ese</w:t>
      </w:r>
      <w:r>
        <w:rPr>
          <w:spacing w:val="-1"/>
        </w:rPr>
        <w:t>n</w:t>
      </w:r>
      <w:r>
        <w:t>t the amou</w:t>
      </w:r>
      <w:r>
        <w:rPr>
          <w:spacing w:val="-1"/>
        </w:rPr>
        <w:t>n</w:t>
      </w:r>
      <w:r>
        <w:t>t</w:t>
      </w:r>
      <w:r>
        <w:rPr>
          <w:spacing w:val="-1"/>
        </w:rPr>
        <w:t xml:space="preserve"> </w:t>
      </w:r>
      <w:r>
        <w:t xml:space="preserve">due </w:t>
      </w:r>
      <w:r>
        <w:rPr>
          <w:spacing w:val="-2"/>
        </w:rPr>
        <w:t>t</w:t>
      </w:r>
      <w:r>
        <w:t>o staff</w:t>
      </w:r>
      <w:r>
        <w:rPr>
          <w:w w:val="99"/>
        </w:rPr>
        <w:t xml:space="preserve"> </w:t>
      </w:r>
      <w:r>
        <w:t>but</w:t>
      </w:r>
      <w:r>
        <w:rPr>
          <w:spacing w:val="-1"/>
        </w:rPr>
        <w:t xml:space="preserve"> </w:t>
      </w:r>
      <w:r>
        <w:t>unpaid</w:t>
      </w:r>
      <w:r>
        <w:rPr>
          <w:spacing w:val="-1"/>
        </w:rPr>
        <w:t xml:space="preserve"> a</w:t>
      </w:r>
      <w:r>
        <w:t>t the</w:t>
      </w:r>
      <w:r>
        <w:rPr>
          <w:spacing w:val="-1"/>
        </w:rPr>
        <w:t xml:space="preserve"> </w:t>
      </w:r>
      <w:r>
        <w:t>end of</w:t>
      </w:r>
      <w:r>
        <w:rPr>
          <w:spacing w:val="-1"/>
        </w:rPr>
        <w:t xml:space="preserve"> </w:t>
      </w:r>
      <w:r>
        <w:t>the financial</w:t>
      </w:r>
      <w:r>
        <w:rPr>
          <w:spacing w:val="-1"/>
        </w:rPr>
        <w:t xml:space="preserve"> </w:t>
      </w:r>
      <w:r>
        <w:rPr>
          <w:spacing w:val="-3"/>
        </w:rPr>
        <w:t>y</w:t>
      </w:r>
      <w:r>
        <w:t>ea</w:t>
      </w:r>
      <w:r>
        <w:rPr>
          <w:spacing w:val="-12"/>
        </w:rPr>
        <w:t>r</w:t>
      </w:r>
      <w:r>
        <w:t>.</w:t>
      </w:r>
      <w:r>
        <w:rPr>
          <w:spacing w:val="46"/>
        </w:rPr>
        <w:t xml:space="preserve"> </w:t>
      </w:r>
      <w:r>
        <w:rPr>
          <w:spacing w:val="-3"/>
        </w:rPr>
        <w:t>A</w:t>
      </w:r>
      <w:r>
        <w:rPr>
          <w:spacing w:val="-2"/>
        </w:rPr>
        <w:t>c</w:t>
      </w:r>
      <w:r>
        <w:t>crued</w:t>
      </w:r>
      <w:r>
        <w:rPr>
          <w:spacing w:val="-1"/>
        </w:rPr>
        <w:t xml:space="preserve"> </w:t>
      </w:r>
      <w:r>
        <w:t>salaries a</w:t>
      </w:r>
      <w:r>
        <w:rPr>
          <w:spacing w:val="-3"/>
        </w:rPr>
        <w:t>r</w:t>
      </w:r>
      <w:r>
        <w:t>e</w:t>
      </w:r>
      <w:r>
        <w:rPr>
          <w:spacing w:val="-1"/>
        </w:rPr>
        <w:t xml:space="preserve"> </w:t>
      </w:r>
      <w:r>
        <w:t>settled within</w:t>
      </w:r>
      <w:r>
        <w:rPr>
          <w:spacing w:val="-1"/>
        </w:rPr>
        <w:t xml:space="preserve"> </w:t>
      </w:r>
      <w:r>
        <w:t xml:space="preserve">a </w:t>
      </w:r>
      <w:r>
        <w:rPr>
          <w:spacing w:val="-3"/>
        </w:rPr>
        <w:t>f</w:t>
      </w:r>
      <w:r>
        <w:t>o</w:t>
      </w:r>
      <w:r>
        <w:rPr>
          <w:spacing w:val="5"/>
        </w:rPr>
        <w:t>r</w:t>
      </w:r>
      <w:r>
        <w:t>tnig</w:t>
      </w:r>
      <w:r>
        <w:rPr>
          <w:spacing w:val="-1"/>
        </w:rPr>
        <w:t>h</w:t>
      </w:r>
      <w:r>
        <w:t>t</w:t>
      </w:r>
      <w:r>
        <w:rPr>
          <w:spacing w:val="-1"/>
        </w:rPr>
        <w:t xml:space="preserve"> </w:t>
      </w:r>
      <w:r>
        <w:t>of</w:t>
      </w:r>
      <w:r>
        <w:rPr>
          <w:spacing w:val="-1"/>
        </w:rPr>
        <w:t xml:space="preserve"> </w:t>
      </w:r>
      <w:r>
        <w:t>the financial</w:t>
      </w:r>
      <w:r>
        <w:rPr>
          <w:spacing w:val="-1"/>
        </w:rPr>
        <w:t xml:space="preserve"> </w:t>
      </w:r>
      <w:r>
        <w:rPr>
          <w:spacing w:val="-3"/>
        </w:rPr>
        <w:t>y</w:t>
      </w:r>
      <w:r>
        <w:t>ear</w:t>
      </w:r>
      <w:r>
        <w:rPr>
          <w:spacing w:val="-1"/>
        </w:rPr>
        <w:t xml:space="preserve"> </w:t>
      </w:r>
      <w:r>
        <w:t>en</w:t>
      </w:r>
      <w:r>
        <w:rPr>
          <w:spacing w:val="-3"/>
        </w:rPr>
        <w:t>d</w:t>
      </w:r>
      <w:r>
        <w:t>.</w:t>
      </w:r>
      <w:r>
        <w:rPr>
          <w:spacing w:val="37"/>
        </w:rPr>
        <w:t xml:space="preserve"> </w:t>
      </w:r>
      <w:r>
        <w:rPr>
          <w:spacing w:val="-2"/>
        </w:rPr>
        <w:t>T</w:t>
      </w:r>
      <w:r>
        <w:t>he</w:t>
      </w:r>
      <w:r>
        <w:rPr>
          <w:spacing w:val="-1"/>
        </w:rPr>
        <w:t xml:space="preserve"> </w:t>
      </w:r>
      <w:r>
        <w:rPr>
          <w:spacing w:val="-3"/>
        </w:rPr>
        <w:t>A</w:t>
      </w:r>
      <w:r>
        <w:t>uthori</w:t>
      </w:r>
      <w:r>
        <w:rPr>
          <w:spacing w:val="2"/>
        </w:rPr>
        <w:t>t</w:t>
      </w:r>
      <w:r>
        <w:t>y</w:t>
      </w:r>
      <w:r>
        <w:rPr>
          <w:spacing w:val="-1"/>
        </w:rPr>
        <w:t xml:space="preserve"> </w:t>
      </w:r>
      <w:r>
        <w:rPr>
          <w:spacing w:val="-2"/>
        </w:rPr>
        <w:t>c</w:t>
      </w:r>
      <w:r>
        <w:t>onsiders the</w:t>
      </w:r>
      <w:r>
        <w:rPr>
          <w:spacing w:val="-1"/>
        </w:rPr>
        <w:t xml:space="preserve"> </w:t>
      </w:r>
      <w:r>
        <w:t>car</w:t>
      </w:r>
      <w:r>
        <w:rPr>
          <w:spacing w:val="5"/>
        </w:rPr>
        <w:t>r</w:t>
      </w:r>
      <w:r>
        <w:t>ying</w:t>
      </w:r>
      <w:r>
        <w:rPr>
          <w:spacing w:val="-1"/>
        </w:rPr>
        <w:t xml:space="preserve"> </w:t>
      </w:r>
      <w:r>
        <w:t>amou</w:t>
      </w:r>
      <w:r>
        <w:rPr>
          <w:spacing w:val="-1"/>
        </w:rPr>
        <w:t>n</w:t>
      </w:r>
      <w:r>
        <w:t>t of a</w:t>
      </w:r>
      <w:r>
        <w:rPr>
          <w:spacing w:val="-2"/>
        </w:rPr>
        <w:t>c</w:t>
      </w:r>
      <w:r>
        <w:t xml:space="preserve">crued salaries </w:t>
      </w:r>
      <w:r>
        <w:rPr>
          <w:spacing w:val="-2"/>
        </w:rPr>
        <w:t>t</w:t>
      </w:r>
      <w:r>
        <w:t>o be equi</w:t>
      </w:r>
      <w:r>
        <w:rPr>
          <w:spacing w:val="-1"/>
        </w:rPr>
        <w:t>v</w:t>
      </w:r>
      <w:r>
        <w:t>ale</w:t>
      </w:r>
      <w:r>
        <w:rPr>
          <w:spacing w:val="-1"/>
        </w:rPr>
        <w:t>n</w:t>
      </w:r>
      <w:r>
        <w:t xml:space="preserve">t </w:t>
      </w:r>
      <w:r>
        <w:rPr>
          <w:spacing w:val="-2"/>
        </w:rPr>
        <w:t>t</w:t>
      </w:r>
      <w:r>
        <w:t xml:space="preserve">o its fair </w:t>
      </w:r>
      <w:r>
        <w:rPr>
          <w:spacing w:val="-1"/>
        </w:rPr>
        <w:t>v</w:t>
      </w:r>
      <w:r>
        <w:t>alu</w:t>
      </w:r>
      <w:r>
        <w:rPr>
          <w:spacing w:val="-3"/>
        </w:rPr>
        <w:t>e</w:t>
      </w:r>
      <w:r>
        <w:t>.</w:t>
      </w:r>
    </w:p>
    <w:p w14:paraId="0E199AEC" w14:textId="53A6F561" w:rsidR="0021382E" w:rsidRPr="00DA1E18" w:rsidRDefault="0021382E" w:rsidP="0021382E">
      <w:pPr>
        <w:rPr>
          <w:rStyle w:val="Strong"/>
        </w:rPr>
      </w:pPr>
      <w:r w:rsidRPr="00DA1E18">
        <w:rPr>
          <w:rStyle w:val="Strong"/>
        </w:rPr>
        <w:t>(l) Receivables</w:t>
      </w:r>
    </w:p>
    <w:p w14:paraId="745C91FA" w14:textId="67B1A515" w:rsidR="0021382E" w:rsidRPr="0021382E" w:rsidRDefault="0021382E" w:rsidP="0021382E">
      <w:pPr>
        <w:rPr>
          <w:color w:val="000000"/>
        </w:rPr>
      </w:pPr>
      <w:r>
        <w:t>Re</w:t>
      </w:r>
      <w:r>
        <w:rPr>
          <w:spacing w:val="-2"/>
        </w:rPr>
        <w:t>c</w:t>
      </w:r>
      <w:r>
        <w:t>ei</w:t>
      </w:r>
      <w:r>
        <w:rPr>
          <w:spacing w:val="-1"/>
        </w:rPr>
        <w:t>v</w:t>
      </w:r>
      <w:r>
        <w:t>ables a</w:t>
      </w:r>
      <w:r>
        <w:rPr>
          <w:spacing w:val="-3"/>
        </w:rPr>
        <w:t>r</w:t>
      </w:r>
      <w:r>
        <w:t xml:space="preserve">e </w:t>
      </w:r>
      <w:r>
        <w:rPr>
          <w:spacing w:val="-3"/>
        </w:rPr>
        <w:t>r</w:t>
      </w:r>
      <w:r>
        <w:t>e</w:t>
      </w:r>
      <w:r>
        <w:rPr>
          <w:spacing w:val="-2"/>
        </w:rPr>
        <w:t>c</w:t>
      </w:r>
      <w:r>
        <w:t>o</w:t>
      </w:r>
      <w:r>
        <w:rPr>
          <w:spacing w:val="-2"/>
        </w:rPr>
        <w:t>g</w:t>
      </w:r>
      <w:r>
        <w:t xml:space="preserve">nised </w:t>
      </w:r>
      <w:r>
        <w:rPr>
          <w:spacing w:val="-1"/>
        </w:rPr>
        <w:t>a</w:t>
      </w:r>
      <w:r>
        <w:t>t ori</w:t>
      </w:r>
      <w:r>
        <w:rPr>
          <w:spacing w:val="-2"/>
        </w:rPr>
        <w:t>g</w:t>
      </w:r>
      <w:r>
        <w:t>inal i</w:t>
      </w:r>
      <w:r>
        <w:rPr>
          <w:spacing w:val="-3"/>
        </w:rPr>
        <w:t>nv</w:t>
      </w:r>
      <w:r>
        <w:t>oi</w:t>
      </w:r>
      <w:r>
        <w:rPr>
          <w:spacing w:val="-2"/>
        </w:rPr>
        <w:t>c</w:t>
      </w:r>
      <w:r>
        <w:t>e amou</w:t>
      </w:r>
      <w:r>
        <w:rPr>
          <w:spacing w:val="-1"/>
        </w:rPr>
        <w:t>n</w:t>
      </w:r>
      <w:r>
        <w:t>t less an all</w:t>
      </w:r>
      <w:r>
        <w:rPr>
          <w:spacing w:val="-2"/>
        </w:rPr>
        <w:t>o</w:t>
      </w:r>
      <w:r>
        <w:rPr>
          <w:spacing w:val="-1"/>
        </w:rPr>
        <w:t>w</w:t>
      </w:r>
      <w:r>
        <w:t>an</w:t>
      </w:r>
      <w:r>
        <w:rPr>
          <w:spacing w:val="-2"/>
        </w:rPr>
        <w:t>c</w:t>
      </w:r>
      <w:r>
        <w:t xml:space="preserve">e </w:t>
      </w:r>
      <w:r>
        <w:rPr>
          <w:spacing w:val="-3"/>
        </w:rPr>
        <w:t>f</w:t>
      </w:r>
      <w:r>
        <w:t>or a</w:t>
      </w:r>
      <w:r>
        <w:rPr>
          <w:spacing w:val="-3"/>
        </w:rPr>
        <w:t>n</w:t>
      </w:r>
      <w:r>
        <w:t>y un</w:t>
      </w:r>
      <w:r>
        <w:rPr>
          <w:spacing w:val="-2"/>
        </w:rPr>
        <w:t>c</w:t>
      </w:r>
      <w:r>
        <w:t>olle</w:t>
      </w:r>
      <w:r>
        <w:rPr>
          <w:spacing w:val="2"/>
        </w:rPr>
        <w:t>c</w:t>
      </w:r>
      <w:r>
        <w:t>tible amou</w:t>
      </w:r>
      <w:r>
        <w:rPr>
          <w:spacing w:val="-1"/>
        </w:rPr>
        <w:t>n</w:t>
      </w:r>
      <w:r>
        <w:t>ts (i.</w:t>
      </w:r>
      <w:r>
        <w:rPr>
          <w:spacing w:val="-3"/>
        </w:rPr>
        <w:t>e</w:t>
      </w:r>
      <w:r>
        <w:t>. impairme</w:t>
      </w:r>
      <w:r>
        <w:rPr>
          <w:spacing w:val="-1"/>
        </w:rPr>
        <w:t>n</w:t>
      </w:r>
      <w:r>
        <w:t>t).</w:t>
      </w:r>
      <w:r>
        <w:rPr>
          <w:spacing w:val="-9"/>
        </w:rPr>
        <w:t xml:space="preserve"> </w:t>
      </w:r>
      <w:r>
        <w:rPr>
          <w:spacing w:val="-2"/>
        </w:rPr>
        <w:t>T</w:t>
      </w:r>
      <w:r>
        <w:t xml:space="preserve">he </w:t>
      </w:r>
      <w:r>
        <w:rPr>
          <w:spacing w:val="-2"/>
        </w:rPr>
        <w:t>c</w:t>
      </w:r>
      <w:r>
        <w:t>olle</w:t>
      </w:r>
      <w:r>
        <w:rPr>
          <w:spacing w:val="2"/>
        </w:rPr>
        <w:t>c</w:t>
      </w:r>
      <w:r>
        <w:t>tabili</w:t>
      </w:r>
      <w:r>
        <w:rPr>
          <w:spacing w:val="2"/>
        </w:rPr>
        <w:t>t</w:t>
      </w:r>
      <w:r>
        <w:t xml:space="preserve">y of </w:t>
      </w:r>
      <w:r>
        <w:rPr>
          <w:spacing w:val="-3"/>
        </w:rPr>
        <w:t>r</w:t>
      </w:r>
      <w:r>
        <w:t>e</w:t>
      </w:r>
      <w:r>
        <w:rPr>
          <w:spacing w:val="-2"/>
        </w:rPr>
        <w:t>c</w:t>
      </w:r>
      <w:r>
        <w:t>ei</w:t>
      </w:r>
      <w:r>
        <w:rPr>
          <w:spacing w:val="-1"/>
        </w:rPr>
        <w:t>v</w:t>
      </w:r>
      <w:r>
        <w:t xml:space="preserve">ables is </w:t>
      </w:r>
      <w:r>
        <w:rPr>
          <w:spacing w:val="-3"/>
        </w:rPr>
        <w:t>r</w:t>
      </w:r>
      <w:r>
        <w:t>evie</w:t>
      </w:r>
      <w:r>
        <w:rPr>
          <w:spacing w:val="-3"/>
        </w:rPr>
        <w:t>w</w:t>
      </w:r>
      <w:r>
        <w:t>ed</w:t>
      </w:r>
      <w:r>
        <w:rPr>
          <w:spacing w:val="-1"/>
        </w:rPr>
        <w:t xml:space="preserve"> </w:t>
      </w:r>
      <w:r>
        <w:t>on an</w:t>
      </w:r>
      <w:r>
        <w:rPr>
          <w:spacing w:val="-1"/>
        </w:rPr>
        <w:t xml:space="preserve"> </w:t>
      </w:r>
      <w:r>
        <w:t>ongoing basis</w:t>
      </w:r>
      <w:r>
        <w:rPr>
          <w:spacing w:val="-1"/>
        </w:rPr>
        <w:t xml:space="preserve"> </w:t>
      </w:r>
      <w:r>
        <w:t>and a</w:t>
      </w:r>
      <w:r>
        <w:rPr>
          <w:spacing w:val="-3"/>
        </w:rPr>
        <w:t>n</w:t>
      </w:r>
      <w:r>
        <w:t>y</w:t>
      </w:r>
      <w:r>
        <w:rPr>
          <w:spacing w:val="-1"/>
        </w:rPr>
        <w:t xml:space="preserve"> </w:t>
      </w:r>
      <w:r>
        <w:rPr>
          <w:spacing w:val="-3"/>
        </w:rPr>
        <w:t>r</w:t>
      </w:r>
      <w:r>
        <w:t>e</w:t>
      </w:r>
      <w:r>
        <w:rPr>
          <w:spacing w:val="-2"/>
        </w:rPr>
        <w:t>c</w:t>
      </w:r>
      <w:r>
        <w:t>ei</w:t>
      </w:r>
      <w:r>
        <w:rPr>
          <w:spacing w:val="-1"/>
        </w:rPr>
        <w:t>v</w:t>
      </w:r>
      <w:r>
        <w:t>ables ide</w:t>
      </w:r>
      <w:r>
        <w:rPr>
          <w:spacing w:val="-1"/>
        </w:rPr>
        <w:t>n</w:t>
      </w:r>
      <w:r>
        <w:t>tified</w:t>
      </w:r>
      <w:r>
        <w:rPr>
          <w:spacing w:val="-1"/>
        </w:rPr>
        <w:t xml:space="preserve"> </w:t>
      </w:r>
      <w:r>
        <w:t>as un</w:t>
      </w:r>
      <w:r>
        <w:rPr>
          <w:spacing w:val="-2"/>
        </w:rPr>
        <w:t>c</w:t>
      </w:r>
      <w:r>
        <w:t>olle</w:t>
      </w:r>
      <w:r>
        <w:rPr>
          <w:spacing w:val="2"/>
        </w:rPr>
        <w:t>c</w:t>
      </w:r>
      <w:r>
        <w:t>tible a</w:t>
      </w:r>
      <w:r>
        <w:rPr>
          <w:spacing w:val="-3"/>
        </w:rPr>
        <w:t>r</w:t>
      </w:r>
      <w:r>
        <w:t>e</w:t>
      </w:r>
      <w:r>
        <w:rPr>
          <w:spacing w:val="-1"/>
        </w:rPr>
        <w:t xml:space="preserve"> </w:t>
      </w:r>
      <w:r>
        <w:t>writ</w:t>
      </w:r>
      <w:r>
        <w:rPr>
          <w:spacing w:val="-2"/>
        </w:rPr>
        <w:t>t</w:t>
      </w:r>
      <w:r>
        <w:t>en</w:t>
      </w:r>
      <w:r>
        <w:rPr>
          <w:spacing w:val="3"/>
        </w:rPr>
        <w:t>-</w:t>
      </w:r>
      <w:r>
        <w:t>off against the</w:t>
      </w:r>
      <w:r>
        <w:rPr>
          <w:spacing w:val="-1"/>
        </w:rPr>
        <w:t xml:space="preserve"> </w:t>
      </w:r>
      <w:r>
        <w:t>all</w:t>
      </w:r>
      <w:r>
        <w:rPr>
          <w:spacing w:val="-2"/>
        </w:rPr>
        <w:t>o</w:t>
      </w:r>
      <w:r>
        <w:rPr>
          <w:spacing w:val="-1"/>
        </w:rPr>
        <w:t>w</w:t>
      </w:r>
      <w:r>
        <w:t>an</w:t>
      </w:r>
      <w:r>
        <w:rPr>
          <w:spacing w:val="-2"/>
        </w:rPr>
        <w:t>c</w:t>
      </w:r>
      <w:r>
        <w:t>e a</w:t>
      </w:r>
      <w:r>
        <w:rPr>
          <w:spacing w:val="-2"/>
        </w:rPr>
        <w:t>cc</w:t>
      </w:r>
      <w:r>
        <w:t>ou</w:t>
      </w:r>
      <w:r>
        <w:rPr>
          <w:spacing w:val="-1"/>
        </w:rPr>
        <w:t>nt</w:t>
      </w:r>
      <w:r>
        <w:t>.</w:t>
      </w:r>
      <w:r>
        <w:rPr>
          <w:spacing w:val="-10"/>
        </w:rPr>
        <w:t xml:space="preserve"> </w:t>
      </w:r>
      <w:r>
        <w:rPr>
          <w:spacing w:val="-2"/>
        </w:rPr>
        <w:t>T</w:t>
      </w:r>
      <w:r>
        <w:t>he all</w:t>
      </w:r>
      <w:r>
        <w:rPr>
          <w:spacing w:val="-2"/>
        </w:rPr>
        <w:t>o</w:t>
      </w:r>
      <w:r>
        <w:rPr>
          <w:spacing w:val="-1"/>
        </w:rPr>
        <w:t>w</w:t>
      </w:r>
      <w:r>
        <w:t>an</w:t>
      </w:r>
      <w:r>
        <w:rPr>
          <w:spacing w:val="-2"/>
        </w:rPr>
        <w:t>c</w:t>
      </w:r>
      <w:r>
        <w:t>e</w:t>
      </w:r>
      <w:r>
        <w:rPr>
          <w:spacing w:val="-1"/>
        </w:rPr>
        <w:t xml:space="preserve"> </w:t>
      </w:r>
      <w:r>
        <w:rPr>
          <w:spacing w:val="-3"/>
        </w:rPr>
        <w:t>f</w:t>
      </w:r>
      <w:r>
        <w:t>or un</w:t>
      </w:r>
      <w:r>
        <w:rPr>
          <w:spacing w:val="-2"/>
        </w:rPr>
        <w:t>c</w:t>
      </w:r>
      <w:r>
        <w:t>olle</w:t>
      </w:r>
      <w:r>
        <w:rPr>
          <w:spacing w:val="2"/>
        </w:rPr>
        <w:t>c</w:t>
      </w:r>
      <w:r>
        <w:t>tible amou</w:t>
      </w:r>
      <w:r>
        <w:rPr>
          <w:spacing w:val="-1"/>
        </w:rPr>
        <w:t>n</w:t>
      </w:r>
      <w:r>
        <w:t xml:space="preserve">ts (doubtful debts) is </w:t>
      </w:r>
      <w:r>
        <w:rPr>
          <w:spacing w:val="-2"/>
        </w:rPr>
        <w:t>r</w:t>
      </w:r>
      <w:r>
        <w:t>aised when the</w:t>
      </w:r>
      <w:r>
        <w:rPr>
          <w:spacing w:val="-3"/>
        </w:rPr>
        <w:t>r</w:t>
      </w:r>
      <w:r>
        <w:t>e is obje</w:t>
      </w:r>
      <w:r>
        <w:rPr>
          <w:spacing w:val="2"/>
        </w:rPr>
        <w:t>c</w:t>
      </w:r>
      <w:r>
        <w:t>ti</w:t>
      </w:r>
      <w:r>
        <w:rPr>
          <w:spacing w:val="-3"/>
        </w:rPr>
        <w:t>v</w:t>
      </w:r>
      <w:r>
        <w:t>e eviden</w:t>
      </w:r>
      <w:r>
        <w:rPr>
          <w:spacing w:val="-2"/>
        </w:rPr>
        <w:t>c</w:t>
      </w:r>
      <w:r>
        <w:t>e th</w:t>
      </w:r>
      <w:r>
        <w:rPr>
          <w:spacing w:val="-1"/>
        </w:rPr>
        <w:t>a</w:t>
      </w:r>
      <w:r>
        <w:t>t the</w:t>
      </w:r>
      <w:r>
        <w:rPr>
          <w:color w:val="000000"/>
        </w:rPr>
        <w:t xml:space="preserve"> </w:t>
      </w:r>
      <w:r>
        <w:rPr>
          <w:spacing w:val="-3"/>
        </w:rPr>
        <w:t>A</w:t>
      </w:r>
      <w:r>
        <w:t>uthori</w:t>
      </w:r>
      <w:r>
        <w:rPr>
          <w:spacing w:val="1"/>
        </w:rPr>
        <w:t>t</w:t>
      </w:r>
      <w:r>
        <w:t xml:space="preserve">y will not be able </w:t>
      </w:r>
      <w:r>
        <w:rPr>
          <w:spacing w:val="-2"/>
        </w:rPr>
        <w:t>t</w:t>
      </w:r>
      <w:r>
        <w:t xml:space="preserve">o </w:t>
      </w:r>
      <w:r>
        <w:rPr>
          <w:spacing w:val="-2"/>
        </w:rPr>
        <w:t>c</w:t>
      </w:r>
      <w:r>
        <w:t>olle</w:t>
      </w:r>
      <w:r>
        <w:rPr>
          <w:spacing w:val="2"/>
        </w:rPr>
        <w:t>c</w:t>
      </w:r>
      <w:r>
        <w:t>t the debt</w:t>
      </w:r>
      <w:r>
        <w:rPr>
          <w:spacing w:val="-3"/>
        </w:rPr>
        <w:t>s</w:t>
      </w:r>
      <w:r>
        <w:t>.</w:t>
      </w:r>
      <w:r>
        <w:rPr>
          <w:spacing w:val="-9"/>
        </w:rPr>
        <w:t xml:space="preserve"> </w:t>
      </w:r>
      <w:r>
        <w:rPr>
          <w:spacing w:val="-2"/>
        </w:rPr>
        <w:t>T</w:t>
      </w:r>
      <w:r>
        <w:t>he car</w:t>
      </w:r>
      <w:r>
        <w:rPr>
          <w:spacing w:val="5"/>
        </w:rPr>
        <w:t>r</w:t>
      </w:r>
      <w:r>
        <w:t>ying amou</w:t>
      </w:r>
      <w:r>
        <w:rPr>
          <w:spacing w:val="-1"/>
        </w:rPr>
        <w:t>n</w:t>
      </w:r>
      <w:r>
        <w:t>t is equi</w:t>
      </w:r>
      <w:r>
        <w:rPr>
          <w:spacing w:val="-1"/>
        </w:rPr>
        <w:t>v</w:t>
      </w:r>
      <w:r>
        <w:t>ale</w:t>
      </w:r>
      <w:r>
        <w:rPr>
          <w:spacing w:val="-1"/>
        </w:rPr>
        <w:t>n</w:t>
      </w:r>
      <w:r>
        <w:t xml:space="preserve">t </w:t>
      </w:r>
      <w:r>
        <w:rPr>
          <w:spacing w:val="-2"/>
        </w:rPr>
        <w:t>t</w:t>
      </w:r>
      <w:r>
        <w:t xml:space="preserve">o fair </w:t>
      </w:r>
      <w:r>
        <w:rPr>
          <w:spacing w:val="-1"/>
        </w:rPr>
        <w:t>v</w:t>
      </w:r>
      <w:r>
        <w:t xml:space="preserve">alue as it is due </w:t>
      </w:r>
      <w:r>
        <w:rPr>
          <w:spacing w:val="-3"/>
        </w:rPr>
        <w:t>f</w:t>
      </w:r>
      <w:r>
        <w:t>or settleme</w:t>
      </w:r>
      <w:r>
        <w:rPr>
          <w:spacing w:val="-1"/>
        </w:rPr>
        <w:t>n</w:t>
      </w:r>
      <w:r>
        <w:t>t within 30 d</w:t>
      </w:r>
      <w:r>
        <w:rPr>
          <w:spacing w:val="-2"/>
        </w:rPr>
        <w:t>ay</w:t>
      </w:r>
      <w:r>
        <w:rPr>
          <w:spacing w:val="-3"/>
        </w:rPr>
        <w:t>s</w:t>
      </w:r>
      <w:r>
        <w:t>.</w:t>
      </w:r>
    </w:p>
    <w:p w14:paraId="5DA801D6" w14:textId="0B5965B9" w:rsidR="0021382E" w:rsidRPr="00DA1E18" w:rsidRDefault="0021382E" w:rsidP="0021382E">
      <w:pPr>
        <w:rPr>
          <w:rStyle w:val="Strong"/>
        </w:rPr>
      </w:pPr>
      <w:r w:rsidRPr="00DA1E18">
        <w:rPr>
          <w:rStyle w:val="Strong"/>
        </w:rPr>
        <w:t>(m) Investments and other financial assets</w:t>
      </w:r>
    </w:p>
    <w:p w14:paraId="7A88796C" w14:textId="4A5F95C5" w:rsidR="0021382E" w:rsidRPr="0021382E" w:rsidRDefault="0021382E" w:rsidP="0021382E">
      <w:pPr>
        <w:rPr>
          <w:color w:val="000000"/>
        </w:rPr>
      </w:pPr>
      <w:r>
        <w:rPr>
          <w:spacing w:val="3"/>
        </w:rPr>
        <w:t>O</w:t>
      </w:r>
      <w:r>
        <w:t>ther</w:t>
      </w:r>
      <w:r>
        <w:rPr>
          <w:spacing w:val="-1"/>
        </w:rPr>
        <w:t xml:space="preserve"> </w:t>
      </w:r>
      <w:r>
        <w:t>financial</w:t>
      </w:r>
      <w:r>
        <w:rPr>
          <w:spacing w:val="-1"/>
        </w:rPr>
        <w:t xml:space="preserve"> </w:t>
      </w:r>
      <w:r>
        <w:t>assets (</w:t>
      </w:r>
      <w:r>
        <w:rPr>
          <w:spacing w:val="-3"/>
        </w:rPr>
        <w:t>r</w:t>
      </w:r>
      <w:r>
        <w:t>e</w:t>
      </w:r>
      <w:r>
        <w:rPr>
          <w:spacing w:val="-3"/>
        </w:rPr>
        <w:t>f</w:t>
      </w:r>
      <w:r>
        <w:t>er</w:t>
      </w:r>
      <w:r>
        <w:rPr>
          <w:spacing w:val="-1"/>
        </w:rPr>
        <w:t xml:space="preserve"> </w:t>
      </w:r>
      <w:r>
        <w:rPr>
          <w:spacing w:val="-2"/>
        </w:rPr>
        <w:t>t</w:t>
      </w:r>
      <w:r>
        <w:t>o</w:t>
      </w:r>
      <w:r>
        <w:rPr>
          <w:spacing w:val="-1"/>
        </w:rPr>
        <w:t xml:space="preserve"> </w:t>
      </w:r>
      <w:r>
        <w:t>no</w:t>
      </w:r>
      <w:r>
        <w:rPr>
          <w:spacing w:val="-2"/>
        </w:rPr>
        <w:t>t</w:t>
      </w:r>
      <w:r>
        <w:t>e 21)</w:t>
      </w:r>
      <w:r>
        <w:rPr>
          <w:spacing w:val="-1"/>
        </w:rPr>
        <w:t xml:space="preserve"> </w:t>
      </w:r>
      <w:r>
        <w:rPr>
          <w:spacing w:val="-3"/>
        </w:rPr>
        <w:t>r</w:t>
      </w:r>
      <w:r>
        <w:t>ep</w:t>
      </w:r>
      <w:r>
        <w:rPr>
          <w:spacing w:val="-3"/>
        </w:rPr>
        <w:t>r</w:t>
      </w:r>
      <w:r>
        <w:t>ese</w:t>
      </w:r>
      <w:r>
        <w:rPr>
          <w:spacing w:val="-1"/>
        </w:rPr>
        <w:t>n</w:t>
      </w:r>
      <w:r>
        <w:t>ts</w:t>
      </w:r>
      <w:r>
        <w:rPr>
          <w:spacing w:val="-1"/>
        </w:rPr>
        <w:t xml:space="preserve"> </w:t>
      </w:r>
      <w:r>
        <w:t>the cash</w:t>
      </w:r>
      <w:r>
        <w:rPr>
          <w:spacing w:val="-1"/>
        </w:rPr>
        <w:t xml:space="preserve"> </w:t>
      </w:r>
      <w:r>
        <w:t>i</w:t>
      </w:r>
      <w:r>
        <w:rPr>
          <w:spacing w:val="-3"/>
        </w:rPr>
        <w:t>nv</w:t>
      </w:r>
      <w:r>
        <w:t>estme</w:t>
      </w:r>
      <w:r>
        <w:rPr>
          <w:spacing w:val="-1"/>
        </w:rPr>
        <w:t>n</w:t>
      </w:r>
      <w:r>
        <w:t>ts</w:t>
      </w:r>
      <w:r>
        <w:rPr>
          <w:spacing w:val="-1"/>
        </w:rPr>
        <w:t xml:space="preserve"> </w:t>
      </w:r>
      <w:r>
        <w:rPr>
          <w:spacing w:val="-2"/>
        </w:rPr>
        <w:t>b</w:t>
      </w:r>
      <w:r w:rsidR="00434DE9">
        <w:t>y the A</w:t>
      </w:r>
      <w:r>
        <w:t>uthori</w:t>
      </w:r>
      <w:r>
        <w:rPr>
          <w:spacing w:val="1"/>
        </w:rPr>
        <w:t>t</w:t>
      </w:r>
      <w:r>
        <w:rPr>
          <w:spacing w:val="-9"/>
        </w:rPr>
        <w:t>y</w:t>
      </w:r>
      <w:r>
        <w:t>.</w:t>
      </w:r>
    </w:p>
    <w:p w14:paraId="0604DC59" w14:textId="7F4CF825" w:rsidR="0021382E" w:rsidRDefault="0021382E" w:rsidP="0021382E">
      <w:pPr>
        <w:rPr>
          <w:color w:val="000000"/>
        </w:rPr>
      </w:pPr>
      <w:r>
        <w:rPr>
          <w:spacing w:val="-2"/>
        </w:rPr>
        <w:t>T</w:t>
      </w:r>
      <w:r>
        <w:t xml:space="preserve">he </w:t>
      </w:r>
      <w:r>
        <w:rPr>
          <w:spacing w:val="-3"/>
        </w:rPr>
        <w:t>A</w:t>
      </w:r>
      <w:r>
        <w:t>uthori</w:t>
      </w:r>
      <w:r>
        <w:rPr>
          <w:spacing w:val="1"/>
        </w:rPr>
        <w:t>t</w:t>
      </w:r>
      <w:r>
        <w:t>y mai</w:t>
      </w:r>
      <w:r>
        <w:rPr>
          <w:spacing w:val="-1"/>
        </w:rPr>
        <w:t>n</w:t>
      </w:r>
      <w:r>
        <w:t>tains cash balan</w:t>
      </w:r>
      <w:r>
        <w:rPr>
          <w:spacing w:val="-2"/>
        </w:rPr>
        <w:t>c</w:t>
      </w:r>
      <w:r>
        <w:t xml:space="preserve">es </w:t>
      </w:r>
      <w:r>
        <w:rPr>
          <w:spacing w:val="-2"/>
        </w:rPr>
        <w:t>t</w:t>
      </w:r>
      <w:r>
        <w:t>o meet gene</w:t>
      </w:r>
      <w:r>
        <w:rPr>
          <w:spacing w:val="-2"/>
        </w:rPr>
        <w:t>r</w:t>
      </w:r>
      <w:r>
        <w:t>al ope</w:t>
      </w:r>
      <w:r>
        <w:rPr>
          <w:spacing w:val="-2"/>
        </w:rPr>
        <w:t>r</w:t>
      </w:r>
      <w:r>
        <w:rPr>
          <w:spacing w:val="-1"/>
        </w:rPr>
        <w:t>a</w:t>
      </w:r>
      <w:r>
        <w:t xml:space="preserve">tional </w:t>
      </w:r>
      <w:r>
        <w:rPr>
          <w:spacing w:val="-2"/>
        </w:rPr>
        <w:t>c</w:t>
      </w:r>
      <w:r>
        <w:t>osts th</w:t>
      </w:r>
      <w:r>
        <w:rPr>
          <w:spacing w:val="-3"/>
        </w:rPr>
        <w:t>r</w:t>
      </w:r>
      <w:r>
        <w:t xml:space="preserve">oughout the </w:t>
      </w:r>
      <w:r>
        <w:rPr>
          <w:spacing w:val="-3"/>
        </w:rPr>
        <w:t>y</w:t>
      </w:r>
      <w:r>
        <w:t>ea</w:t>
      </w:r>
      <w:r>
        <w:rPr>
          <w:spacing w:val="-12"/>
        </w:rPr>
        <w:t>r</w:t>
      </w:r>
      <w:r>
        <w:t>, the futu</w:t>
      </w:r>
      <w:r>
        <w:rPr>
          <w:spacing w:val="-3"/>
        </w:rPr>
        <w:t>r</w:t>
      </w:r>
      <w:r>
        <w:t>e settleme</w:t>
      </w:r>
      <w:r>
        <w:rPr>
          <w:spacing w:val="-1"/>
        </w:rPr>
        <w:t>n</w:t>
      </w:r>
      <w:r>
        <w:t xml:space="preserve">t of </w:t>
      </w:r>
      <w:r>
        <w:rPr>
          <w:spacing w:val="-1"/>
        </w:rPr>
        <w:t>e</w:t>
      </w:r>
      <w:r>
        <w:t>xisting liabilities and asset</w:t>
      </w:r>
      <w:r>
        <w:rPr>
          <w:color w:val="000000"/>
        </w:rPr>
        <w:t xml:space="preserve"> </w:t>
      </w:r>
      <w:r>
        <w:rPr>
          <w:spacing w:val="-3"/>
        </w:rPr>
        <w:t>r</w:t>
      </w:r>
      <w:r>
        <w:t>epla</w:t>
      </w:r>
      <w:r>
        <w:rPr>
          <w:spacing w:val="-2"/>
        </w:rPr>
        <w:t>c</w:t>
      </w:r>
      <w:r>
        <w:t>eme</w:t>
      </w:r>
      <w:r>
        <w:rPr>
          <w:spacing w:val="-1"/>
        </w:rPr>
        <w:t>n</w:t>
      </w:r>
      <w:r>
        <w:t>t</w:t>
      </w:r>
      <w:r>
        <w:rPr>
          <w:spacing w:val="-3"/>
        </w:rPr>
        <w:t>s</w:t>
      </w:r>
      <w:r>
        <w:t>.</w:t>
      </w:r>
      <w:r>
        <w:rPr>
          <w:spacing w:val="-9"/>
        </w:rPr>
        <w:t xml:space="preserve"> </w:t>
      </w:r>
      <w:r>
        <w:rPr>
          <w:spacing w:val="-2"/>
        </w:rPr>
        <w:t>T</w:t>
      </w:r>
      <w:r>
        <w:t>he cash balan</w:t>
      </w:r>
      <w:r>
        <w:rPr>
          <w:spacing w:val="-2"/>
        </w:rPr>
        <w:t>c</w:t>
      </w:r>
      <w:r>
        <w:t>es a</w:t>
      </w:r>
      <w:r>
        <w:rPr>
          <w:spacing w:val="-3"/>
        </w:rPr>
        <w:t>r</w:t>
      </w:r>
      <w:r>
        <w:t>e i</w:t>
      </w:r>
      <w:r>
        <w:rPr>
          <w:spacing w:val="-3"/>
        </w:rPr>
        <w:t>nv</w:t>
      </w:r>
      <w:r>
        <w:t>es</w:t>
      </w:r>
      <w:r>
        <w:rPr>
          <w:spacing w:val="-2"/>
        </w:rPr>
        <w:t>t</w:t>
      </w:r>
      <w:r>
        <w:t>ed i</w:t>
      </w:r>
      <w:r>
        <w:rPr>
          <w:spacing w:val="-1"/>
        </w:rPr>
        <w:t>n</w:t>
      </w:r>
      <w:r>
        <w:rPr>
          <w:spacing w:val="-2"/>
        </w:rPr>
        <w:t>t</w:t>
      </w:r>
      <w:r>
        <w:t xml:space="preserve">o </w:t>
      </w:r>
      <w:r>
        <w:rPr>
          <w:spacing w:val="-2"/>
        </w:rPr>
        <w:t>t</w:t>
      </w:r>
      <w:r>
        <w:t>erm deposits th</w:t>
      </w:r>
      <w:r>
        <w:rPr>
          <w:spacing w:val="-1"/>
        </w:rPr>
        <w:t>a</w:t>
      </w:r>
      <w:r>
        <w:t xml:space="preserve">t </w:t>
      </w:r>
      <w:r>
        <w:rPr>
          <w:spacing w:val="-2"/>
        </w:rPr>
        <w:t>r</w:t>
      </w:r>
      <w:r>
        <w:t>ange f</w:t>
      </w:r>
      <w:r>
        <w:rPr>
          <w:spacing w:val="-3"/>
        </w:rPr>
        <w:t>r</w:t>
      </w:r>
      <w:r>
        <w:t>om 90 d</w:t>
      </w:r>
      <w:r>
        <w:rPr>
          <w:spacing w:val="-2"/>
        </w:rPr>
        <w:t>ay</w:t>
      </w:r>
      <w:r>
        <w:t xml:space="preserve">s </w:t>
      </w:r>
      <w:r>
        <w:rPr>
          <w:spacing w:val="-2"/>
        </w:rPr>
        <w:t>t</w:t>
      </w:r>
      <w:r>
        <w:t>o 365 d</w:t>
      </w:r>
      <w:r>
        <w:rPr>
          <w:spacing w:val="-2"/>
        </w:rPr>
        <w:t>ay</w:t>
      </w:r>
      <w:r>
        <w:rPr>
          <w:spacing w:val="-3"/>
        </w:rPr>
        <w:t>s</w:t>
      </w:r>
      <w:r>
        <w:t>.</w:t>
      </w:r>
    </w:p>
    <w:p w14:paraId="3811F20E" w14:textId="4FA00D41" w:rsidR="0021382E" w:rsidRPr="0025648F" w:rsidRDefault="0021382E" w:rsidP="0025648F">
      <w:pPr>
        <w:rPr>
          <w:color w:val="000000"/>
        </w:rPr>
      </w:pPr>
      <w:r>
        <w:rPr>
          <w:spacing w:val="-2"/>
        </w:rPr>
        <w:lastRenderedPageBreak/>
        <w:t>T</w:t>
      </w:r>
      <w:r>
        <w:t xml:space="preserve">he </w:t>
      </w:r>
      <w:r>
        <w:rPr>
          <w:spacing w:val="-3"/>
        </w:rPr>
        <w:t>A</w:t>
      </w:r>
      <w:r>
        <w:t>uthori</w:t>
      </w:r>
      <w:r>
        <w:rPr>
          <w:spacing w:val="1"/>
        </w:rPr>
        <w:t>t</w:t>
      </w:r>
      <w:r>
        <w:t xml:space="preserve">y assesses </w:t>
      </w:r>
      <w:r>
        <w:rPr>
          <w:spacing w:val="-1"/>
        </w:rPr>
        <w:t>a</w:t>
      </w:r>
      <w:r>
        <w:t>t each balan</w:t>
      </w:r>
      <w:r>
        <w:rPr>
          <w:spacing w:val="-2"/>
        </w:rPr>
        <w:t>c</w:t>
      </w:r>
      <w:r>
        <w:t>e d</w:t>
      </w:r>
      <w:r>
        <w:rPr>
          <w:spacing w:val="-1"/>
        </w:rPr>
        <w:t>a</w:t>
      </w:r>
      <w:r>
        <w:rPr>
          <w:spacing w:val="-2"/>
        </w:rPr>
        <w:t>t</w:t>
      </w:r>
      <w:r>
        <w:t>e whether the</w:t>
      </w:r>
      <w:r>
        <w:rPr>
          <w:spacing w:val="-3"/>
        </w:rPr>
        <w:t>r</w:t>
      </w:r>
      <w:r>
        <w:t>e is obje</w:t>
      </w:r>
      <w:r>
        <w:rPr>
          <w:spacing w:val="2"/>
        </w:rPr>
        <w:t>c</w:t>
      </w:r>
      <w:r>
        <w:t>ti</w:t>
      </w:r>
      <w:r>
        <w:rPr>
          <w:spacing w:val="-3"/>
        </w:rPr>
        <w:t>v</w:t>
      </w:r>
      <w:r>
        <w:t>e eviden</w:t>
      </w:r>
      <w:r>
        <w:rPr>
          <w:spacing w:val="-2"/>
        </w:rPr>
        <w:t>c</w:t>
      </w:r>
      <w:r>
        <w:t>e th</w:t>
      </w:r>
      <w:r>
        <w:rPr>
          <w:spacing w:val="-1"/>
        </w:rPr>
        <w:t>a</w:t>
      </w:r>
      <w:r>
        <w:t>t</w:t>
      </w:r>
      <w:r>
        <w:rPr>
          <w:spacing w:val="-2"/>
        </w:rPr>
        <w:t xml:space="preserve"> </w:t>
      </w:r>
      <w:r>
        <w:t>a</w:t>
      </w:r>
      <w:r>
        <w:rPr>
          <w:spacing w:val="-2"/>
        </w:rPr>
        <w:t xml:space="preserve"> </w:t>
      </w:r>
      <w:r>
        <w:t>financial</w:t>
      </w:r>
      <w:r>
        <w:rPr>
          <w:spacing w:val="-1"/>
        </w:rPr>
        <w:t xml:space="preserve"> </w:t>
      </w:r>
      <w:r>
        <w:t>asset</w:t>
      </w:r>
      <w:r>
        <w:rPr>
          <w:spacing w:val="-2"/>
        </w:rPr>
        <w:t xml:space="preserve"> </w:t>
      </w:r>
      <w:r>
        <w:t>or</w:t>
      </w:r>
      <w:r>
        <w:rPr>
          <w:spacing w:val="-1"/>
        </w:rPr>
        <w:t xml:space="preserve"> </w:t>
      </w:r>
      <w:r>
        <w:rPr>
          <w:spacing w:val="-2"/>
        </w:rPr>
        <w:t>g</w:t>
      </w:r>
      <w:r>
        <w:rPr>
          <w:spacing w:val="-3"/>
        </w:rPr>
        <w:t>r</w:t>
      </w:r>
      <w:r>
        <w:t>oup</w:t>
      </w:r>
      <w:r>
        <w:rPr>
          <w:spacing w:val="-2"/>
        </w:rPr>
        <w:t xml:space="preserve"> </w:t>
      </w:r>
      <w:r>
        <w:t>of</w:t>
      </w:r>
      <w:r>
        <w:rPr>
          <w:spacing w:val="-1"/>
        </w:rPr>
        <w:t xml:space="preserve"> </w:t>
      </w:r>
      <w:r>
        <w:t>financial</w:t>
      </w:r>
      <w:r>
        <w:rPr>
          <w:spacing w:val="-2"/>
        </w:rPr>
        <w:t xml:space="preserve"> </w:t>
      </w:r>
      <w:r>
        <w:t>assets</w:t>
      </w:r>
      <w:r>
        <w:rPr>
          <w:spacing w:val="-1"/>
        </w:rPr>
        <w:t xml:space="preserve"> </w:t>
      </w:r>
      <w:r>
        <w:t>is</w:t>
      </w:r>
      <w:r>
        <w:rPr>
          <w:spacing w:val="-2"/>
        </w:rPr>
        <w:t xml:space="preserve"> </w:t>
      </w:r>
      <w:r>
        <w:t>impai</w:t>
      </w:r>
      <w:r>
        <w:rPr>
          <w:spacing w:val="-3"/>
        </w:rPr>
        <w:t>r</w:t>
      </w:r>
      <w:r>
        <w:t>e</w:t>
      </w:r>
      <w:r>
        <w:rPr>
          <w:spacing w:val="-3"/>
        </w:rPr>
        <w:t>d</w:t>
      </w:r>
      <w:r>
        <w:t>.</w:t>
      </w:r>
    </w:p>
    <w:p w14:paraId="77C78A3F" w14:textId="00F39824" w:rsidR="0021382E" w:rsidRPr="00DA1E18" w:rsidRDefault="0021382E" w:rsidP="0021382E">
      <w:pPr>
        <w:rPr>
          <w:rStyle w:val="Strong"/>
        </w:rPr>
      </w:pPr>
      <w:r w:rsidRPr="00DA1E18">
        <w:rPr>
          <w:rStyle w:val="Strong"/>
        </w:rPr>
        <w:t>(n) Payables</w:t>
      </w:r>
    </w:p>
    <w:p w14:paraId="174EA4C4" w14:textId="2065B640" w:rsidR="0021382E" w:rsidRPr="0021382E" w:rsidRDefault="0021382E" w:rsidP="0021382E">
      <w:pPr>
        <w:rPr>
          <w:color w:val="000000"/>
        </w:rPr>
      </w:pPr>
      <w:r>
        <w:rPr>
          <w:spacing w:val="-6"/>
        </w:rPr>
        <w:t>P</w:t>
      </w:r>
      <w:r>
        <w:rPr>
          <w:spacing w:val="-2"/>
        </w:rPr>
        <w:t>a</w:t>
      </w:r>
      <w:r>
        <w:rPr>
          <w:spacing w:val="-1"/>
        </w:rPr>
        <w:t>y</w:t>
      </w:r>
      <w:r>
        <w:t>ables a</w:t>
      </w:r>
      <w:r>
        <w:rPr>
          <w:spacing w:val="-3"/>
        </w:rPr>
        <w:t>r</w:t>
      </w:r>
      <w:r>
        <w:t xml:space="preserve">e </w:t>
      </w:r>
      <w:r>
        <w:rPr>
          <w:spacing w:val="-3"/>
        </w:rPr>
        <w:t>r</w:t>
      </w:r>
      <w:r>
        <w:t>e</w:t>
      </w:r>
      <w:r>
        <w:rPr>
          <w:spacing w:val="-2"/>
        </w:rPr>
        <w:t>c</w:t>
      </w:r>
      <w:r>
        <w:t>o</w:t>
      </w:r>
      <w:r>
        <w:rPr>
          <w:spacing w:val="-2"/>
        </w:rPr>
        <w:t>g</w:t>
      </w:r>
      <w:r>
        <w:t xml:space="preserve">nised </w:t>
      </w:r>
      <w:r>
        <w:rPr>
          <w:spacing w:val="-1"/>
        </w:rPr>
        <w:t>a</w:t>
      </w:r>
      <w:r>
        <w:t>t the amou</w:t>
      </w:r>
      <w:r>
        <w:rPr>
          <w:spacing w:val="-1"/>
        </w:rPr>
        <w:t>n</w:t>
      </w:r>
      <w:r>
        <w:t>ts p</w:t>
      </w:r>
      <w:r>
        <w:rPr>
          <w:spacing w:val="-2"/>
        </w:rPr>
        <w:t>a</w:t>
      </w:r>
      <w:r>
        <w:rPr>
          <w:spacing w:val="-1"/>
        </w:rPr>
        <w:t>y</w:t>
      </w:r>
      <w:r>
        <w:t xml:space="preserve">able when the </w:t>
      </w:r>
      <w:r>
        <w:rPr>
          <w:spacing w:val="-3"/>
        </w:rPr>
        <w:t>A</w:t>
      </w:r>
      <w:r>
        <w:t>uthori</w:t>
      </w:r>
      <w:r>
        <w:rPr>
          <w:spacing w:val="1"/>
        </w:rPr>
        <w:t>t</w:t>
      </w:r>
      <w:r>
        <w:t>y be</w:t>
      </w:r>
      <w:r>
        <w:rPr>
          <w:spacing w:val="-2"/>
        </w:rPr>
        <w:t>c</w:t>
      </w:r>
      <w:r>
        <w:t xml:space="preserve">omes obliged </w:t>
      </w:r>
      <w:r>
        <w:rPr>
          <w:spacing w:val="-2"/>
        </w:rPr>
        <w:t>t</w:t>
      </w:r>
      <w:r>
        <w:t>o make futu</w:t>
      </w:r>
      <w:r>
        <w:rPr>
          <w:spacing w:val="-3"/>
        </w:rPr>
        <w:t>r</w:t>
      </w:r>
      <w:r>
        <w:t>e p</w:t>
      </w:r>
      <w:r>
        <w:rPr>
          <w:spacing w:val="-2"/>
        </w:rPr>
        <w:t>a</w:t>
      </w:r>
      <w:r>
        <w:t>yme</w:t>
      </w:r>
      <w:r>
        <w:rPr>
          <w:spacing w:val="-1"/>
        </w:rPr>
        <w:t>n</w:t>
      </w:r>
      <w:r>
        <w:t xml:space="preserve">ts as a </w:t>
      </w:r>
      <w:r>
        <w:rPr>
          <w:spacing w:val="-3"/>
        </w:rPr>
        <w:t>r</w:t>
      </w:r>
      <w:r>
        <w:t>esult of a pu</w:t>
      </w:r>
      <w:r>
        <w:rPr>
          <w:spacing w:val="-3"/>
        </w:rPr>
        <w:t>r</w:t>
      </w:r>
      <w:r>
        <w:t>chase of assets or se</w:t>
      </w:r>
      <w:r>
        <w:rPr>
          <w:spacing w:val="5"/>
        </w:rPr>
        <w:t>r</w:t>
      </w:r>
      <w:r>
        <w:t>vi</w:t>
      </w:r>
      <w:r>
        <w:rPr>
          <w:spacing w:val="-2"/>
        </w:rPr>
        <w:t>c</w:t>
      </w:r>
      <w:r>
        <w:t>e</w:t>
      </w:r>
      <w:r>
        <w:rPr>
          <w:spacing w:val="-3"/>
        </w:rPr>
        <w:t>s</w:t>
      </w:r>
      <w:r>
        <w:t xml:space="preserve">. </w:t>
      </w:r>
      <w:r>
        <w:rPr>
          <w:spacing w:val="-2"/>
        </w:rPr>
        <w:t>T</w:t>
      </w:r>
      <w:r>
        <w:t>he car</w:t>
      </w:r>
      <w:r>
        <w:rPr>
          <w:spacing w:val="5"/>
        </w:rPr>
        <w:t>r</w:t>
      </w:r>
      <w:r>
        <w:t>ying amou</w:t>
      </w:r>
      <w:r>
        <w:rPr>
          <w:spacing w:val="-1"/>
        </w:rPr>
        <w:t>n</w:t>
      </w:r>
      <w:r>
        <w:t>t is equi</w:t>
      </w:r>
      <w:r>
        <w:rPr>
          <w:spacing w:val="-1"/>
        </w:rPr>
        <w:t>v</w:t>
      </w:r>
      <w:r>
        <w:t>ale</w:t>
      </w:r>
      <w:r>
        <w:rPr>
          <w:spacing w:val="-1"/>
        </w:rPr>
        <w:t>n</w:t>
      </w:r>
      <w:r>
        <w:t xml:space="preserve">t </w:t>
      </w:r>
      <w:r>
        <w:rPr>
          <w:spacing w:val="-2"/>
        </w:rPr>
        <w:t>t</w:t>
      </w:r>
      <w:r>
        <w:t xml:space="preserve">o fair </w:t>
      </w:r>
      <w:r>
        <w:rPr>
          <w:spacing w:val="-1"/>
        </w:rPr>
        <w:t>v</w:t>
      </w:r>
      <w:r>
        <w:t>alu</w:t>
      </w:r>
      <w:r>
        <w:rPr>
          <w:spacing w:val="-3"/>
        </w:rPr>
        <w:t>e</w:t>
      </w:r>
      <w:r>
        <w:t>, as settleme</w:t>
      </w:r>
      <w:r>
        <w:rPr>
          <w:spacing w:val="-1"/>
        </w:rPr>
        <w:t>n</w:t>
      </w:r>
      <w:r>
        <w:t>t is gene</w:t>
      </w:r>
      <w:r>
        <w:rPr>
          <w:spacing w:val="-2"/>
        </w:rPr>
        <w:t>r</w:t>
      </w:r>
      <w:r>
        <w:t>ally within 30 d</w:t>
      </w:r>
      <w:r>
        <w:rPr>
          <w:spacing w:val="-2"/>
        </w:rPr>
        <w:t>ay</w:t>
      </w:r>
      <w:r>
        <w:rPr>
          <w:spacing w:val="-3"/>
        </w:rPr>
        <w:t>s</w:t>
      </w:r>
      <w:r>
        <w:t>.</w:t>
      </w:r>
    </w:p>
    <w:p w14:paraId="7207BAB2" w14:textId="790D7BCB" w:rsidR="0021382E" w:rsidRPr="00DA1E18" w:rsidRDefault="0021382E" w:rsidP="0021382E">
      <w:pPr>
        <w:rPr>
          <w:rStyle w:val="Strong"/>
        </w:rPr>
      </w:pPr>
      <w:r w:rsidRPr="00DA1E18">
        <w:rPr>
          <w:rStyle w:val="Strong"/>
        </w:rPr>
        <w:t>(o) Provisions</w:t>
      </w:r>
    </w:p>
    <w:p w14:paraId="2D923B0C" w14:textId="77777777" w:rsidR="0021382E" w:rsidRDefault="0021382E" w:rsidP="0021382E">
      <w:pPr>
        <w:rPr>
          <w:color w:val="000000"/>
        </w:rPr>
      </w:pPr>
      <w:r>
        <w:rPr>
          <w:spacing w:val="-4"/>
        </w:rPr>
        <w:t>P</w:t>
      </w:r>
      <w:r>
        <w:rPr>
          <w:spacing w:val="-3"/>
        </w:rPr>
        <w:t>r</w:t>
      </w:r>
      <w:r>
        <w:rPr>
          <w:spacing w:val="-2"/>
        </w:rPr>
        <w:t>o</w:t>
      </w:r>
      <w:r>
        <w:t>visions a</w:t>
      </w:r>
      <w:r>
        <w:rPr>
          <w:spacing w:val="-3"/>
        </w:rPr>
        <w:t>r</w:t>
      </w:r>
      <w:r>
        <w:t>e liabilities of un</w:t>
      </w:r>
      <w:r>
        <w:rPr>
          <w:spacing w:val="-2"/>
        </w:rPr>
        <w:t>c</w:t>
      </w:r>
      <w:r>
        <w:t>e</w:t>
      </w:r>
      <w:r>
        <w:rPr>
          <w:spacing w:val="5"/>
        </w:rPr>
        <w:t>r</w:t>
      </w:r>
      <w:r>
        <w:t>tain timing or amou</w:t>
      </w:r>
      <w:r>
        <w:rPr>
          <w:spacing w:val="-1"/>
        </w:rPr>
        <w:t>n</w:t>
      </w:r>
      <w:r>
        <w:t>t and a</w:t>
      </w:r>
      <w:r>
        <w:rPr>
          <w:spacing w:val="-3"/>
        </w:rPr>
        <w:t>r</w:t>
      </w:r>
      <w:r>
        <w:t xml:space="preserve">e </w:t>
      </w:r>
      <w:r>
        <w:rPr>
          <w:spacing w:val="-3"/>
        </w:rPr>
        <w:t>r</w:t>
      </w:r>
      <w:r>
        <w:t>e</w:t>
      </w:r>
      <w:r>
        <w:rPr>
          <w:spacing w:val="-2"/>
        </w:rPr>
        <w:t>c</w:t>
      </w:r>
      <w:r>
        <w:t>o</w:t>
      </w:r>
      <w:r>
        <w:rPr>
          <w:spacing w:val="-2"/>
        </w:rPr>
        <w:t>g</w:t>
      </w:r>
      <w:r>
        <w:t>nised whe</w:t>
      </w:r>
      <w:r>
        <w:rPr>
          <w:spacing w:val="-3"/>
        </w:rPr>
        <w:t>r</w:t>
      </w:r>
      <w:r>
        <w:t>e the</w:t>
      </w:r>
      <w:r>
        <w:rPr>
          <w:spacing w:val="-3"/>
        </w:rPr>
        <w:t>r</w:t>
      </w:r>
      <w:r>
        <w:t>e is a p</w:t>
      </w:r>
      <w:r>
        <w:rPr>
          <w:spacing w:val="-3"/>
        </w:rPr>
        <w:t>r</w:t>
      </w:r>
      <w:r>
        <w:t>ese</w:t>
      </w:r>
      <w:r>
        <w:rPr>
          <w:spacing w:val="-1"/>
        </w:rPr>
        <w:t>n</w:t>
      </w:r>
      <w:r>
        <w:t xml:space="preserve">t legal or </w:t>
      </w:r>
      <w:r>
        <w:rPr>
          <w:spacing w:val="-2"/>
        </w:rPr>
        <w:t>c</w:t>
      </w:r>
      <w:r>
        <w:t>onstru</w:t>
      </w:r>
      <w:r>
        <w:rPr>
          <w:spacing w:val="2"/>
        </w:rPr>
        <w:t>c</w:t>
      </w:r>
      <w:r>
        <w:t>ti</w:t>
      </w:r>
      <w:r>
        <w:rPr>
          <w:spacing w:val="-3"/>
        </w:rPr>
        <w:t>v</w:t>
      </w:r>
      <w:r>
        <w:t>e oblig</w:t>
      </w:r>
      <w:r>
        <w:rPr>
          <w:spacing w:val="-1"/>
        </w:rPr>
        <w:t>a</w:t>
      </w:r>
      <w:r>
        <w:t xml:space="preserve">tion as a </w:t>
      </w:r>
      <w:r>
        <w:rPr>
          <w:spacing w:val="-3"/>
        </w:rPr>
        <w:t>r</w:t>
      </w:r>
      <w:r>
        <w:t>esult of a past e</w:t>
      </w:r>
      <w:r>
        <w:rPr>
          <w:spacing w:val="-3"/>
        </w:rPr>
        <w:t>v</w:t>
      </w:r>
      <w:r>
        <w:t>e</w:t>
      </w:r>
      <w:r>
        <w:rPr>
          <w:spacing w:val="-1"/>
        </w:rPr>
        <w:t>n</w:t>
      </w:r>
      <w:r>
        <w:t>t and when</w:t>
      </w:r>
      <w:r>
        <w:rPr>
          <w:spacing w:val="-2"/>
        </w:rPr>
        <w:t xml:space="preserve"> </w:t>
      </w:r>
      <w:r>
        <w:t>the</w:t>
      </w:r>
      <w:r>
        <w:rPr>
          <w:spacing w:val="-1"/>
        </w:rPr>
        <w:t xml:space="preserve"> </w:t>
      </w:r>
      <w:r>
        <w:t>outfl</w:t>
      </w:r>
      <w:r>
        <w:rPr>
          <w:spacing w:val="-2"/>
        </w:rPr>
        <w:t>o</w:t>
      </w:r>
      <w:r>
        <w:t>w</w:t>
      </w:r>
      <w:r>
        <w:rPr>
          <w:spacing w:val="-1"/>
        </w:rPr>
        <w:t xml:space="preserve"> </w:t>
      </w:r>
      <w:r>
        <w:t>of</w:t>
      </w:r>
      <w:r>
        <w:rPr>
          <w:spacing w:val="-2"/>
        </w:rPr>
        <w:t xml:space="preserve"> </w:t>
      </w:r>
      <w:r>
        <w:rPr>
          <w:spacing w:val="-3"/>
        </w:rPr>
        <w:t>r</w:t>
      </w:r>
      <w:r>
        <w:t>esou</w:t>
      </w:r>
      <w:r>
        <w:rPr>
          <w:spacing w:val="-3"/>
        </w:rPr>
        <w:t>r</w:t>
      </w:r>
      <w:r>
        <w:rPr>
          <w:spacing w:val="-2"/>
        </w:rPr>
        <w:t>c</w:t>
      </w:r>
      <w:r>
        <w:t>es</w:t>
      </w:r>
      <w:r>
        <w:rPr>
          <w:spacing w:val="-1"/>
        </w:rPr>
        <w:t xml:space="preserve"> </w:t>
      </w:r>
      <w:r>
        <w:t>embodying</w:t>
      </w:r>
      <w:r>
        <w:rPr>
          <w:spacing w:val="-1"/>
        </w:rPr>
        <w:t xml:space="preserve"> </w:t>
      </w:r>
      <w:r>
        <w:t>e</w:t>
      </w:r>
      <w:r>
        <w:rPr>
          <w:spacing w:val="-2"/>
        </w:rPr>
        <w:t>c</w:t>
      </w:r>
      <w:r>
        <w:t>onomic</w:t>
      </w:r>
      <w:r>
        <w:rPr>
          <w:spacing w:val="-2"/>
        </w:rPr>
        <w:t xml:space="preserve"> </w:t>
      </w:r>
      <w:r>
        <w:t>benefits</w:t>
      </w:r>
      <w:r>
        <w:rPr>
          <w:spacing w:val="-1"/>
        </w:rPr>
        <w:t xml:space="preserve"> </w:t>
      </w:r>
      <w:r>
        <w:t>is</w:t>
      </w:r>
      <w:r>
        <w:rPr>
          <w:spacing w:val="-1"/>
        </w:rPr>
        <w:t xml:space="preserve"> </w:t>
      </w:r>
      <w:r>
        <w:t>p</w:t>
      </w:r>
      <w:r>
        <w:rPr>
          <w:spacing w:val="-3"/>
        </w:rPr>
        <w:t>r</w:t>
      </w:r>
      <w:r>
        <w:t>obable</w:t>
      </w:r>
      <w:r>
        <w:rPr>
          <w:spacing w:val="-1"/>
        </w:rPr>
        <w:t xml:space="preserve"> </w:t>
      </w:r>
      <w:r>
        <w:t>and</w:t>
      </w:r>
    </w:p>
    <w:p w14:paraId="5BACB6C1" w14:textId="3DEBE2E7" w:rsidR="0021382E" w:rsidRPr="0021382E" w:rsidRDefault="0021382E" w:rsidP="0021382E">
      <w:pPr>
        <w:rPr>
          <w:color w:val="000000"/>
        </w:rPr>
      </w:pPr>
      <w:r>
        <w:t xml:space="preserve">a </w:t>
      </w:r>
      <w:r>
        <w:rPr>
          <w:spacing w:val="-3"/>
        </w:rPr>
        <w:t>r</w:t>
      </w:r>
      <w:r>
        <w:t>eliable estim</w:t>
      </w:r>
      <w:r>
        <w:rPr>
          <w:spacing w:val="-1"/>
        </w:rPr>
        <w:t>a</w:t>
      </w:r>
      <w:r>
        <w:rPr>
          <w:spacing w:val="-2"/>
        </w:rPr>
        <w:t>t</w:t>
      </w:r>
      <w:r>
        <w:t>e can be made of the amou</w:t>
      </w:r>
      <w:r>
        <w:rPr>
          <w:spacing w:val="-1"/>
        </w:rPr>
        <w:t>n</w:t>
      </w:r>
      <w:r>
        <w:t>t of the oblig</w:t>
      </w:r>
      <w:r>
        <w:rPr>
          <w:spacing w:val="-1"/>
        </w:rPr>
        <w:t>a</w:t>
      </w:r>
      <w:r>
        <w:t>tion.</w:t>
      </w:r>
      <w:r>
        <w:rPr>
          <w:spacing w:val="46"/>
        </w:rPr>
        <w:t xml:space="preserve"> </w:t>
      </w:r>
      <w:r>
        <w:rPr>
          <w:spacing w:val="-4"/>
        </w:rPr>
        <w:t>P</w:t>
      </w:r>
      <w:r>
        <w:rPr>
          <w:spacing w:val="-3"/>
        </w:rPr>
        <w:t>r</w:t>
      </w:r>
      <w:r>
        <w:rPr>
          <w:spacing w:val="-2"/>
        </w:rPr>
        <w:t>o</w:t>
      </w:r>
      <w:r>
        <w:t>visions a</w:t>
      </w:r>
      <w:r>
        <w:rPr>
          <w:spacing w:val="-3"/>
        </w:rPr>
        <w:t>r</w:t>
      </w:r>
      <w:r>
        <w:t xml:space="preserve">e </w:t>
      </w:r>
      <w:r>
        <w:rPr>
          <w:spacing w:val="-3"/>
        </w:rPr>
        <w:t>r</w:t>
      </w:r>
      <w:r>
        <w:t>evie</w:t>
      </w:r>
      <w:r>
        <w:rPr>
          <w:spacing w:val="-3"/>
        </w:rPr>
        <w:t>w</w:t>
      </w:r>
      <w:r>
        <w:t xml:space="preserve">ed </w:t>
      </w:r>
      <w:r>
        <w:rPr>
          <w:spacing w:val="-1"/>
        </w:rPr>
        <w:t>a</w:t>
      </w:r>
      <w:r>
        <w:t xml:space="preserve">t the end of each </w:t>
      </w:r>
      <w:r>
        <w:rPr>
          <w:spacing w:val="-3"/>
        </w:rPr>
        <w:t>r</w:t>
      </w:r>
      <w:r>
        <w:t>epo</w:t>
      </w:r>
      <w:r>
        <w:rPr>
          <w:spacing w:val="5"/>
        </w:rPr>
        <w:t>r</w:t>
      </w:r>
      <w:r>
        <w:t>ting perio</w:t>
      </w:r>
      <w:r>
        <w:rPr>
          <w:spacing w:val="-3"/>
        </w:rPr>
        <w:t>d</w:t>
      </w:r>
      <w:r>
        <w:t>.</w:t>
      </w:r>
    </w:p>
    <w:p w14:paraId="0BEBEB99" w14:textId="4361A465" w:rsidR="0021382E" w:rsidRPr="00DA1E18" w:rsidRDefault="0021382E" w:rsidP="0021382E">
      <w:pPr>
        <w:rPr>
          <w:rStyle w:val="Strong"/>
        </w:rPr>
      </w:pPr>
      <w:r w:rsidRPr="00DA1E18">
        <w:rPr>
          <w:rStyle w:val="Strong"/>
        </w:rPr>
        <w:t xml:space="preserve">Provisions </w:t>
      </w:r>
      <w:r w:rsidR="008D55FD" w:rsidRPr="00DA1E18">
        <w:rPr>
          <w:rStyle w:val="Strong"/>
        </w:rPr>
        <w:t>–</w:t>
      </w:r>
      <w:r w:rsidRPr="00DA1E18">
        <w:rPr>
          <w:rStyle w:val="Strong"/>
        </w:rPr>
        <w:t xml:space="preserve"> employee benefits</w:t>
      </w:r>
    </w:p>
    <w:p w14:paraId="206FDC4D" w14:textId="77777777" w:rsidR="0021382E" w:rsidRDefault="0021382E" w:rsidP="0021382E">
      <w:pPr>
        <w:rPr>
          <w:color w:val="000000"/>
        </w:rPr>
      </w:pPr>
      <w:r>
        <w:rPr>
          <w:spacing w:val="-1"/>
        </w:rPr>
        <w:t>A</w:t>
      </w:r>
      <w:r>
        <w:t>ll annual le</w:t>
      </w:r>
      <w:r>
        <w:rPr>
          <w:spacing w:val="-2"/>
        </w:rPr>
        <w:t>a</w:t>
      </w:r>
      <w:r>
        <w:rPr>
          <w:spacing w:val="-3"/>
        </w:rPr>
        <w:t>v</w:t>
      </w:r>
      <w:r>
        <w:t>e and long se</w:t>
      </w:r>
      <w:r>
        <w:rPr>
          <w:spacing w:val="5"/>
        </w:rPr>
        <w:t>r</w:t>
      </w:r>
      <w:r>
        <w:t>vi</w:t>
      </w:r>
      <w:r>
        <w:rPr>
          <w:spacing w:val="-2"/>
        </w:rPr>
        <w:t>c</w:t>
      </w:r>
      <w:r>
        <w:t>e le</w:t>
      </w:r>
      <w:r>
        <w:rPr>
          <w:spacing w:val="-2"/>
        </w:rPr>
        <w:t>a</w:t>
      </w:r>
      <w:r>
        <w:rPr>
          <w:spacing w:val="-3"/>
        </w:rPr>
        <w:t>v</w:t>
      </w:r>
      <w:r>
        <w:t>e p</w:t>
      </w:r>
      <w:r>
        <w:rPr>
          <w:spacing w:val="-3"/>
        </w:rPr>
        <w:t>r</w:t>
      </w:r>
      <w:r>
        <w:rPr>
          <w:spacing w:val="-2"/>
        </w:rPr>
        <w:t>o</w:t>
      </w:r>
      <w:r>
        <w:t>visions a</w:t>
      </w:r>
      <w:r>
        <w:rPr>
          <w:spacing w:val="-3"/>
        </w:rPr>
        <w:t>r</w:t>
      </w:r>
      <w:r>
        <w:t xml:space="preserve">e in </w:t>
      </w:r>
      <w:r>
        <w:rPr>
          <w:spacing w:val="-3"/>
        </w:rPr>
        <w:t>r</w:t>
      </w:r>
      <w:r>
        <w:t>espe</w:t>
      </w:r>
      <w:r>
        <w:rPr>
          <w:spacing w:val="2"/>
        </w:rPr>
        <w:t>c</w:t>
      </w:r>
      <w:r>
        <w:t>t of empl</w:t>
      </w:r>
      <w:r>
        <w:rPr>
          <w:spacing w:val="-2"/>
        </w:rPr>
        <w:t>o</w:t>
      </w:r>
      <w:r>
        <w:rPr>
          <w:spacing w:val="-3"/>
        </w:rPr>
        <w:t>y</w:t>
      </w:r>
      <w:r>
        <w:t>ee</w:t>
      </w:r>
      <w:r>
        <w:rPr>
          <w:spacing w:val="-4"/>
        </w:rPr>
        <w:t>s</w:t>
      </w:r>
      <w:r>
        <w:t>’ se</w:t>
      </w:r>
      <w:r>
        <w:rPr>
          <w:spacing w:val="5"/>
        </w:rPr>
        <w:t>r</w:t>
      </w:r>
      <w:r>
        <w:t>vi</w:t>
      </w:r>
      <w:r>
        <w:rPr>
          <w:spacing w:val="-2"/>
        </w:rPr>
        <w:t>c</w:t>
      </w:r>
      <w:r>
        <w:t xml:space="preserve">es up </w:t>
      </w:r>
      <w:r>
        <w:rPr>
          <w:spacing w:val="-2"/>
        </w:rPr>
        <w:t>t</w:t>
      </w:r>
      <w:r>
        <w:t xml:space="preserve">o the end of the </w:t>
      </w:r>
      <w:r>
        <w:rPr>
          <w:spacing w:val="-3"/>
        </w:rPr>
        <w:t>r</w:t>
      </w:r>
      <w:r>
        <w:t>epo</w:t>
      </w:r>
      <w:r>
        <w:rPr>
          <w:spacing w:val="5"/>
        </w:rPr>
        <w:t>r</w:t>
      </w:r>
      <w:r>
        <w:t>ting perio</w:t>
      </w:r>
      <w:r>
        <w:rPr>
          <w:spacing w:val="-3"/>
        </w:rPr>
        <w:t>d</w:t>
      </w:r>
      <w:r>
        <w:t>.</w:t>
      </w:r>
    </w:p>
    <w:p w14:paraId="41394469" w14:textId="77777777" w:rsidR="0021382E" w:rsidRPr="00DA1E18" w:rsidRDefault="0021382E" w:rsidP="0021382E">
      <w:pPr>
        <w:rPr>
          <w:rStyle w:val="Strong"/>
          <w:i/>
        </w:rPr>
      </w:pPr>
      <w:r w:rsidRPr="00DA1E18">
        <w:rPr>
          <w:rStyle w:val="Strong"/>
          <w:i/>
        </w:rPr>
        <w:t>Annual leave</w:t>
      </w:r>
    </w:p>
    <w:p w14:paraId="6A676B07" w14:textId="1D6C8B04" w:rsidR="0021382E" w:rsidRPr="0021382E" w:rsidRDefault="0021382E" w:rsidP="0021382E">
      <w:pPr>
        <w:rPr>
          <w:color w:val="000000"/>
        </w:rPr>
      </w:pPr>
      <w:r>
        <w:rPr>
          <w:spacing w:val="-1"/>
        </w:rPr>
        <w:t>A</w:t>
      </w:r>
      <w:r>
        <w:t>nnual le</w:t>
      </w:r>
      <w:r>
        <w:rPr>
          <w:spacing w:val="-2"/>
        </w:rPr>
        <w:t>a</w:t>
      </w:r>
      <w:r>
        <w:rPr>
          <w:spacing w:val="-3"/>
        </w:rPr>
        <w:t>v</w:t>
      </w:r>
      <w:r>
        <w:t xml:space="preserve">e is not </w:t>
      </w:r>
      <w:r>
        <w:rPr>
          <w:spacing w:val="-1"/>
        </w:rPr>
        <w:t>e</w:t>
      </w:r>
      <w:r>
        <w:t>xpe</w:t>
      </w:r>
      <w:r>
        <w:rPr>
          <w:spacing w:val="2"/>
        </w:rPr>
        <w:t>c</w:t>
      </w:r>
      <w:r>
        <w:rPr>
          <w:spacing w:val="-2"/>
        </w:rPr>
        <w:t>t</w:t>
      </w:r>
      <w:r>
        <w:t xml:space="preserve">ed </w:t>
      </w:r>
      <w:r>
        <w:rPr>
          <w:spacing w:val="-2"/>
        </w:rPr>
        <w:t>t</w:t>
      </w:r>
      <w:r>
        <w:t>o be settled wholly within 12 mo</w:t>
      </w:r>
      <w:r>
        <w:rPr>
          <w:spacing w:val="-1"/>
        </w:rPr>
        <w:t>n</w:t>
      </w:r>
      <w:r>
        <w:t>ths a</w:t>
      </w:r>
      <w:r>
        <w:rPr>
          <w:spacing w:val="2"/>
        </w:rPr>
        <w:t>f</w:t>
      </w:r>
      <w:r>
        <w:rPr>
          <w:spacing w:val="-2"/>
        </w:rPr>
        <w:t>t</w:t>
      </w:r>
      <w:r>
        <w:t xml:space="preserve">er the end of the </w:t>
      </w:r>
      <w:r>
        <w:rPr>
          <w:spacing w:val="-3"/>
        </w:rPr>
        <w:t>r</w:t>
      </w:r>
      <w:r>
        <w:t>epo</w:t>
      </w:r>
      <w:r>
        <w:rPr>
          <w:spacing w:val="5"/>
        </w:rPr>
        <w:t>r</w:t>
      </w:r>
      <w:r>
        <w:t>ting period and is the</w:t>
      </w:r>
      <w:r>
        <w:rPr>
          <w:spacing w:val="-3"/>
        </w:rPr>
        <w:t>r</w:t>
      </w:r>
      <w:r>
        <w:t>e</w:t>
      </w:r>
      <w:r>
        <w:rPr>
          <w:spacing w:val="-3"/>
        </w:rPr>
        <w:t>f</w:t>
      </w:r>
      <w:r>
        <w:t>o</w:t>
      </w:r>
      <w:r>
        <w:rPr>
          <w:spacing w:val="-3"/>
        </w:rPr>
        <w:t>r</w:t>
      </w:r>
      <w:r>
        <w:t xml:space="preserve">e </w:t>
      </w:r>
      <w:r>
        <w:rPr>
          <w:spacing w:val="-2"/>
        </w:rPr>
        <w:t>c</w:t>
      </w:r>
      <w:r>
        <w:t>onside</w:t>
      </w:r>
      <w:r>
        <w:rPr>
          <w:spacing w:val="-3"/>
        </w:rPr>
        <w:t>r</w:t>
      </w:r>
      <w:r>
        <w:t xml:space="preserve">ed </w:t>
      </w:r>
      <w:r>
        <w:rPr>
          <w:spacing w:val="-2"/>
        </w:rPr>
        <w:t>t</w:t>
      </w:r>
      <w:r>
        <w:t>o be</w:t>
      </w:r>
      <w:r>
        <w:rPr>
          <w:spacing w:val="-19"/>
        </w:rPr>
        <w:t xml:space="preserve"> </w:t>
      </w:r>
      <w:r>
        <w:rPr>
          <w:spacing w:val="-15"/>
        </w:rPr>
        <w:t>‘</w:t>
      </w:r>
      <w:r>
        <w:t xml:space="preserve">other long </w:t>
      </w:r>
      <w:r>
        <w:rPr>
          <w:spacing w:val="-2"/>
        </w:rPr>
        <w:t>t</w:t>
      </w:r>
      <w:r>
        <w:t>erm empl</w:t>
      </w:r>
      <w:r>
        <w:rPr>
          <w:spacing w:val="-2"/>
        </w:rPr>
        <w:t>o</w:t>
      </w:r>
      <w:r>
        <w:rPr>
          <w:spacing w:val="-3"/>
        </w:rPr>
        <w:t>y</w:t>
      </w:r>
      <w:r>
        <w:t>ee</w:t>
      </w:r>
      <w:r>
        <w:rPr>
          <w:spacing w:val="-1"/>
        </w:rPr>
        <w:t xml:space="preserve"> </w:t>
      </w:r>
      <w:r>
        <w:t>benefit</w:t>
      </w:r>
      <w:r>
        <w:rPr>
          <w:spacing w:val="-5"/>
        </w:rPr>
        <w:t>s</w:t>
      </w:r>
      <w:r>
        <w:rPr>
          <w:spacing w:val="-34"/>
        </w:rPr>
        <w:t>’</w:t>
      </w:r>
      <w:r>
        <w:t>.</w:t>
      </w:r>
      <w:r>
        <w:rPr>
          <w:spacing w:val="37"/>
        </w:rPr>
        <w:t xml:space="preserve"> </w:t>
      </w:r>
      <w:r>
        <w:rPr>
          <w:spacing w:val="-2"/>
        </w:rPr>
        <w:t>T</w:t>
      </w:r>
      <w:r>
        <w:t>he</w:t>
      </w:r>
      <w:r>
        <w:rPr>
          <w:spacing w:val="-1"/>
        </w:rPr>
        <w:t xml:space="preserve"> </w:t>
      </w:r>
      <w:r>
        <w:t>annual le</w:t>
      </w:r>
      <w:r>
        <w:rPr>
          <w:spacing w:val="-2"/>
        </w:rPr>
        <w:t>a</w:t>
      </w:r>
      <w:r>
        <w:rPr>
          <w:spacing w:val="-3"/>
        </w:rPr>
        <w:t>v</w:t>
      </w:r>
      <w:r>
        <w:t>e</w:t>
      </w:r>
      <w:r>
        <w:rPr>
          <w:spacing w:val="-1"/>
        </w:rPr>
        <w:t xml:space="preserve"> </w:t>
      </w:r>
      <w:r>
        <w:t>liabili</w:t>
      </w:r>
      <w:r>
        <w:rPr>
          <w:spacing w:val="1"/>
        </w:rPr>
        <w:t>t</w:t>
      </w:r>
      <w:r>
        <w:t>y</w:t>
      </w:r>
      <w:r>
        <w:rPr>
          <w:spacing w:val="-1"/>
        </w:rPr>
        <w:t xml:space="preserve"> </w:t>
      </w:r>
      <w:r>
        <w:t xml:space="preserve">is </w:t>
      </w:r>
      <w:r>
        <w:rPr>
          <w:spacing w:val="-3"/>
        </w:rPr>
        <w:t>r</w:t>
      </w:r>
      <w:r>
        <w:t>e</w:t>
      </w:r>
      <w:r>
        <w:rPr>
          <w:spacing w:val="-2"/>
        </w:rPr>
        <w:t>c</w:t>
      </w:r>
      <w:r>
        <w:t>o</w:t>
      </w:r>
      <w:r>
        <w:rPr>
          <w:spacing w:val="-2"/>
        </w:rPr>
        <w:t>g</w:t>
      </w:r>
      <w:r>
        <w:t>nised</w:t>
      </w:r>
      <w:r>
        <w:rPr>
          <w:spacing w:val="-1"/>
        </w:rPr>
        <w:t xml:space="preserve"> </w:t>
      </w:r>
      <w:r>
        <w:t>and measu</w:t>
      </w:r>
      <w:r>
        <w:rPr>
          <w:spacing w:val="-3"/>
        </w:rPr>
        <w:t>r</w:t>
      </w:r>
      <w:r>
        <w:t>ed</w:t>
      </w:r>
      <w:r>
        <w:rPr>
          <w:spacing w:val="-1"/>
        </w:rPr>
        <w:t xml:space="preserve"> a</w:t>
      </w:r>
      <w:r>
        <w:t>t the p</w:t>
      </w:r>
      <w:r>
        <w:rPr>
          <w:spacing w:val="-3"/>
        </w:rPr>
        <w:t>r</w:t>
      </w:r>
      <w:r>
        <w:t>ese</w:t>
      </w:r>
      <w:r>
        <w:rPr>
          <w:spacing w:val="-1"/>
        </w:rPr>
        <w:t>n</w:t>
      </w:r>
      <w:r>
        <w:t xml:space="preserve">t </w:t>
      </w:r>
      <w:r>
        <w:rPr>
          <w:spacing w:val="-1"/>
        </w:rPr>
        <w:t>v</w:t>
      </w:r>
      <w:r>
        <w:t>alue of amou</w:t>
      </w:r>
      <w:r>
        <w:rPr>
          <w:spacing w:val="-1"/>
        </w:rPr>
        <w:t>n</w:t>
      </w:r>
      <w:r>
        <w:t xml:space="preserve">ts </w:t>
      </w:r>
      <w:r>
        <w:rPr>
          <w:spacing w:val="-1"/>
        </w:rPr>
        <w:t>e</w:t>
      </w:r>
      <w:r>
        <w:t>xpe</w:t>
      </w:r>
      <w:r>
        <w:rPr>
          <w:spacing w:val="2"/>
        </w:rPr>
        <w:t>c</w:t>
      </w:r>
      <w:r>
        <w:rPr>
          <w:spacing w:val="-2"/>
        </w:rPr>
        <w:t>t</w:t>
      </w:r>
      <w:r>
        <w:t xml:space="preserve">ed </w:t>
      </w:r>
      <w:r>
        <w:rPr>
          <w:spacing w:val="-2"/>
        </w:rPr>
        <w:t>t</w:t>
      </w:r>
      <w:r>
        <w:t>o be paid when the liabilities a</w:t>
      </w:r>
      <w:r>
        <w:rPr>
          <w:spacing w:val="-3"/>
        </w:rPr>
        <w:t>r</w:t>
      </w:r>
      <w:r>
        <w:t xml:space="preserve">e settled using the </w:t>
      </w:r>
      <w:r>
        <w:rPr>
          <w:spacing w:val="-3"/>
        </w:rPr>
        <w:t>r</w:t>
      </w:r>
      <w:r>
        <w:t>emune</w:t>
      </w:r>
      <w:r>
        <w:rPr>
          <w:spacing w:val="-2"/>
        </w:rPr>
        <w:t>r</w:t>
      </w:r>
      <w:r>
        <w:rPr>
          <w:spacing w:val="-1"/>
        </w:rPr>
        <w:t>a</w:t>
      </w:r>
      <w:r>
        <w:t xml:space="preserve">tion </w:t>
      </w:r>
      <w:r>
        <w:rPr>
          <w:spacing w:val="-2"/>
        </w:rPr>
        <w:t>r</w:t>
      </w:r>
      <w:r>
        <w:rPr>
          <w:spacing w:val="-1"/>
        </w:rPr>
        <w:t>a</w:t>
      </w:r>
      <w:r>
        <w:rPr>
          <w:spacing w:val="-2"/>
        </w:rPr>
        <w:t>t</w:t>
      </w:r>
      <w:r>
        <w:t xml:space="preserve">e </w:t>
      </w:r>
      <w:r>
        <w:rPr>
          <w:spacing w:val="-1"/>
        </w:rPr>
        <w:t>e</w:t>
      </w:r>
      <w:r>
        <w:t>xpe</w:t>
      </w:r>
      <w:r>
        <w:rPr>
          <w:spacing w:val="2"/>
        </w:rPr>
        <w:t>c</w:t>
      </w:r>
      <w:r>
        <w:rPr>
          <w:spacing w:val="-2"/>
        </w:rPr>
        <w:t>t</w:t>
      </w:r>
      <w:r>
        <w:t xml:space="preserve">ed </w:t>
      </w:r>
      <w:r>
        <w:rPr>
          <w:spacing w:val="-2"/>
        </w:rPr>
        <w:t>t</w:t>
      </w:r>
      <w:r>
        <w:t xml:space="preserve">o apply </w:t>
      </w:r>
      <w:r>
        <w:rPr>
          <w:spacing w:val="-1"/>
        </w:rPr>
        <w:t>a</w:t>
      </w:r>
      <w:r>
        <w:t>t the time of settleme</w:t>
      </w:r>
      <w:r>
        <w:rPr>
          <w:spacing w:val="-1"/>
        </w:rPr>
        <w:t>nt</w:t>
      </w:r>
      <w:r>
        <w:t>.</w:t>
      </w:r>
    </w:p>
    <w:p w14:paraId="62687A5E" w14:textId="758BFC22" w:rsidR="0021382E" w:rsidRDefault="0021382E" w:rsidP="0021382E">
      <w:pPr>
        <w:rPr>
          <w:color w:val="000000"/>
        </w:rPr>
      </w:pPr>
      <w:r>
        <w:rPr>
          <w:spacing w:val="-2"/>
        </w:rPr>
        <w:t>W</w:t>
      </w:r>
      <w:r>
        <w:t xml:space="preserve">hen assessing </w:t>
      </w:r>
      <w:r>
        <w:rPr>
          <w:spacing w:val="-1"/>
        </w:rPr>
        <w:t>e</w:t>
      </w:r>
      <w:r>
        <w:t>xpe</w:t>
      </w:r>
      <w:r>
        <w:rPr>
          <w:spacing w:val="2"/>
        </w:rPr>
        <w:t>c</w:t>
      </w:r>
      <w:r>
        <w:rPr>
          <w:spacing w:val="-2"/>
        </w:rPr>
        <w:t>t</w:t>
      </w:r>
      <w:r>
        <w:t>ed futu</w:t>
      </w:r>
      <w:r>
        <w:rPr>
          <w:spacing w:val="-3"/>
        </w:rPr>
        <w:t>r</w:t>
      </w:r>
      <w:r>
        <w:t>e p</w:t>
      </w:r>
      <w:r>
        <w:rPr>
          <w:spacing w:val="-2"/>
        </w:rPr>
        <w:t>a</w:t>
      </w:r>
      <w:r>
        <w:t>yme</w:t>
      </w:r>
      <w:r>
        <w:rPr>
          <w:spacing w:val="-1"/>
        </w:rPr>
        <w:t>n</w:t>
      </w:r>
      <w:r>
        <w:t xml:space="preserve">ts </w:t>
      </w:r>
      <w:r>
        <w:rPr>
          <w:spacing w:val="-2"/>
        </w:rPr>
        <w:t>c</w:t>
      </w:r>
      <w:r>
        <w:t>onside</w:t>
      </w:r>
      <w:r>
        <w:rPr>
          <w:spacing w:val="-2"/>
        </w:rPr>
        <w:t>r</w:t>
      </w:r>
      <w:r>
        <w:rPr>
          <w:spacing w:val="-1"/>
        </w:rPr>
        <w:t>a</w:t>
      </w:r>
      <w:r>
        <w:t xml:space="preserve">tion is </w:t>
      </w:r>
      <w:r>
        <w:rPr>
          <w:spacing w:val="-2"/>
        </w:rPr>
        <w:t>g</w:t>
      </w:r>
      <w:r>
        <w:t>i</w:t>
      </w:r>
      <w:r>
        <w:rPr>
          <w:spacing w:val="-3"/>
        </w:rPr>
        <w:t>v</w:t>
      </w:r>
      <w:r>
        <w:t xml:space="preserve">en </w:t>
      </w:r>
      <w:r>
        <w:rPr>
          <w:spacing w:val="-2"/>
        </w:rPr>
        <w:t>t</w:t>
      </w:r>
      <w:r>
        <w:t xml:space="preserve">o </w:t>
      </w:r>
      <w:r>
        <w:rPr>
          <w:spacing w:val="-1"/>
        </w:rPr>
        <w:t>e</w:t>
      </w:r>
      <w:r>
        <w:t>xpe</w:t>
      </w:r>
      <w:r>
        <w:rPr>
          <w:spacing w:val="2"/>
        </w:rPr>
        <w:t>c</w:t>
      </w:r>
      <w:r>
        <w:rPr>
          <w:spacing w:val="-2"/>
        </w:rPr>
        <w:t>t</w:t>
      </w:r>
      <w:r>
        <w:t>ed futu</w:t>
      </w:r>
      <w:r>
        <w:rPr>
          <w:spacing w:val="-3"/>
        </w:rPr>
        <w:t>r</w:t>
      </w:r>
      <w:r>
        <w:t xml:space="preserve">e </w:t>
      </w:r>
      <w:r>
        <w:rPr>
          <w:spacing w:val="-1"/>
        </w:rPr>
        <w:t>w</w:t>
      </w:r>
      <w:r>
        <w:t>age and sala</w:t>
      </w:r>
      <w:r>
        <w:rPr>
          <w:spacing w:val="5"/>
        </w:rPr>
        <w:t>r</w:t>
      </w:r>
      <w:r>
        <w:t>y le</w:t>
      </w:r>
      <w:r>
        <w:rPr>
          <w:spacing w:val="-3"/>
        </w:rPr>
        <w:t>v</w:t>
      </w:r>
      <w:r>
        <w:t>els including non-sala</w:t>
      </w:r>
      <w:r>
        <w:rPr>
          <w:spacing w:val="5"/>
        </w:rPr>
        <w:t>r</w:t>
      </w:r>
      <w:r>
        <w:t xml:space="preserve">y </w:t>
      </w:r>
      <w:r>
        <w:rPr>
          <w:spacing w:val="-2"/>
        </w:rPr>
        <w:t>c</w:t>
      </w:r>
      <w:r>
        <w:t>ompone</w:t>
      </w:r>
      <w:r>
        <w:rPr>
          <w:spacing w:val="-1"/>
        </w:rPr>
        <w:t>n</w:t>
      </w:r>
      <w:r>
        <w:t>ts such as empl</w:t>
      </w:r>
      <w:r>
        <w:rPr>
          <w:spacing w:val="-2"/>
        </w:rPr>
        <w:t>o</w:t>
      </w:r>
      <w:r>
        <w:rPr>
          <w:spacing w:val="-3"/>
        </w:rPr>
        <w:t>y</w:t>
      </w:r>
      <w:r>
        <w:t>er supe</w:t>
      </w:r>
      <w:r>
        <w:rPr>
          <w:spacing w:val="-2"/>
        </w:rPr>
        <w:t>r</w:t>
      </w:r>
      <w:r>
        <w:t>annu</w:t>
      </w:r>
      <w:r>
        <w:rPr>
          <w:spacing w:val="-1"/>
        </w:rPr>
        <w:t>a</w:t>
      </w:r>
      <w:r>
        <w:t xml:space="preserve">tion </w:t>
      </w:r>
      <w:r>
        <w:rPr>
          <w:spacing w:val="-2"/>
        </w:rPr>
        <w:t>c</w:t>
      </w:r>
      <w:r>
        <w:t>o</w:t>
      </w:r>
      <w:r>
        <w:rPr>
          <w:spacing w:val="-1"/>
        </w:rPr>
        <w:t>n</w:t>
      </w:r>
      <w:r>
        <w:t>tribution</w:t>
      </w:r>
      <w:r>
        <w:rPr>
          <w:spacing w:val="-3"/>
        </w:rPr>
        <w:t>s</w:t>
      </w:r>
      <w:r>
        <w:t xml:space="preserve">, as </w:t>
      </w:r>
      <w:r>
        <w:rPr>
          <w:spacing w:val="-3"/>
        </w:rPr>
        <w:t>w</w:t>
      </w:r>
      <w:r>
        <w:t xml:space="preserve">ell as the </w:t>
      </w:r>
      <w:r>
        <w:rPr>
          <w:spacing w:val="-1"/>
        </w:rPr>
        <w:t>e</w:t>
      </w:r>
      <w:r>
        <w:t>xperien</w:t>
      </w:r>
      <w:r>
        <w:rPr>
          <w:spacing w:val="-2"/>
        </w:rPr>
        <w:t>c</w:t>
      </w:r>
      <w:r>
        <w:t>e of empl</w:t>
      </w:r>
      <w:r>
        <w:rPr>
          <w:spacing w:val="-2"/>
        </w:rPr>
        <w:t>o</w:t>
      </w:r>
      <w:r>
        <w:rPr>
          <w:spacing w:val="-3"/>
        </w:rPr>
        <w:t>y</w:t>
      </w:r>
      <w:r>
        <w:t>ee depa</w:t>
      </w:r>
      <w:r>
        <w:rPr>
          <w:spacing w:val="5"/>
        </w:rPr>
        <w:t>r</w:t>
      </w:r>
      <w:r>
        <w:t>tu</w:t>
      </w:r>
      <w:r>
        <w:rPr>
          <w:spacing w:val="-3"/>
        </w:rPr>
        <w:t>r</w:t>
      </w:r>
      <w:r>
        <w:t>es and periods of se</w:t>
      </w:r>
      <w:r>
        <w:rPr>
          <w:spacing w:val="5"/>
        </w:rPr>
        <w:t>r</w:t>
      </w:r>
      <w:r>
        <w:t>vi</w:t>
      </w:r>
      <w:r>
        <w:rPr>
          <w:spacing w:val="-2"/>
        </w:rPr>
        <w:t>c</w:t>
      </w:r>
      <w:r>
        <w:rPr>
          <w:spacing w:val="-3"/>
        </w:rPr>
        <w:t>e</w:t>
      </w:r>
      <w:r>
        <w:t>.</w:t>
      </w:r>
      <w:r>
        <w:rPr>
          <w:spacing w:val="-9"/>
        </w:rPr>
        <w:t xml:space="preserve"> </w:t>
      </w:r>
      <w:r>
        <w:rPr>
          <w:spacing w:val="-2"/>
        </w:rPr>
        <w:t>T</w:t>
      </w:r>
      <w:r>
        <w:t xml:space="preserve">he </w:t>
      </w:r>
      <w:r>
        <w:rPr>
          <w:spacing w:val="-1"/>
        </w:rPr>
        <w:t>e</w:t>
      </w:r>
      <w:r>
        <w:t>xpe</w:t>
      </w:r>
      <w:r>
        <w:rPr>
          <w:spacing w:val="2"/>
        </w:rPr>
        <w:t>c</w:t>
      </w:r>
      <w:r>
        <w:rPr>
          <w:spacing w:val="-2"/>
        </w:rPr>
        <w:t>t</w:t>
      </w:r>
      <w:r>
        <w:t>ed futu</w:t>
      </w:r>
      <w:r>
        <w:rPr>
          <w:spacing w:val="-3"/>
        </w:rPr>
        <w:t>r</w:t>
      </w:r>
      <w:r>
        <w:t>e p</w:t>
      </w:r>
      <w:r>
        <w:rPr>
          <w:spacing w:val="-2"/>
        </w:rPr>
        <w:t>a</w:t>
      </w:r>
      <w:r>
        <w:t>yme</w:t>
      </w:r>
      <w:r>
        <w:rPr>
          <w:spacing w:val="-1"/>
        </w:rPr>
        <w:t>n</w:t>
      </w:r>
      <w:r>
        <w:t>ts a</w:t>
      </w:r>
      <w:r>
        <w:rPr>
          <w:spacing w:val="-3"/>
        </w:rPr>
        <w:t>r</w:t>
      </w:r>
      <w:r>
        <w:t>e dis</w:t>
      </w:r>
      <w:r>
        <w:rPr>
          <w:spacing w:val="-2"/>
        </w:rPr>
        <w:t>c</w:t>
      </w:r>
      <w:r>
        <w:t>ou</w:t>
      </w:r>
      <w:r>
        <w:rPr>
          <w:spacing w:val="-1"/>
        </w:rPr>
        <w:t>n</w:t>
      </w:r>
      <w:r>
        <w:rPr>
          <w:spacing w:val="-2"/>
        </w:rPr>
        <w:t>t</w:t>
      </w:r>
      <w:r>
        <w:t>ed using</w:t>
      </w:r>
      <w:r>
        <w:rPr>
          <w:color w:val="000000"/>
        </w:rPr>
        <w:t xml:space="preserve"> </w:t>
      </w:r>
      <w:r>
        <w:t xml:space="preserve">market yields </w:t>
      </w:r>
      <w:r>
        <w:rPr>
          <w:spacing w:val="-1"/>
        </w:rPr>
        <w:t>a</w:t>
      </w:r>
      <w:r>
        <w:t xml:space="preserve">t the end of the </w:t>
      </w:r>
      <w:r>
        <w:rPr>
          <w:spacing w:val="-3"/>
        </w:rPr>
        <w:t>r</w:t>
      </w:r>
      <w:r>
        <w:t>epo</w:t>
      </w:r>
      <w:r>
        <w:rPr>
          <w:spacing w:val="5"/>
        </w:rPr>
        <w:t>r</w:t>
      </w:r>
      <w:r>
        <w:t>ting period on n</w:t>
      </w:r>
      <w:r>
        <w:rPr>
          <w:spacing w:val="-1"/>
        </w:rPr>
        <w:t>a</w:t>
      </w:r>
      <w:r>
        <w:t>tional g</w:t>
      </w:r>
      <w:r>
        <w:rPr>
          <w:spacing w:val="-2"/>
        </w:rPr>
        <w:t>o</w:t>
      </w:r>
      <w:r>
        <w:rPr>
          <w:spacing w:val="-3"/>
        </w:rPr>
        <w:t>v</w:t>
      </w:r>
      <w:r>
        <w:t>ernme</w:t>
      </w:r>
      <w:r>
        <w:rPr>
          <w:spacing w:val="-1"/>
        </w:rPr>
        <w:t>n</w:t>
      </w:r>
      <w:r>
        <w:t xml:space="preserve">t bonds with </w:t>
      </w:r>
      <w:r>
        <w:rPr>
          <w:spacing w:val="-2"/>
        </w:rPr>
        <w:t>t</w:t>
      </w:r>
      <w:r>
        <w:t xml:space="preserve">erms </w:t>
      </w:r>
      <w:r>
        <w:rPr>
          <w:spacing w:val="-2"/>
        </w:rPr>
        <w:t>t</w:t>
      </w:r>
      <w:r>
        <w:t>o m</w:t>
      </w:r>
      <w:r>
        <w:rPr>
          <w:spacing w:val="-1"/>
        </w:rPr>
        <w:t>a</w:t>
      </w:r>
      <w:r>
        <w:t>turi</w:t>
      </w:r>
      <w:r>
        <w:rPr>
          <w:spacing w:val="2"/>
        </w:rPr>
        <w:t>t</w:t>
      </w:r>
      <w:r>
        <w:t>y th</w:t>
      </w:r>
      <w:r>
        <w:rPr>
          <w:spacing w:val="-1"/>
        </w:rPr>
        <w:t>a</w:t>
      </w:r>
      <w:r>
        <w:t>t m</w:t>
      </w:r>
      <w:r>
        <w:rPr>
          <w:spacing w:val="-1"/>
        </w:rPr>
        <w:t>a</w:t>
      </w:r>
      <w:r>
        <w:rPr>
          <w:spacing w:val="-2"/>
        </w:rPr>
        <w:t>t</w:t>
      </w:r>
      <w:r>
        <w:t>ch, as closely as possibl</w:t>
      </w:r>
      <w:r>
        <w:rPr>
          <w:spacing w:val="-3"/>
        </w:rPr>
        <w:t>e</w:t>
      </w:r>
      <w:r>
        <w:t>, the estim</w:t>
      </w:r>
      <w:r>
        <w:rPr>
          <w:spacing w:val="-1"/>
        </w:rPr>
        <w:t>a</w:t>
      </w:r>
      <w:r>
        <w:rPr>
          <w:spacing w:val="-2"/>
        </w:rPr>
        <w:t>t</w:t>
      </w:r>
      <w:r>
        <w:t>ed futu</w:t>
      </w:r>
      <w:r>
        <w:rPr>
          <w:spacing w:val="-3"/>
        </w:rPr>
        <w:t>r</w:t>
      </w:r>
      <w:r>
        <w:t>e cash</w:t>
      </w:r>
      <w:r>
        <w:rPr>
          <w:spacing w:val="-6"/>
        </w:rPr>
        <w:t xml:space="preserve"> </w:t>
      </w:r>
      <w:r>
        <w:t>outfl</w:t>
      </w:r>
      <w:r>
        <w:rPr>
          <w:spacing w:val="-2"/>
        </w:rPr>
        <w:t>ow</w:t>
      </w:r>
      <w:r>
        <w:rPr>
          <w:spacing w:val="-3"/>
        </w:rPr>
        <w:t>s</w:t>
      </w:r>
      <w:r>
        <w:t>.</w:t>
      </w:r>
    </w:p>
    <w:p w14:paraId="64FE3DF9" w14:textId="77777777" w:rsidR="0021382E" w:rsidRDefault="0021382E" w:rsidP="0021382E">
      <w:pPr>
        <w:rPr>
          <w:color w:val="000000"/>
        </w:rPr>
      </w:pPr>
      <w:r>
        <w:rPr>
          <w:spacing w:val="-2"/>
        </w:rPr>
        <w:t>T</w:t>
      </w:r>
      <w:r>
        <w:t>he</w:t>
      </w:r>
      <w:r>
        <w:rPr>
          <w:spacing w:val="-1"/>
        </w:rPr>
        <w:t xml:space="preserve"> </w:t>
      </w:r>
      <w:r>
        <w:t>p</w:t>
      </w:r>
      <w:r>
        <w:rPr>
          <w:spacing w:val="-3"/>
        </w:rPr>
        <w:t>r</w:t>
      </w:r>
      <w:r>
        <w:rPr>
          <w:spacing w:val="-2"/>
        </w:rPr>
        <w:t>o</w:t>
      </w:r>
      <w:r>
        <w:t>vision</w:t>
      </w:r>
      <w:r>
        <w:rPr>
          <w:spacing w:val="-1"/>
        </w:rPr>
        <w:t xml:space="preserve"> </w:t>
      </w:r>
      <w:r>
        <w:rPr>
          <w:spacing w:val="-3"/>
        </w:rPr>
        <w:t>f</w:t>
      </w:r>
      <w:r>
        <w:t>or annual</w:t>
      </w:r>
      <w:r>
        <w:rPr>
          <w:spacing w:val="-1"/>
        </w:rPr>
        <w:t xml:space="preserve"> </w:t>
      </w:r>
      <w:r>
        <w:t>le</w:t>
      </w:r>
      <w:r>
        <w:rPr>
          <w:spacing w:val="-2"/>
        </w:rPr>
        <w:t>a</w:t>
      </w:r>
      <w:r>
        <w:rPr>
          <w:spacing w:val="-3"/>
        </w:rPr>
        <w:t>v</w:t>
      </w:r>
      <w:r>
        <w:t>e</w:t>
      </w:r>
      <w:r>
        <w:rPr>
          <w:spacing w:val="-1"/>
        </w:rPr>
        <w:t xml:space="preserve"> </w:t>
      </w:r>
      <w:r>
        <w:t>is classified</w:t>
      </w:r>
      <w:r>
        <w:rPr>
          <w:spacing w:val="-1"/>
        </w:rPr>
        <w:t xml:space="preserve"> </w:t>
      </w:r>
      <w:r>
        <w:t>as</w:t>
      </w:r>
      <w:r>
        <w:rPr>
          <w:spacing w:val="-1"/>
        </w:rPr>
        <w:t xml:space="preserve"> </w:t>
      </w:r>
      <w:r>
        <w:t>a cur</w:t>
      </w:r>
      <w:r>
        <w:rPr>
          <w:spacing w:val="-3"/>
        </w:rPr>
        <w:t>r</w:t>
      </w:r>
      <w:r>
        <w:t>e</w:t>
      </w:r>
      <w:r>
        <w:rPr>
          <w:spacing w:val="-1"/>
        </w:rPr>
        <w:t>n</w:t>
      </w:r>
      <w:r>
        <w:t>t</w:t>
      </w:r>
      <w:r>
        <w:rPr>
          <w:spacing w:val="-1"/>
        </w:rPr>
        <w:t xml:space="preserve"> </w:t>
      </w:r>
      <w:r>
        <w:t>liabili</w:t>
      </w:r>
      <w:r>
        <w:rPr>
          <w:spacing w:val="2"/>
        </w:rPr>
        <w:t>t</w:t>
      </w:r>
      <w:r>
        <w:t>y</w:t>
      </w:r>
      <w:r>
        <w:rPr>
          <w:spacing w:val="-1"/>
        </w:rPr>
        <w:t xml:space="preserve"> </w:t>
      </w:r>
      <w:r>
        <w:t>as the</w:t>
      </w:r>
      <w:r>
        <w:rPr>
          <w:spacing w:val="-1"/>
        </w:rPr>
        <w:t xml:space="preserve"> </w:t>
      </w:r>
      <w:r>
        <w:rPr>
          <w:spacing w:val="-3"/>
        </w:rPr>
        <w:t>A</w:t>
      </w:r>
      <w:r>
        <w:t>uthori</w:t>
      </w:r>
      <w:r>
        <w:rPr>
          <w:spacing w:val="2"/>
        </w:rPr>
        <w:t>t</w:t>
      </w:r>
      <w:r>
        <w:t>y does not h</w:t>
      </w:r>
      <w:r>
        <w:rPr>
          <w:spacing w:val="-2"/>
        </w:rPr>
        <w:t>a</w:t>
      </w:r>
      <w:r>
        <w:rPr>
          <w:spacing w:val="-3"/>
        </w:rPr>
        <w:t>v</w:t>
      </w:r>
      <w:r>
        <w:t>e an un</w:t>
      </w:r>
      <w:r>
        <w:rPr>
          <w:spacing w:val="-2"/>
        </w:rPr>
        <w:t>c</w:t>
      </w:r>
      <w:r>
        <w:t>onditional rig</w:t>
      </w:r>
      <w:r>
        <w:rPr>
          <w:spacing w:val="-1"/>
        </w:rPr>
        <w:t>h</w:t>
      </w:r>
      <w:r>
        <w:t xml:space="preserve">t </w:t>
      </w:r>
      <w:r>
        <w:rPr>
          <w:spacing w:val="-2"/>
        </w:rPr>
        <w:t>t</w:t>
      </w:r>
      <w:r>
        <w:t>o de</w:t>
      </w:r>
      <w:r>
        <w:rPr>
          <w:spacing w:val="-3"/>
        </w:rPr>
        <w:t>f</w:t>
      </w:r>
      <w:r>
        <w:t>er settleme</w:t>
      </w:r>
      <w:r>
        <w:rPr>
          <w:spacing w:val="-1"/>
        </w:rPr>
        <w:t>n</w:t>
      </w:r>
      <w:r>
        <w:t>t of the liabili</w:t>
      </w:r>
      <w:r>
        <w:rPr>
          <w:spacing w:val="2"/>
        </w:rPr>
        <w:t>t</w:t>
      </w:r>
      <w:r>
        <w:t xml:space="preserve">y </w:t>
      </w:r>
      <w:r>
        <w:rPr>
          <w:spacing w:val="-3"/>
        </w:rPr>
        <w:t>f</w:t>
      </w:r>
      <w:r>
        <w:t xml:space="preserve">or </w:t>
      </w:r>
      <w:r>
        <w:rPr>
          <w:spacing w:val="-1"/>
        </w:rPr>
        <w:t>a</w:t>
      </w:r>
      <w:r>
        <w:t>t least 12 mo</w:t>
      </w:r>
      <w:r>
        <w:rPr>
          <w:spacing w:val="-1"/>
        </w:rPr>
        <w:t>n</w:t>
      </w:r>
      <w:r>
        <w:t>ths a</w:t>
      </w:r>
      <w:r>
        <w:rPr>
          <w:spacing w:val="2"/>
        </w:rPr>
        <w:t>f</w:t>
      </w:r>
      <w:r>
        <w:rPr>
          <w:spacing w:val="-2"/>
        </w:rPr>
        <w:t>t</w:t>
      </w:r>
      <w:r>
        <w:t xml:space="preserve">er the end of the </w:t>
      </w:r>
      <w:r>
        <w:rPr>
          <w:spacing w:val="-3"/>
        </w:rPr>
        <w:t>r</w:t>
      </w:r>
      <w:r>
        <w:t>epo</w:t>
      </w:r>
      <w:r>
        <w:rPr>
          <w:spacing w:val="5"/>
        </w:rPr>
        <w:t>r</w:t>
      </w:r>
      <w:r>
        <w:t>ting perio</w:t>
      </w:r>
      <w:r>
        <w:rPr>
          <w:spacing w:val="-3"/>
        </w:rPr>
        <w:t>d</w:t>
      </w:r>
      <w:r>
        <w:t>.</w:t>
      </w:r>
    </w:p>
    <w:p w14:paraId="759DDDF1" w14:textId="77777777" w:rsidR="0021382E" w:rsidRPr="00DA1E18" w:rsidRDefault="0021382E" w:rsidP="0021382E">
      <w:pPr>
        <w:rPr>
          <w:rStyle w:val="Strong"/>
          <w:i/>
        </w:rPr>
      </w:pPr>
      <w:r w:rsidRPr="00DA1E18">
        <w:rPr>
          <w:rStyle w:val="Strong"/>
          <w:i/>
        </w:rPr>
        <w:t>Long service leave</w:t>
      </w:r>
    </w:p>
    <w:p w14:paraId="0FA13DE5" w14:textId="13EC8BD0" w:rsidR="0021382E" w:rsidRPr="008D55FD" w:rsidRDefault="0021382E" w:rsidP="008D55FD">
      <w:pPr>
        <w:rPr>
          <w:color w:val="000000"/>
        </w:rPr>
      </w:pPr>
      <w:r>
        <w:rPr>
          <w:spacing w:val="-4"/>
        </w:rPr>
        <w:lastRenderedPageBreak/>
        <w:t>L</w:t>
      </w:r>
      <w:r>
        <w:t>ong se</w:t>
      </w:r>
      <w:r>
        <w:rPr>
          <w:spacing w:val="5"/>
        </w:rPr>
        <w:t>r</w:t>
      </w:r>
      <w:r>
        <w:t>vi</w:t>
      </w:r>
      <w:r>
        <w:rPr>
          <w:spacing w:val="-2"/>
        </w:rPr>
        <w:t>c</w:t>
      </w:r>
      <w:r>
        <w:t>e le</w:t>
      </w:r>
      <w:r>
        <w:rPr>
          <w:spacing w:val="-2"/>
        </w:rPr>
        <w:t>a</w:t>
      </w:r>
      <w:r>
        <w:rPr>
          <w:spacing w:val="-3"/>
        </w:rPr>
        <w:t>v</w:t>
      </w:r>
      <w:r>
        <w:t xml:space="preserve">e is not </w:t>
      </w:r>
      <w:r>
        <w:rPr>
          <w:spacing w:val="-1"/>
        </w:rPr>
        <w:t>e</w:t>
      </w:r>
      <w:r>
        <w:t>xpe</w:t>
      </w:r>
      <w:r>
        <w:rPr>
          <w:spacing w:val="2"/>
        </w:rPr>
        <w:t>c</w:t>
      </w:r>
      <w:r>
        <w:rPr>
          <w:spacing w:val="-2"/>
        </w:rPr>
        <w:t>t</w:t>
      </w:r>
      <w:r>
        <w:t xml:space="preserve">ed </w:t>
      </w:r>
      <w:r>
        <w:rPr>
          <w:spacing w:val="-2"/>
        </w:rPr>
        <w:t>t</w:t>
      </w:r>
      <w:r>
        <w:t>o be settled wholly within 12 mo</w:t>
      </w:r>
      <w:r>
        <w:rPr>
          <w:spacing w:val="-1"/>
        </w:rPr>
        <w:t>n</w:t>
      </w:r>
      <w:r>
        <w:t>ths a</w:t>
      </w:r>
      <w:r>
        <w:rPr>
          <w:spacing w:val="2"/>
        </w:rPr>
        <w:t>f</w:t>
      </w:r>
      <w:r>
        <w:rPr>
          <w:spacing w:val="-2"/>
        </w:rPr>
        <w:t>t</w:t>
      </w:r>
      <w:r>
        <w:t xml:space="preserve">er the end of the </w:t>
      </w:r>
      <w:r>
        <w:rPr>
          <w:spacing w:val="-3"/>
        </w:rPr>
        <w:t>r</w:t>
      </w:r>
      <w:r>
        <w:t>epo</w:t>
      </w:r>
      <w:r>
        <w:rPr>
          <w:spacing w:val="5"/>
        </w:rPr>
        <w:t>r</w:t>
      </w:r>
      <w:r>
        <w:t xml:space="preserve">ting period is </w:t>
      </w:r>
      <w:r>
        <w:rPr>
          <w:spacing w:val="-3"/>
        </w:rPr>
        <w:t>r</w:t>
      </w:r>
      <w:r>
        <w:t>e</w:t>
      </w:r>
      <w:r>
        <w:rPr>
          <w:spacing w:val="-2"/>
        </w:rPr>
        <w:t>c</w:t>
      </w:r>
      <w:r>
        <w:t>o</w:t>
      </w:r>
      <w:r>
        <w:rPr>
          <w:spacing w:val="-2"/>
        </w:rPr>
        <w:t>g</w:t>
      </w:r>
      <w:r>
        <w:t>nised and measu</w:t>
      </w:r>
      <w:r>
        <w:rPr>
          <w:spacing w:val="-3"/>
        </w:rPr>
        <w:t>r</w:t>
      </w:r>
      <w:r>
        <w:t xml:space="preserve">ed </w:t>
      </w:r>
      <w:r>
        <w:rPr>
          <w:spacing w:val="-1"/>
        </w:rPr>
        <w:t>a</w:t>
      </w:r>
      <w:r>
        <w:t>t the p</w:t>
      </w:r>
      <w:r>
        <w:rPr>
          <w:spacing w:val="-3"/>
        </w:rPr>
        <w:t>r</w:t>
      </w:r>
      <w:r>
        <w:t>ese</w:t>
      </w:r>
      <w:r>
        <w:rPr>
          <w:spacing w:val="-1"/>
        </w:rPr>
        <w:t>n</w:t>
      </w:r>
      <w:r>
        <w:t xml:space="preserve">t </w:t>
      </w:r>
      <w:r>
        <w:rPr>
          <w:spacing w:val="-1"/>
        </w:rPr>
        <w:t>v</w:t>
      </w:r>
      <w:r>
        <w:t>alue of amou</w:t>
      </w:r>
      <w:r>
        <w:rPr>
          <w:spacing w:val="-1"/>
        </w:rPr>
        <w:t>n</w:t>
      </w:r>
      <w:r>
        <w:t xml:space="preserve">ts </w:t>
      </w:r>
      <w:r>
        <w:rPr>
          <w:spacing w:val="-1"/>
        </w:rPr>
        <w:t>e</w:t>
      </w:r>
      <w:r>
        <w:t>xpe</w:t>
      </w:r>
      <w:r>
        <w:rPr>
          <w:spacing w:val="2"/>
        </w:rPr>
        <w:t>c</w:t>
      </w:r>
      <w:r>
        <w:rPr>
          <w:spacing w:val="-2"/>
        </w:rPr>
        <w:t>t</w:t>
      </w:r>
      <w:r>
        <w:t xml:space="preserve">ed </w:t>
      </w:r>
      <w:r>
        <w:rPr>
          <w:spacing w:val="-2"/>
        </w:rPr>
        <w:t>t</w:t>
      </w:r>
      <w:r>
        <w:t>o be paid when the liabilities a</w:t>
      </w:r>
      <w:r>
        <w:rPr>
          <w:spacing w:val="-3"/>
        </w:rPr>
        <w:t>r</w:t>
      </w:r>
      <w:r>
        <w:t xml:space="preserve">e settled using the </w:t>
      </w:r>
      <w:r>
        <w:rPr>
          <w:spacing w:val="-3"/>
        </w:rPr>
        <w:t>r</w:t>
      </w:r>
      <w:r>
        <w:t>emune</w:t>
      </w:r>
      <w:r>
        <w:rPr>
          <w:spacing w:val="-2"/>
        </w:rPr>
        <w:t>r</w:t>
      </w:r>
      <w:r>
        <w:rPr>
          <w:spacing w:val="-1"/>
        </w:rPr>
        <w:t>a</w:t>
      </w:r>
      <w:r>
        <w:t xml:space="preserve">tion </w:t>
      </w:r>
      <w:r>
        <w:rPr>
          <w:spacing w:val="-2"/>
        </w:rPr>
        <w:t>r</w:t>
      </w:r>
      <w:r>
        <w:rPr>
          <w:spacing w:val="-1"/>
        </w:rPr>
        <w:t>a</w:t>
      </w:r>
      <w:r>
        <w:rPr>
          <w:spacing w:val="-2"/>
        </w:rPr>
        <w:t>t</w:t>
      </w:r>
      <w:r>
        <w:t xml:space="preserve">e </w:t>
      </w:r>
      <w:r>
        <w:rPr>
          <w:spacing w:val="-1"/>
        </w:rPr>
        <w:t>e</w:t>
      </w:r>
      <w:r>
        <w:t>xpe</w:t>
      </w:r>
      <w:r>
        <w:rPr>
          <w:spacing w:val="2"/>
        </w:rPr>
        <w:t>c</w:t>
      </w:r>
      <w:r>
        <w:rPr>
          <w:spacing w:val="-2"/>
        </w:rPr>
        <w:t>t</w:t>
      </w:r>
      <w:r>
        <w:t xml:space="preserve">ed </w:t>
      </w:r>
      <w:r>
        <w:rPr>
          <w:spacing w:val="-2"/>
        </w:rPr>
        <w:t>t</w:t>
      </w:r>
      <w:r>
        <w:t xml:space="preserve">o apply </w:t>
      </w:r>
      <w:r>
        <w:rPr>
          <w:spacing w:val="-1"/>
        </w:rPr>
        <w:t>a</w:t>
      </w:r>
      <w:r>
        <w:t>t the time of settleme</w:t>
      </w:r>
      <w:r>
        <w:rPr>
          <w:spacing w:val="-1"/>
        </w:rPr>
        <w:t>nt</w:t>
      </w:r>
      <w:r>
        <w:t>.</w:t>
      </w:r>
    </w:p>
    <w:p w14:paraId="4BB94529" w14:textId="16549785" w:rsidR="0021382E" w:rsidRPr="0021382E" w:rsidRDefault="0021382E" w:rsidP="0021382E">
      <w:pPr>
        <w:rPr>
          <w:color w:val="000000"/>
        </w:rPr>
      </w:pPr>
      <w:r>
        <w:rPr>
          <w:spacing w:val="-2"/>
        </w:rPr>
        <w:t>W</w:t>
      </w:r>
      <w:r>
        <w:t xml:space="preserve">hen assessing </w:t>
      </w:r>
      <w:r>
        <w:rPr>
          <w:spacing w:val="-1"/>
        </w:rPr>
        <w:t>e</w:t>
      </w:r>
      <w:r>
        <w:t>xpe</w:t>
      </w:r>
      <w:r>
        <w:rPr>
          <w:spacing w:val="2"/>
        </w:rPr>
        <w:t>c</w:t>
      </w:r>
      <w:r>
        <w:rPr>
          <w:spacing w:val="-2"/>
        </w:rPr>
        <w:t>t</w:t>
      </w:r>
      <w:r>
        <w:t>ed futu</w:t>
      </w:r>
      <w:r>
        <w:rPr>
          <w:spacing w:val="-3"/>
        </w:rPr>
        <w:t>r</w:t>
      </w:r>
      <w:r>
        <w:t>e p</w:t>
      </w:r>
      <w:r>
        <w:rPr>
          <w:spacing w:val="-2"/>
        </w:rPr>
        <w:t>a</w:t>
      </w:r>
      <w:r>
        <w:t>yme</w:t>
      </w:r>
      <w:r>
        <w:rPr>
          <w:spacing w:val="-1"/>
        </w:rPr>
        <w:t>n</w:t>
      </w:r>
      <w:r>
        <w:t xml:space="preserve">ts </w:t>
      </w:r>
      <w:r>
        <w:rPr>
          <w:spacing w:val="-2"/>
        </w:rPr>
        <w:t>c</w:t>
      </w:r>
      <w:r>
        <w:t>onside</w:t>
      </w:r>
      <w:r>
        <w:rPr>
          <w:spacing w:val="-2"/>
        </w:rPr>
        <w:t>r</w:t>
      </w:r>
      <w:r>
        <w:rPr>
          <w:spacing w:val="-1"/>
        </w:rPr>
        <w:t>a</w:t>
      </w:r>
      <w:r>
        <w:t xml:space="preserve">tion is </w:t>
      </w:r>
      <w:r>
        <w:rPr>
          <w:spacing w:val="-2"/>
        </w:rPr>
        <w:t>g</w:t>
      </w:r>
      <w:r>
        <w:t>i</w:t>
      </w:r>
      <w:r>
        <w:rPr>
          <w:spacing w:val="-3"/>
        </w:rPr>
        <w:t>v</w:t>
      </w:r>
      <w:r>
        <w:t xml:space="preserve">en </w:t>
      </w:r>
      <w:r>
        <w:rPr>
          <w:spacing w:val="-2"/>
        </w:rPr>
        <w:t>t</w:t>
      </w:r>
      <w:r>
        <w:t xml:space="preserve">o </w:t>
      </w:r>
      <w:r>
        <w:rPr>
          <w:spacing w:val="-1"/>
        </w:rPr>
        <w:t>e</w:t>
      </w:r>
      <w:r>
        <w:t>xpe</w:t>
      </w:r>
      <w:r>
        <w:rPr>
          <w:spacing w:val="2"/>
        </w:rPr>
        <w:t>c</w:t>
      </w:r>
      <w:r>
        <w:rPr>
          <w:spacing w:val="-2"/>
        </w:rPr>
        <w:t>t</w:t>
      </w:r>
      <w:r>
        <w:t>ed futu</w:t>
      </w:r>
      <w:r>
        <w:rPr>
          <w:spacing w:val="-3"/>
        </w:rPr>
        <w:t>r</w:t>
      </w:r>
      <w:r>
        <w:t xml:space="preserve">e </w:t>
      </w:r>
      <w:r>
        <w:rPr>
          <w:spacing w:val="-1"/>
        </w:rPr>
        <w:t>w</w:t>
      </w:r>
      <w:r>
        <w:t>age and sala</w:t>
      </w:r>
      <w:r>
        <w:rPr>
          <w:spacing w:val="5"/>
        </w:rPr>
        <w:t>r</w:t>
      </w:r>
      <w:r>
        <w:t>y le</w:t>
      </w:r>
      <w:r>
        <w:rPr>
          <w:spacing w:val="-3"/>
        </w:rPr>
        <w:t>v</w:t>
      </w:r>
      <w:r>
        <w:t>els including non-sala</w:t>
      </w:r>
      <w:r>
        <w:rPr>
          <w:spacing w:val="5"/>
        </w:rPr>
        <w:t>r</w:t>
      </w:r>
      <w:r>
        <w:t xml:space="preserve">y </w:t>
      </w:r>
      <w:r>
        <w:rPr>
          <w:spacing w:val="-2"/>
        </w:rPr>
        <w:t>c</w:t>
      </w:r>
      <w:r>
        <w:t>ompone</w:t>
      </w:r>
      <w:r>
        <w:rPr>
          <w:spacing w:val="-1"/>
        </w:rPr>
        <w:t>n</w:t>
      </w:r>
      <w:r>
        <w:t>ts such as empl</w:t>
      </w:r>
      <w:r>
        <w:rPr>
          <w:spacing w:val="-2"/>
        </w:rPr>
        <w:t>o</w:t>
      </w:r>
      <w:r>
        <w:rPr>
          <w:spacing w:val="-3"/>
        </w:rPr>
        <w:t>y</w:t>
      </w:r>
      <w:r>
        <w:t>er supe</w:t>
      </w:r>
      <w:r>
        <w:rPr>
          <w:spacing w:val="-2"/>
        </w:rPr>
        <w:t>r</w:t>
      </w:r>
      <w:r>
        <w:t>annu</w:t>
      </w:r>
      <w:r>
        <w:rPr>
          <w:spacing w:val="-1"/>
        </w:rPr>
        <w:t>a</w:t>
      </w:r>
      <w:r>
        <w:t xml:space="preserve">tion </w:t>
      </w:r>
      <w:r>
        <w:rPr>
          <w:spacing w:val="-2"/>
        </w:rPr>
        <w:t>c</w:t>
      </w:r>
      <w:r>
        <w:t>o</w:t>
      </w:r>
      <w:r>
        <w:rPr>
          <w:spacing w:val="-1"/>
        </w:rPr>
        <w:t>n</w:t>
      </w:r>
      <w:r>
        <w:t>tribution</w:t>
      </w:r>
      <w:r>
        <w:rPr>
          <w:spacing w:val="-3"/>
        </w:rPr>
        <w:t>s</w:t>
      </w:r>
      <w:r>
        <w:t xml:space="preserve">, as </w:t>
      </w:r>
      <w:r>
        <w:rPr>
          <w:spacing w:val="-3"/>
        </w:rPr>
        <w:t>w</w:t>
      </w:r>
      <w:r>
        <w:t xml:space="preserve">ell as the </w:t>
      </w:r>
      <w:r>
        <w:rPr>
          <w:spacing w:val="-1"/>
        </w:rPr>
        <w:t>e</w:t>
      </w:r>
      <w:r>
        <w:t>xperien</w:t>
      </w:r>
      <w:r>
        <w:rPr>
          <w:spacing w:val="-2"/>
        </w:rPr>
        <w:t>c</w:t>
      </w:r>
      <w:r>
        <w:t>e of empl</w:t>
      </w:r>
      <w:r>
        <w:rPr>
          <w:spacing w:val="-2"/>
        </w:rPr>
        <w:t>o</w:t>
      </w:r>
      <w:r>
        <w:rPr>
          <w:spacing w:val="-3"/>
        </w:rPr>
        <w:t>y</w:t>
      </w:r>
      <w:r>
        <w:t>ee depa</w:t>
      </w:r>
      <w:r>
        <w:rPr>
          <w:spacing w:val="5"/>
        </w:rPr>
        <w:t>r</w:t>
      </w:r>
      <w:r>
        <w:t>tu</w:t>
      </w:r>
      <w:r>
        <w:rPr>
          <w:spacing w:val="-3"/>
        </w:rPr>
        <w:t>r</w:t>
      </w:r>
      <w:r>
        <w:t>es and periods of se</w:t>
      </w:r>
      <w:r>
        <w:rPr>
          <w:spacing w:val="5"/>
        </w:rPr>
        <w:t>r</w:t>
      </w:r>
      <w:r>
        <w:t>vi</w:t>
      </w:r>
      <w:r>
        <w:rPr>
          <w:spacing w:val="-2"/>
        </w:rPr>
        <w:t>c</w:t>
      </w:r>
      <w:r>
        <w:rPr>
          <w:spacing w:val="-3"/>
        </w:rPr>
        <w:t>e</w:t>
      </w:r>
      <w:r>
        <w:t>.</w:t>
      </w:r>
      <w:r>
        <w:rPr>
          <w:spacing w:val="-9"/>
        </w:rPr>
        <w:t xml:space="preserve"> </w:t>
      </w:r>
      <w:r>
        <w:rPr>
          <w:spacing w:val="-2"/>
        </w:rPr>
        <w:t>T</w:t>
      </w:r>
      <w:r>
        <w:t xml:space="preserve">he </w:t>
      </w:r>
      <w:r>
        <w:rPr>
          <w:spacing w:val="-1"/>
        </w:rPr>
        <w:t>e</w:t>
      </w:r>
      <w:r>
        <w:t>xpe</w:t>
      </w:r>
      <w:r>
        <w:rPr>
          <w:spacing w:val="2"/>
        </w:rPr>
        <w:t>c</w:t>
      </w:r>
      <w:r>
        <w:rPr>
          <w:spacing w:val="-2"/>
        </w:rPr>
        <w:t>t</w:t>
      </w:r>
      <w:r>
        <w:t>ed futu</w:t>
      </w:r>
      <w:r>
        <w:rPr>
          <w:spacing w:val="-3"/>
        </w:rPr>
        <w:t>r</w:t>
      </w:r>
      <w:r>
        <w:t>e p</w:t>
      </w:r>
      <w:r>
        <w:rPr>
          <w:spacing w:val="-2"/>
        </w:rPr>
        <w:t>a</w:t>
      </w:r>
      <w:r>
        <w:t>yme</w:t>
      </w:r>
      <w:r>
        <w:rPr>
          <w:spacing w:val="-1"/>
        </w:rPr>
        <w:t>n</w:t>
      </w:r>
      <w:r>
        <w:t>ts a</w:t>
      </w:r>
      <w:r>
        <w:rPr>
          <w:spacing w:val="-3"/>
        </w:rPr>
        <w:t>r</w:t>
      </w:r>
      <w:r>
        <w:t>e dis</w:t>
      </w:r>
      <w:r>
        <w:rPr>
          <w:spacing w:val="-2"/>
        </w:rPr>
        <w:t>c</w:t>
      </w:r>
      <w:r>
        <w:t>ou</w:t>
      </w:r>
      <w:r>
        <w:rPr>
          <w:spacing w:val="-1"/>
        </w:rPr>
        <w:t>n</w:t>
      </w:r>
      <w:r>
        <w:rPr>
          <w:spacing w:val="-2"/>
        </w:rPr>
        <w:t>t</w:t>
      </w:r>
      <w:r>
        <w:t xml:space="preserve">ed using market yields </w:t>
      </w:r>
      <w:r>
        <w:rPr>
          <w:spacing w:val="-1"/>
        </w:rPr>
        <w:t>a</w:t>
      </w:r>
      <w:r>
        <w:t xml:space="preserve">t the end of the </w:t>
      </w:r>
      <w:r>
        <w:rPr>
          <w:spacing w:val="-3"/>
        </w:rPr>
        <w:t>r</w:t>
      </w:r>
      <w:r>
        <w:t>epo</w:t>
      </w:r>
      <w:r>
        <w:rPr>
          <w:spacing w:val="5"/>
        </w:rPr>
        <w:t>r</w:t>
      </w:r>
      <w:r>
        <w:t>ting period on n</w:t>
      </w:r>
      <w:r>
        <w:rPr>
          <w:spacing w:val="-1"/>
        </w:rPr>
        <w:t>a</w:t>
      </w:r>
      <w:r>
        <w:t>tional g</w:t>
      </w:r>
      <w:r>
        <w:rPr>
          <w:spacing w:val="-2"/>
        </w:rPr>
        <w:t>o</w:t>
      </w:r>
      <w:r>
        <w:rPr>
          <w:spacing w:val="-3"/>
        </w:rPr>
        <w:t>v</w:t>
      </w:r>
      <w:r>
        <w:t>ernme</w:t>
      </w:r>
      <w:r>
        <w:rPr>
          <w:spacing w:val="-1"/>
        </w:rPr>
        <w:t>n</w:t>
      </w:r>
      <w:r>
        <w:t xml:space="preserve">t bonds with </w:t>
      </w:r>
      <w:r>
        <w:rPr>
          <w:spacing w:val="-2"/>
        </w:rPr>
        <w:t>t</w:t>
      </w:r>
      <w:r>
        <w:t xml:space="preserve">erms </w:t>
      </w:r>
      <w:r>
        <w:rPr>
          <w:spacing w:val="-2"/>
        </w:rPr>
        <w:t>t</w:t>
      </w:r>
      <w:r>
        <w:t>o m</w:t>
      </w:r>
      <w:r>
        <w:rPr>
          <w:spacing w:val="-1"/>
        </w:rPr>
        <w:t>a</w:t>
      </w:r>
      <w:r>
        <w:t>turi</w:t>
      </w:r>
      <w:r>
        <w:rPr>
          <w:spacing w:val="2"/>
        </w:rPr>
        <w:t>t</w:t>
      </w:r>
      <w:r>
        <w:t>y th</w:t>
      </w:r>
      <w:r>
        <w:rPr>
          <w:spacing w:val="-1"/>
        </w:rPr>
        <w:t>a</w:t>
      </w:r>
      <w:r>
        <w:t>t m</w:t>
      </w:r>
      <w:r>
        <w:rPr>
          <w:spacing w:val="-1"/>
        </w:rPr>
        <w:t>a</w:t>
      </w:r>
      <w:r>
        <w:rPr>
          <w:spacing w:val="-2"/>
        </w:rPr>
        <w:t>t</w:t>
      </w:r>
      <w:r>
        <w:t>ch, as closely as possibl</w:t>
      </w:r>
      <w:r>
        <w:rPr>
          <w:spacing w:val="-3"/>
        </w:rPr>
        <w:t>e</w:t>
      </w:r>
      <w:r>
        <w:t>, the estim</w:t>
      </w:r>
      <w:r>
        <w:rPr>
          <w:spacing w:val="-1"/>
        </w:rPr>
        <w:t>a</w:t>
      </w:r>
      <w:r>
        <w:rPr>
          <w:spacing w:val="-2"/>
        </w:rPr>
        <w:t>t</w:t>
      </w:r>
      <w:r>
        <w:t>ed futu</w:t>
      </w:r>
      <w:r>
        <w:rPr>
          <w:spacing w:val="-3"/>
        </w:rPr>
        <w:t>r</w:t>
      </w:r>
      <w:r>
        <w:t>e cash</w:t>
      </w:r>
      <w:r>
        <w:rPr>
          <w:spacing w:val="-6"/>
        </w:rPr>
        <w:t xml:space="preserve"> </w:t>
      </w:r>
      <w:r>
        <w:t>outfl</w:t>
      </w:r>
      <w:r>
        <w:rPr>
          <w:spacing w:val="-2"/>
        </w:rPr>
        <w:t>ow</w:t>
      </w:r>
      <w:r>
        <w:rPr>
          <w:spacing w:val="-3"/>
        </w:rPr>
        <w:t>s</w:t>
      </w:r>
      <w:r>
        <w:t>.</w:t>
      </w:r>
    </w:p>
    <w:p w14:paraId="789BE2F1" w14:textId="73DF7D42" w:rsidR="0021382E" w:rsidRDefault="0021382E" w:rsidP="0021382E">
      <w:pPr>
        <w:rPr>
          <w:color w:val="000000"/>
        </w:rPr>
      </w:pPr>
      <w:r>
        <w:t>Un</w:t>
      </w:r>
      <w:r>
        <w:rPr>
          <w:spacing w:val="-2"/>
        </w:rPr>
        <w:t>c</w:t>
      </w:r>
      <w:r>
        <w:t>onditional</w:t>
      </w:r>
      <w:r>
        <w:rPr>
          <w:spacing w:val="-1"/>
        </w:rPr>
        <w:t xml:space="preserve"> </w:t>
      </w:r>
      <w:r>
        <w:t>long</w:t>
      </w:r>
      <w:r>
        <w:rPr>
          <w:spacing w:val="-1"/>
        </w:rPr>
        <w:t xml:space="preserve"> </w:t>
      </w:r>
      <w:r>
        <w:t>se</w:t>
      </w:r>
      <w:r>
        <w:rPr>
          <w:spacing w:val="5"/>
        </w:rPr>
        <w:t>r</w:t>
      </w:r>
      <w:r>
        <w:t>vi</w:t>
      </w:r>
      <w:r>
        <w:rPr>
          <w:spacing w:val="-2"/>
        </w:rPr>
        <w:t>c</w:t>
      </w:r>
      <w:r>
        <w:t>e</w:t>
      </w:r>
      <w:r>
        <w:rPr>
          <w:spacing w:val="-1"/>
        </w:rPr>
        <w:t xml:space="preserve"> </w:t>
      </w:r>
      <w:r>
        <w:t>le</w:t>
      </w:r>
      <w:r>
        <w:rPr>
          <w:spacing w:val="-2"/>
        </w:rPr>
        <w:t>a</w:t>
      </w:r>
      <w:r>
        <w:rPr>
          <w:spacing w:val="-3"/>
        </w:rPr>
        <w:t>v</w:t>
      </w:r>
      <w:r>
        <w:t>e</w:t>
      </w:r>
      <w:r>
        <w:rPr>
          <w:spacing w:val="-1"/>
        </w:rPr>
        <w:t xml:space="preserve"> </w:t>
      </w:r>
      <w:r>
        <w:t>p</w:t>
      </w:r>
      <w:r>
        <w:rPr>
          <w:spacing w:val="-3"/>
        </w:rPr>
        <w:t>r</w:t>
      </w:r>
      <w:r>
        <w:rPr>
          <w:spacing w:val="-2"/>
        </w:rPr>
        <w:t>o</w:t>
      </w:r>
      <w:r>
        <w:t>visions</w:t>
      </w:r>
      <w:r>
        <w:rPr>
          <w:spacing w:val="-1"/>
        </w:rPr>
        <w:t xml:space="preserve"> </w:t>
      </w:r>
      <w:r>
        <w:t>a</w:t>
      </w:r>
      <w:r>
        <w:rPr>
          <w:spacing w:val="-3"/>
        </w:rPr>
        <w:t>r</w:t>
      </w:r>
      <w:r>
        <w:t>e</w:t>
      </w:r>
      <w:r>
        <w:rPr>
          <w:spacing w:val="-1"/>
        </w:rPr>
        <w:t xml:space="preserve"> </w:t>
      </w:r>
      <w:r>
        <w:t>classified</w:t>
      </w:r>
      <w:r>
        <w:rPr>
          <w:spacing w:val="-1"/>
        </w:rPr>
        <w:t xml:space="preserve"> </w:t>
      </w:r>
      <w:r>
        <w:t>as</w:t>
      </w:r>
      <w:r>
        <w:rPr>
          <w:spacing w:val="-1"/>
        </w:rPr>
        <w:t xml:space="preserve"> </w:t>
      </w:r>
      <w:r>
        <w:t>cur</w:t>
      </w:r>
      <w:r>
        <w:rPr>
          <w:spacing w:val="-3"/>
        </w:rPr>
        <w:t>r</w:t>
      </w:r>
      <w:r>
        <w:t>e</w:t>
      </w:r>
      <w:r>
        <w:rPr>
          <w:spacing w:val="-1"/>
        </w:rPr>
        <w:t>n</w:t>
      </w:r>
      <w:r>
        <w:t>t</w:t>
      </w:r>
      <w:r>
        <w:rPr>
          <w:spacing w:val="-1"/>
        </w:rPr>
        <w:t xml:space="preserve"> </w:t>
      </w:r>
      <w:r>
        <w:t xml:space="preserve">liabilities as the </w:t>
      </w:r>
      <w:r>
        <w:rPr>
          <w:spacing w:val="-3"/>
        </w:rPr>
        <w:t>A</w:t>
      </w:r>
      <w:r>
        <w:t>uthori</w:t>
      </w:r>
      <w:r>
        <w:rPr>
          <w:spacing w:val="1"/>
        </w:rPr>
        <w:t>t</w:t>
      </w:r>
      <w:r>
        <w:t>y does not h</w:t>
      </w:r>
      <w:r>
        <w:rPr>
          <w:spacing w:val="-2"/>
        </w:rPr>
        <w:t>a</w:t>
      </w:r>
      <w:r>
        <w:rPr>
          <w:spacing w:val="-3"/>
        </w:rPr>
        <w:t>v</w:t>
      </w:r>
      <w:r>
        <w:t>e an un</w:t>
      </w:r>
      <w:r>
        <w:rPr>
          <w:spacing w:val="-2"/>
        </w:rPr>
        <w:t>c</w:t>
      </w:r>
      <w:r>
        <w:t>onditional rig</w:t>
      </w:r>
      <w:r>
        <w:rPr>
          <w:spacing w:val="-1"/>
        </w:rPr>
        <w:t>h</w:t>
      </w:r>
      <w:r>
        <w:t xml:space="preserve">t </w:t>
      </w:r>
      <w:r>
        <w:rPr>
          <w:spacing w:val="-2"/>
        </w:rPr>
        <w:t>t</w:t>
      </w:r>
      <w:r>
        <w:t>o de</w:t>
      </w:r>
      <w:r>
        <w:rPr>
          <w:spacing w:val="-3"/>
        </w:rPr>
        <w:t>f</w:t>
      </w:r>
      <w:r>
        <w:t>er settleme</w:t>
      </w:r>
      <w:r>
        <w:rPr>
          <w:spacing w:val="-1"/>
        </w:rPr>
        <w:t>n</w:t>
      </w:r>
      <w:r>
        <w:t>t of the liabili</w:t>
      </w:r>
      <w:r>
        <w:rPr>
          <w:spacing w:val="1"/>
        </w:rPr>
        <w:t>t</w:t>
      </w:r>
      <w:r>
        <w:t xml:space="preserve">y </w:t>
      </w:r>
      <w:r>
        <w:rPr>
          <w:spacing w:val="-3"/>
        </w:rPr>
        <w:t>f</w:t>
      </w:r>
      <w:r>
        <w:t xml:space="preserve">or </w:t>
      </w:r>
      <w:r>
        <w:rPr>
          <w:spacing w:val="-1"/>
        </w:rPr>
        <w:t>a</w:t>
      </w:r>
      <w:r>
        <w:t>t least 12 mo</w:t>
      </w:r>
      <w:r>
        <w:rPr>
          <w:spacing w:val="-1"/>
        </w:rPr>
        <w:t>n</w:t>
      </w:r>
      <w:r>
        <w:t>ths a</w:t>
      </w:r>
      <w:r>
        <w:rPr>
          <w:spacing w:val="2"/>
        </w:rPr>
        <w:t>f</w:t>
      </w:r>
      <w:r>
        <w:rPr>
          <w:spacing w:val="-2"/>
        </w:rPr>
        <w:t>t</w:t>
      </w:r>
      <w:r>
        <w:t xml:space="preserve">er the end of the </w:t>
      </w:r>
      <w:r>
        <w:rPr>
          <w:spacing w:val="-3"/>
        </w:rPr>
        <w:t>r</w:t>
      </w:r>
      <w:r>
        <w:t>epo</w:t>
      </w:r>
      <w:r>
        <w:rPr>
          <w:spacing w:val="5"/>
        </w:rPr>
        <w:t>r</w:t>
      </w:r>
      <w:r>
        <w:t>ting perio</w:t>
      </w:r>
      <w:r>
        <w:rPr>
          <w:spacing w:val="-3"/>
        </w:rPr>
        <w:t>d</w:t>
      </w:r>
      <w:r>
        <w:t xml:space="preserve">. </w:t>
      </w:r>
      <w:r>
        <w:rPr>
          <w:spacing w:val="-4"/>
        </w:rPr>
        <w:t>P</w:t>
      </w:r>
      <w:r>
        <w:rPr>
          <w:spacing w:val="-3"/>
        </w:rPr>
        <w:t>r</w:t>
      </w:r>
      <w:r>
        <w:rPr>
          <w:spacing w:val="6"/>
        </w:rPr>
        <w:t>e</w:t>
      </w:r>
      <w:r>
        <w:t xml:space="preserve">- </w:t>
      </w:r>
      <w:r>
        <w:rPr>
          <w:spacing w:val="-2"/>
        </w:rPr>
        <w:t>c</w:t>
      </w:r>
      <w:r>
        <w:t>onditional</w:t>
      </w:r>
      <w:r>
        <w:rPr>
          <w:spacing w:val="-1"/>
        </w:rPr>
        <w:t xml:space="preserve"> </w:t>
      </w:r>
      <w:r>
        <w:t>and</w:t>
      </w:r>
      <w:r>
        <w:rPr>
          <w:spacing w:val="-1"/>
        </w:rPr>
        <w:t xml:space="preserve"> </w:t>
      </w:r>
      <w:r>
        <w:rPr>
          <w:spacing w:val="-2"/>
        </w:rPr>
        <w:t>c</w:t>
      </w:r>
      <w:r>
        <w:t>onditional</w:t>
      </w:r>
      <w:r>
        <w:rPr>
          <w:spacing w:val="-1"/>
        </w:rPr>
        <w:t xml:space="preserve"> </w:t>
      </w:r>
      <w:r>
        <w:t>long</w:t>
      </w:r>
      <w:r>
        <w:rPr>
          <w:spacing w:val="-1"/>
        </w:rPr>
        <w:t xml:space="preserve"> </w:t>
      </w:r>
      <w:r>
        <w:t>se</w:t>
      </w:r>
      <w:r>
        <w:rPr>
          <w:spacing w:val="5"/>
        </w:rPr>
        <w:t>r</w:t>
      </w:r>
      <w:r>
        <w:t>vi</w:t>
      </w:r>
      <w:r>
        <w:rPr>
          <w:spacing w:val="-2"/>
        </w:rPr>
        <w:t>c</w:t>
      </w:r>
      <w:r>
        <w:t>e</w:t>
      </w:r>
      <w:r>
        <w:rPr>
          <w:spacing w:val="-1"/>
        </w:rPr>
        <w:t xml:space="preserve"> </w:t>
      </w:r>
      <w:r>
        <w:t>le</w:t>
      </w:r>
      <w:r>
        <w:rPr>
          <w:spacing w:val="-2"/>
        </w:rPr>
        <w:t>a</w:t>
      </w:r>
      <w:r>
        <w:rPr>
          <w:spacing w:val="-3"/>
        </w:rPr>
        <w:t>v</w:t>
      </w:r>
      <w:r>
        <w:t>e p</w:t>
      </w:r>
      <w:r>
        <w:rPr>
          <w:spacing w:val="-3"/>
        </w:rPr>
        <w:t>r</w:t>
      </w:r>
      <w:r>
        <w:rPr>
          <w:spacing w:val="-2"/>
        </w:rPr>
        <w:t>o</w:t>
      </w:r>
      <w:r>
        <w:t>visions</w:t>
      </w:r>
      <w:r>
        <w:rPr>
          <w:spacing w:val="-1"/>
        </w:rPr>
        <w:t xml:space="preserve"> </w:t>
      </w:r>
      <w:r>
        <w:t>a</w:t>
      </w:r>
      <w:r>
        <w:rPr>
          <w:spacing w:val="-3"/>
        </w:rPr>
        <w:t>r</w:t>
      </w:r>
      <w:r>
        <w:t>e</w:t>
      </w:r>
      <w:r>
        <w:rPr>
          <w:spacing w:val="-1"/>
        </w:rPr>
        <w:t xml:space="preserve"> </w:t>
      </w:r>
      <w:r>
        <w:t>classified</w:t>
      </w:r>
      <w:r>
        <w:rPr>
          <w:spacing w:val="-1"/>
        </w:rPr>
        <w:t xml:space="preserve"> </w:t>
      </w:r>
      <w:r>
        <w:t>as</w:t>
      </w:r>
      <w:r>
        <w:rPr>
          <w:spacing w:val="-1"/>
        </w:rPr>
        <w:t xml:space="preserve"> </w:t>
      </w:r>
      <w:r>
        <w:t>non- cur</w:t>
      </w:r>
      <w:r>
        <w:rPr>
          <w:spacing w:val="-3"/>
        </w:rPr>
        <w:t>r</w:t>
      </w:r>
      <w:r>
        <w:t>e</w:t>
      </w:r>
      <w:r>
        <w:rPr>
          <w:spacing w:val="-1"/>
        </w:rPr>
        <w:t>n</w:t>
      </w:r>
      <w:r>
        <w:t xml:space="preserve">t liabilities because the </w:t>
      </w:r>
      <w:r>
        <w:rPr>
          <w:spacing w:val="-3"/>
        </w:rPr>
        <w:t>A</w:t>
      </w:r>
      <w:r>
        <w:t>uthori</w:t>
      </w:r>
      <w:r>
        <w:rPr>
          <w:spacing w:val="1"/>
        </w:rPr>
        <w:t>t</w:t>
      </w:r>
      <w:r>
        <w:t>y has an un</w:t>
      </w:r>
      <w:r>
        <w:rPr>
          <w:spacing w:val="-2"/>
        </w:rPr>
        <w:t>c</w:t>
      </w:r>
      <w:r>
        <w:t>onditional rig</w:t>
      </w:r>
      <w:r>
        <w:rPr>
          <w:spacing w:val="-1"/>
        </w:rPr>
        <w:t>h</w:t>
      </w:r>
      <w:r>
        <w:t xml:space="preserve">t </w:t>
      </w:r>
      <w:r>
        <w:rPr>
          <w:spacing w:val="-2"/>
        </w:rPr>
        <w:t>t</w:t>
      </w:r>
      <w:r>
        <w:t>o de</w:t>
      </w:r>
      <w:r>
        <w:rPr>
          <w:spacing w:val="-3"/>
        </w:rPr>
        <w:t>f</w:t>
      </w:r>
      <w:r>
        <w:t>er the</w:t>
      </w:r>
      <w:r>
        <w:rPr>
          <w:color w:val="000000"/>
        </w:rPr>
        <w:t xml:space="preserve"> </w:t>
      </w:r>
      <w:r>
        <w:t>settleme</w:t>
      </w:r>
      <w:r>
        <w:rPr>
          <w:spacing w:val="-1"/>
        </w:rPr>
        <w:t>n</w:t>
      </w:r>
      <w:r>
        <w:t>t of the liabili</w:t>
      </w:r>
      <w:r>
        <w:rPr>
          <w:spacing w:val="1"/>
        </w:rPr>
        <w:t>t</w:t>
      </w:r>
      <w:r>
        <w:t>y u</w:t>
      </w:r>
      <w:r>
        <w:rPr>
          <w:spacing w:val="-1"/>
        </w:rPr>
        <w:t>n</w:t>
      </w:r>
      <w:r>
        <w:t>til the empl</w:t>
      </w:r>
      <w:r>
        <w:rPr>
          <w:spacing w:val="-2"/>
        </w:rPr>
        <w:t>o</w:t>
      </w:r>
      <w:r>
        <w:rPr>
          <w:spacing w:val="-3"/>
        </w:rPr>
        <w:t>y</w:t>
      </w:r>
      <w:r>
        <w:t xml:space="preserve">ee has </w:t>
      </w:r>
      <w:r>
        <w:rPr>
          <w:spacing w:val="-2"/>
        </w:rPr>
        <w:t>c</w:t>
      </w:r>
      <w:r>
        <w:t>omple</w:t>
      </w:r>
      <w:r>
        <w:rPr>
          <w:spacing w:val="-2"/>
        </w:rPr>
        <w:t>t</w:t>
      </w:r>
      <w:r>
        <w:t xml:space="preserve">ed the </w:t>
      </w:r>
      <w:r>
        <w:rPr>
          <w:spacing w:val="-3"/>
        </w:rPr>
        <w:t>r</w:t>
      </w:r>
      <w:r>
        <w:t>equisi</w:t>
      </w:r>
      <w:r>
        <w:rPr>
          <w:spacing w:val="-2"/>
        </w:rPr>
        <w:t>t</w:t>
      </w:r>
      <w:r>
        <w:t xml:space="preserve">e </w:t>
      </w:r>
      <w:r>
        <w:rPr>
          <w:spacing w:val="-3"/>
        </w:rPr>
        <w:t>y</w:t>
      </w:r>
      <w:r>
        <w:t>ears of se</w:t>
      </w:r>
      <w:r>
        <w:rPr>
          <w:spacing w:val="5"/>
        </w:rPr>
        <w:t>r</w:t>
      </w:r>
      <w:r>
        <w:t>vi</w:t>
      </w:r>
      <w:r>
        <w:rPr>
          <w:spacing w:val="-2"/>
        </w:rPr>
        <w:t>c</w:t>
      </w:r>
      <w:r>
        <w:rPr>
          <w:spacing w:val="-3"/>
        </w:rPr>
        <w:t>e</w:t>
      </w:r>
      <w:r>
        <w:t>.</w:t>
      </w:r>
    </w:p>
    <w:p w14:paraId="2C17DE17" w14:textId="77777777" w:rsidR="0021382E" w:rsidRPr="00DA1E18" w:rsidRDefault="0021382E" w:rsidP="0021382E">
      <w:pPr>
        <w:rPr>
          <w:rStyle w:val="Strong"/>
          <w:i/>
        </w:rPr>
      </w:pPr>
      <w:r w:rsidRPr="00DA1E18">
        <w:rPr>
          <w:rStyle w:val="Strong"/>
          <w:i/>
        </w:rPr>
        <w:t>Superannuation</w:t>
      </w:r>
    </w:p>
    <w:p w14:paraId="2AAFDAE5" w14:textId="77777777" w:rsidR="0021382E" w:rsidRDefault="0021382E" w:rsidP="0021382E">
      <w:pPr>
        <w:rPr>
          <w:color w:val="000000"/>
        </w:rPr>
      </w:pPr>
      <w:r>
        <w:rPr>
          <w:spacing w:val="-2"/>
        </w:rPr>
        <w:t>T</w:t>
      </w:r>
      <w:r>
        <w:t xml:space="preserve">he </w:t>
      </w:r>
      <w:r>
        <w:rPr>
          <w:spacing w:val="1"/>
        </w:rPr>
        <w:t>G</w:t>
      </w:r>
      <w:r>
        <w:rPr>
          <w:spacing w:val="-2"/>
        </w:rPr>
        <w:t>o</w:t>
      </w:r>
      <w:r>
        <w:rPr>
          <w:spacing w:val="-3"/>
        </w:rPr>
        <w:t>v</w:t>
      </w:r>
      <w:r>
        <w:t>ernme</w:t>
      </w:r>
      <w:r>
        <w:rPr>
          <w:spacing w:val="-1"/>
        </w:rPr>
        <w:t>n</w:t>
      </w:r>
      <w:r>
        <w:t>t Empl</w:t>
      </w:r>
      <w:r>
        <w:rPr>
          <w:spacing w:val="-2"/>
        </w:rPr>
        <w:t>o</w:t>
      </w:r>
      <w:r>
        <w:rPr>
          <w:spacing w:val="-3"/>
        </w:rPr>
        <w:t>y</w:t>
      </w:r>
      <w:r>
        <w:t>ees Supe</w:t>
      </w:r>
      <w:r>
        <w:rPr>
          <w:spacing w:val="-2"/>
        </w:rPr>
        <w:t>r</w:t>
      </w:r>
      <w:r>
        <w:t>annu</w:t>
      </w:r>
      <w:r>
        <w:rPr>
          <w:spacing w:val="-1"/>
        </w:rPr>
        <w:t>a</w:t>
      </w:r>
      <w:r>
        <w:t>tion Boa</w:t>
      </w:r>
      <w:r>
        <w:rPr>
          <w:spacing w:val="-3"/>
        </w:rPr>
        <w:t>r</w:t>
      </w:r>
      <w:r>
        <w:t xml:space="preserve">d </w:t>
      </w:r>
      <w:r>
        <w:rPr>
          <w:spacing w:val="-3"/>
        </w:rPr>
        <w:t>(</w:t>
      </w:r>
      <w:r>
        <w:t>GESB) and other funds p</w:t>
      </w:r>
      <w:r>
        <w:rPr>
          <w:spacing w:val="-3"/>
        </w:rPr>
        <w:t>r</w:t>
      </w:r>
      <w:r>
        <w:rPr>
          <w:spacing w:val="-2"/>
        </w:rPr>
        <w:t>o</w:t>
      </w:r>
      <w:r>
        <w:t>viders adminis</w:t>
      </w:r>
      <w:r>
        <w:rPr>
          <w:spacing w:val="-2"/>
        </w:rPr>
        <w:t>t</w:t>
      </w:r>
      <w:r>
        <w:t>er public se</w:t>
      </w:r>
      <w:r>
        <w:rPr>
          <w:spacing w:val="2"/>
        </w:rPr>
        <w:t>c</w:t>
      </w:r>
      <w:r>
        <w:rPr>
          <w:spacing w:val="-2"/>
        </w:rPr>
        <w:t>t</w:t>
      </w:r>
      <w:r>
        <w:t>or supe</w:t>
      </w:r>
      <w:r>
        <w:rPr>
          <w:spacing w:val="-2"/>
        </w:rPr>
        <w:t>r</w:t>
      </w:r>
      <w:r>
        <w:t>annu</w:t>
      </w:r>
      <w:r>
        <w:rPr>
          <w:spacing w:val="-1"/>
        </w:rPr>
        <w:t>a</w:t>
      </w:r>
      <w:r>
        <w:t>tion ar</w:t>
      </w:r>
      <w:r>
        <w:rPr>
          <w:spacing w:val="-2"/>
        </w:rPr>
        <w:t>r</w:t>
      </w:r>
      <w:r>
        <w:t>angeme</w:t>
      </w:r>
      <w:r>
        <w:rPr>
          <w:spacing w:val="-1"/>
        </w:rPr>
        <w:t>n</w:t>
      </w:r>
      <w:r>
        <w:t>ts in</w:t>
      </w:r>
      <w:r>
        <w:rPr>
          <w:spacing w:val="-8"/>
        </w:rPr>
        <w:t xml:space="preserve"> W</w:t>
      </w:r>
      <w:r>
        <w:t>es</w:t>
      </w:r>
      <w:r>
        <w:rPr>
          <w:spacing w:val="-2"/>
        </w:rPr>
        <w:t>t</w:t>
      </w:r>
      <w:r>
        <w:t xml:space="preserve">ern </w:t>
      </w:r>
      <w:r>
        <w:rPr>
          <w:spacing w:val="-3"/>
        </w:rPr>
        <w:t>A</w:t>
      </w:r>
      <w:r>
        <w:t>ust</w:t>
      </w:r>
      <w:r>
        <w:rPr>
          <w:spacing w:val="-2"/>
        </w:rPr>
        <w:t>r</w:t>
      </w:r>
      <w:r>
        <w:t>alia in a</w:t>
      </w:r>
      <w:r>
        <w:rPr>
          <w:spacing w:val="-2"/>
        </w:rPr>
        <w:t>cc</w:t>
      </w:r>
      <w:r>
        <w:t>o</w:t>
      </w:r>
      <w:r>
        <w:rPr>
          <w:spacing w:val="-3"/>
        </w:rPr>
        <w:t>r</w:t>
      </w:r>
      <w:r>
        <w:t>dan</w:t>
      </w:r>
      <w:r>
        <w:rPr>
          <w:spacing w:val="-2"/>
        </w:rPr>
        <w:t>c</w:t>
      </w:r>
      <w:r>
        <w:t>e with le</w:t>
      </w:r>
      <w:r>
        <w:rPr>
          <w:spacing w:val="-2"/>
        </w:rPr>
        <w:t>g</w:t>
      </w:r>
      <w:r>
        <w:t>isl</w:t>
      </w:r>
      <w:r>
        <w:rPr>
          <w:spacing w:val="-1"/>
        </w:rPr>
        <w:t>a</w:t>
      </w:r>
      <w:r>
        <w:t>ti</w:t>
      </w:r>
      <w:r>
        <w:rPr>
          <w:spacing w:val="-3"/>
        </w:rPr>
        <w:t>v</w:t>
      </w:r>
      <w:r>
        <w:t xml:space="preserve">e </w:t>
      </w:r>
      <w:r>
        <w:rPr>
          <w:spacing w:val="-3"/>
        </w:rPr>
        <w:t>r</w:t>
      </w:r>
      <w:r>
        <w:t>equi</w:t>
      </w:r>
      <w:r>
        <w:rPr>
          <w:spacing w:val="-3"/>
        </w:rPr>
        <w:t>r</w:t>
      </w:r>
      <w:r>
        <w:t>eme</w:t>
      </w:r>
      <w:r>
        <w:rPr>
          <w:spacing w:val="-1"/>
        </w:rPr>
        <w:t>n</w:t>
      </w:r>
      <w:r>
        <w:t>t</w:t>
      </w:r>
      <w:r>
        <w:rPr>
          <w:spacing w:val="-3"/>
        </w:rPr>
        <w:t>s</w:t>
      </w:r>
      <w:r>
        <w:t>. Eli</w:t>
      </w:r>
      <w:r>
        <w:rPr>
          <w:spacing w:val="-2"/>
        </w:rPr>
        <w:t>g</w:t>
      </w:r>
      <w:r>
        <w:t>ibili</w:t>
      </w:r>
      <w:r>
        <w:rPr>
          <w:spacing w:val="2"/>
        </w:rPr>
        <w:t>t</w:t>
      </w:r>
      <w:r>
        <w:t>y cri</w:t>
      </w:r>
      <w:r>
        <w:rPr>
          <w:spacing w:val="-2"/>
        </w:rPr>
        <w:t>t</w:t>
      </w:r>
      <w:r>
        <w:t xml:space="preserve">eria </w:t>
      </w:r>
      <w:r>
        <w:rPr>
          <w:spacing w:val="-3"/>
        </w:rPr>
        <w:t>f</w:t>
      </w:r>
      <w:r>
        <w:t>or membership in pa</w:t>
      </w:r>
      <w:r>
        <w:rPr>
          <w:spacing w:val="5"/>
        </w:rPr>
        <w:t>r</w:t>
      </w:r>
      <w:r>
        <w:t xml:space="preserve">ticular schemes </w:t>
      </w:r>
      <w:r>
        <w:rPr>
          <w:spacing w:val="-3"/>
        </w:rPr>
        <w:t>f</w:t>
      </w:r>
      <w:r>
        <w:t>or public se</w:t>
      </w:r>
      <w:r>
        <w:rPr>
          <w:spacing w:val="2"/>
        </w:rPr>
        <w:t>c</w:t>
      </w:r>
      <w:r>
        <w:rPr>
          <w:spacing w:val="-2"/>
        </w:rPr>
        <w:t>t</w:t>
      </w:r>
      <w:r>
        <w:t>or empl</w:t>
      </w:r>
      <w:r>
        <w:rPr>
          <w:spacing w:val="-2"/>
        </w:rPr>
        <w:t>o</w:t>
      </w:r>
      <w:r>
        <w:rPr>
          <w:spacing w:val="-3"/>
        </w:rPr>
        <w:t>y</w:t>
      </w:r>
      <w:r>
        <w:t xml:space="preserve">ees </w:t>
      </w:r>
      <w:r>
        <w:rPr>
          <w:spacing w:val="-1"/>
        </w:rPr>
        <w:t>v</w:t>
      </w:r>
      <w:r>
        <w:t>a</w:t>
      </w:r>
      <w:r>
        <w:rPr>
          <w:spacing w:val="5"/>
        </w:rPr>
        <w:t>r</w:t>
      </w:r>
      <w:r>
        <w:t>y a</w:t>
      </w:r>
      <w:r>
        <w:rPr>
          <w:spacing w:val="-2"/>
        </w:rPr>
        <w:t>cc</w:t>
      </w:r>
      <w:r>
        <w:t>o</w:t>
      </w:r>
      <w:r>
        <w:rPr>
          <w:spacing w:val="-3"/>
        </w:rPr>
        <w:t>r</w:t>
      </w:r>
      <w:r>
        <w:t xml:space="preserve">ding </w:t>
      </w:r>
      <w:r>
        <w:rPr>
          <w:spacing w:val="-2"/>
        </w:rPr>
        <w:t>t</w:t>
      </w:r>
      <w:r>
        <w:t xml:space="preserve">o </w:t>
      </w:r>
      <w:r>
        <w:rPr>
          <w:spacing w:val="-2"/>
        </w:rPr>
        <w:t>c</w:t>
      </w:r>
      <w:r>
        <w:t>ommen</w:t>
      </w:r>
      <w:r>
        <w:rPr>
          <w:spacing w:val="-2"/>
        </w:rPr>
        <w:t>c</w:t>
      </w:r>
      <w:r>
        <w:t>eme</w:t>
      </w:r>
      <w:r>
        <w:rPr>
          <w:spacing w:val="-1"/>
        </w:rPr>
        <w:t>n</w:t>
      </w:r>
      <w:r>
        <w:t>t and impleme</w:t>
      </w:r>
      <w:r>
        <w:rPr>
          <w:spacing w:val="-1"/>
        </w:rPr>
        <w:t>n</w:t>
      </w:r>
      <w:r>
        <w:t>t</w:t>
      </w:r>
      <w:r>
        <w:rPr>
          <w:spacing w:val="-1"/>
        </w:rPr>
        <w:t>a</w:t>
      </w:r>
      <w:r>
        <w:t>tion d</w:t>
      </w:r>
      <w:r>
        <w:rPr>
          <w:spacing w:val="-1"/>
        </w:rPr>
        <w:t>a</w:t>
      </w:r>
      <w:r>
        <w:rPr>
          <w:spacing w:val="-2"/>
        </w:rPr>
        <w:t>t</w:t>
      </w:r>
      <w:r>
        <w:t>e</w:t>
      </w:r>
      <w:r>
        <w:rPr>
          <w:spacing w:val="-3"/>
        </w:rPr>
        <w:t>s</w:t>
      </w:r>
      <w:r>
        <w:t>.</w:t>
      </w:r>
    </w:p>
    <w:p w14:paraId="29FD052C" w14:textId="149A340A" w:rsidR="0021382E" w:rsidRDefault="0021382E" w:rsidP="0021382E">
      <w:pPr>
        <w:rPr>
          <w:color w:val="000000"/>
        </w:rPr>
      </w:pPr>
      <w:r>
        <w:rPr>
          <w:noProof/>
          <w:lang w:eastAsia="en-AU"/>
        </w:rPr>
        <mc:AlternateContent>
          <mc:Choice Requires="wps">
            <w:drawing>
              <wp:anchor distT="0" distB="0" distL="114300" distR="114300" simplePos="0" relativeHeight="251740160" behindDoc="1" locked="0" layoutInCell="0" allowOverlap="1" wp14:anchorId="14B2CA06" wp14:editId="5CE3631A">
                <wp:simplePos x="0" y="0"/>
                <wp:positionH relativeFrom="page">
                  <wp:posOffset>0</wp:posOffset>
                </wp:positionH>
                <wp:positionV relativeFrom="page">
                  <wp:posOffset>186055</wp:posOffset>
                </wp:positionV>
                <wp:extent cx="450850" cy="118745"/>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0" cy="118745"/>
                        </a:xfrm>
                        <a:prstGeom prst="rect">
                          <a:avLst/>
                        </a:prstGeom>
                        <a:solidFill>
                          <a:srgbClr val="B6C6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299BE" id="Rectangle 124" o:spid="_x0000_s1026" style="position:absolute;margin-left:0;margin-top:14.65pt;width:35.5pt;height:9.3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" o:allowincell="f" fillcolor="#b6c6c2" stroked="f">
                <v:path arrowok="t"/>
                <w10:wrap anchorx="page" anchory="page"/>
              </v:rect>
            </w:pict>
          </mc:Fallback>
        </mc:AlternateContent>
      </w:r>
      <w:r>
        <w:t>Eli</w:t>
      </w:r>
      <w:r>
        <w:rPr>
          <w:spacing w:val="-2"/>
        </w:rPr>
        <w:t>g</w:t>
      </w:r>
      <w:r>
        <w:t>ible</w:t>
      </w:r>
      <w:r>
        <w:rPr>
          <w:spacing w:val="-2"/>
        </w:rPr>
        <w:t xml:space="preserve"> </w:t>
      </w:r>
      <w:r>
        <w:t>empl</w:t>
      </w:r>
      <w:r>
        <w:rPr>
          <w:spacing w:val="-2"/>
        </w:rPr>
        <w:t>o</w:t>
      </w:r>
      <w:r>
        <w:rPr>
          <w:spacing w:val="-3"/>
        </w:rPr>
        <w:t>y</w:t>
      </w:r>
      <w:r>
        <w:t>ees</w:t>
      </w:r>
      <w:r>
        <w:rPr>
          <w:spacing w:val="-1"/>
        </w:rPr>
        <w:t xml:space="preserve"> </w:t>
      </w:r>
      <w:r>
        <w:rPr>
          <w:spacing w:val="-2"/>
        </w:rPr>
        <w:t>c</w:t>
      </w:r>
      <w:r>
        <w:t>o</w:t>
      </w:r>
      <w:r>
        <w:rPr>
          <w:spacing w:val="-1"/>
        </w:rPr>
        <w:t>n</w:t>
      </w:r>
      <w:r>
        <w:t>tribu</w:t>
      </w:r>
      <w:r>
        <w:rPr>
          <w:spacing w:val="-2"/>
        </w:rPr>
        <w:t>t</w:t>
      </w:r>
      <w:r>
        <w:t>e</w:t>
      </w:r>
      <w:r>
        <w:rPr>
          <w:spacing w:val="-2"/>
        </w:rPr>
        <w:t xml:space="preserve"> t</w:t>
      </w:r>
      <w:r>
        <w:t>o</w:t>
      </w:r>
      <w:r>
        <w:rPr>
          <w:spacing w:val="-1"/>
        </w:rPr>
        <w:t xml:space="preserve"> </w:t>
      </w:r>
      <w:r>
        <w:t>the</w:t>
      </w:r>
      <w:r>
        <w:rPr>
          <w:spacing w:val="-1"/>
        </w:rPr>
        <w:t xml:space="preserve"> </w:t>
      </w:r>
      <w:r>
        <w:rPr>
          <w:spacing w:val="-6"/>
        </w:rPr>
        <w:t>P</w:t>
      </w:r>
      <w:r>
        <w:t>ension</w:t>
      </w:r>
      <w:r>
        <w:rPr>
          <w:spacing w:val="-2"/>
        </w:rPr>
        <w:t xml:space="preserve"> </w:t>
      </w:r>
      <w:r>
        <w:rPr>
          <w:spacing w:val="1"/>
        </w:rPr>
        <w:t>S</w:t>
      </w:r>
      <w:r>
        <w:t>chem</w:t>
      </w:r>
      <w:r>
        <w:rPr>
          <w:spacing w:val="-3"/>
        </w:rPr>
        <w:t>e</w:t>
      </w:r>
      <w:r>
        <w:t>,</w:t>
      </w:r>
      <w:r>
        <w:rPr>
          <w:spacing w:val="-1"/>
        </w:rPr>
        <w:t xml:space="preserve"> </w:t>
      </w:r>
      <w:r>
        <w:t>a</w:t>
      </w:r>
      <w:r>
        <w:rPr>
          <w:spacing w:val="-1"/>
        </w:rPr>
        <w:t xml:space="preserve"> </w:t>
      </w:r>
      <w:r>
        <w:t>defined</w:t>
      </w:r>
      <w:r>
        <w:rPr>
          <w:spacing w:val="-2"/>
        </w:rPr>
        <w:t xml:space="preserve"> </w:t>
      </w:r>
      <w:r>
        <w:t>benefit</w:t>
      </w:r>
      <w:r>
        <w:rPr>
          <w:spacing w:val="-1"/>
        </w:rPr>
        <w:t xml:space="preserve"> </w:t>
      </w:r>
      <w:r>
        <w:t xml:space="preserve">pension scheme closed </w:t>
      </w:r>
      <w:r>
        <w:rPr>
          <w:spacing w:val="-2"/>
        </w:rPr>
        <w:t>t</w:t>
      </w:r>
      <w:r>
        <w:t>o new members sin</w:t>
      </w:r>
      <w:r>
        <w:rPr>
          <w:spacing w:val="-2"/>
        </w:rPr>
        <w:t>c</w:t>
      </w:r>
      <w:r>
        <w:t xml:space="preserve">e 1987, or </w:t>
      </w:r>
      <w:r>
        <w:rPr>
          <w:spacing w:val="-2"/>
        </w:rPr>
        <w:t>t</w:t>
      </w:r>
      <w:r>
        <w:t xml:space="preserve">o the </w:t>
      </w:r>
      <w:r>
        <w:rPr>
          <w:spacing w:val="1"/>
        </w:rPr>
        <w:t>G</w:t>
      </w:r>
      <w:r>
        <w:t xml:space="preserve">old </w:t>
      </w:r>
      <w:r>
        <w:rPr>
          <w:spacing w:val="-1"/>
        </w:rPr>
        <w:t>S</w:t>
      </w:r>
      <w:r>
        <w:t>t</w:t>
      </w:r>
      <w:r>
        <w:rPr>
          <w:spacing w:val="-1"/>
        </w:rPr>
        <w:t>a</w:t>
      </w:r>
      <w:r>
        <w:rPr>
          <w:spacing w:val="-2"/>
        </w:rPr>
        <w:t>t</w:t>
      </w:r>
      <w:r>
        <w:t>e Supe</w:t>
      </w:r>
      <w:r>
        <w:rPr>
          <w:spacing w:val="-2"/>
        </w:rPr>
        <w:t>r</w:t>
      </w:r>
      <w:r>
        <w:t>annu</w:t>
      </w:r>
      <w:r>
        <w:rPr>
          <w:spacing w:val="-1"/>
        </w:rPr>
        <w:t>a</w:t>
      </w:r>
      <w:r>
        <w:t xml:space="preserve">tion </w:t>
      </w:r>
      <w:r>
        <w:rPr>
          <w:spacing w:val="1"/>
        </w:rPr>
        <w:t>S</w:t>
      </w:r>
      <w:r>
        <w:t>cheme</w:t>
      </w:r>
      <w:r>
        <w:rPr>
          <w:spacing w:val="-2"/>
        </w:rPr>
        <w:t xml:space="preserve"> </w:t>
      </w:r>
      <w:r>
        <w:rPr>
          <w:spacing w:val="-3"/>
        </w:rPr>
        <w:t>(</w:t>
      </w:r>
      <w:r>
        <w:t>GSS),</w:t>
      </w:r>
      <w:r>
        <w:rPr>
          <w:spacing w:val="-1"/>
        </w:rPr>
        <w:t xml:space="preserve"> </w:t>
      </w:r>
      <w:r>
        <w:t>a</w:t>
      </w:r>
      <w:r>
        <w:rPr>
          <w:spacing w:val="-1"/>
        </w:rPr>
        <w:t xml:space="preserve"> </w:t>
      </w:r>
      <w:r>
        <w:t>defined</w:t>
      </w:r>
      <w:r>
        <w:rPr>
          <w:spacing w:val="-1"/>
        </w:rPr>
        <w:t xml:space="preserve"> </w:t>
      </w:r>
      <w:r>
        <w:t>benefit</w:t>
      </w:r>
      <w:r>
        <w:rPr>
          <w:spacing w:val="-2"/>
        </w:rPr>
        <w:t xml:space="preserve"> </w:t>
      </w:r>
      <w:r>
        <w:t>lump</w:t>
      </w:r>
      <w:r>
        <w:rPr>
          <w:spacing w:val="-1"/>
        </w:rPr>
        <w:t xml:space="preserve"> </w:t>
      </w:r>
      <w:r>
        <w:t>sum</w:t>
      </w:r>
      <w:r>
        <w:rPr>
          <w:spacing w:val="-1"/>
        </w:rPr>
        <w:t xml:space="preserve"> </w:t>
      </w:r>
      <w:r>
        <w:t>scheme</w:t>
      </w:r>
      <w:r>
        <w:rPr>
          <w:spacing w:val="-1"/>
        </w:rPr>
        <w:t xml:space="preserve"> </w:t>
      </w:r>
      <w:r>
        <w:t>closed</w:t>
      </w:r>
      <w:r>
        <w:rPr>
          <w:spacing w:val="-2"/>
        </w:rPr>
        <w:t xml:space="preserve"> t</w:t>
      </w:r>
      <w:r>
        <w:t>o</w:t>
      </w:r>
      <w:r>
        <w:rPr>
          <w:spacing w:val="-1"/>
        </w:rPr>
        <w:t xml:space="preserve"> </w:t>
      </w:r>
      <w:r>
        <w:t>new</w:t>
      </w:r>
      <w:r>
        <w:rPr>
          <w:spacing w:val="-1"/>
        </w:rPr>
        <w:t xml:space="preserve"> </w:t>
      </w:r>
      <w:r>
        <w:t>members sin</w:t>
      </w:r>
      <w:r>
        <w:rPr>
          <w:spacing w:val="-2"/>
        </w:rPr>
        <w:t>c</w:t>
      </w:r>
      <w:r>
        <w:t>e 1995.</w:t>
      </w:r>
    </w:p>
    <w:p w14:paraId="3B0D2FA2" w14:textId="12D6D7EF" w:rsidR="0021382E" w:rsidRDefault="0021382E" w:rsidP="0021382E">
      <w:pPr>
        <w:rPr>
          <w:color w:val="000000"/>
        </w:rPr>
      </w:pPr>
      <w:r>
        <w:t>Empl</w:t>
      </w:r>
      <w:r>
        <w:rPr>
          <w:spacing w:val="-2"/>
        </w:rPr>
        <w:t>o</w:t>
      </w:r>
      <w:r>
        <w:rPr>
          <w:spacing w:val="-3"/>
        </w:rPr>
        <w:t>y</w:t>
      </w:r>
      <w:r>
        <w:t xml:space="preserve">ees </w:t>
      </w:r>
      <w:r>
        <w:rPr>
          <w:spacing w:val="-2"/>
        </w:rPr>
        <w:t>c</w:t>
      </w:r>
      <w:r>
        <w:t>ommencing empl</w:t>
      </w:r>
      <w:r>
        <w:rPr>
          <w:spacing w:val="-2"/>
        </w:rPr>
        <w:t>o</w:t>
      </w:r>
      <w:r>
        <w:t>yme</w:t>
      </w:r>
      <w:r>
        <w:rPr>
          <w:spacing w:val="-1"/>
        </w:rPr>
        <w:t>n</w:t>
      </w:r>
      <w:r>
        <w:t xml:space="preserve">t prior </w:t>
      </w:r>
      <w:r>
        <w:rPr>
          <w:spacing w:val="-2"/>
        </w:rPr>
        <w:t>t</w:t>
      </w:r>
      <w:r>
        <w:t xml:space="preserve">o 16 </w:t>
      </w:r>
      <w:r>
        <w:rPr>
          <w:spacing w:val="-1"/>
        </w:rPr>
        <w:t>A</w:t>
      </w:r>
      <w:r>
        <w:t xml:space="preserve">pril 2007 who </w:t>
      </w:r>
      <w:r>
        <w:rPr>
          <w:spacing w:val="-3"/>
        </w:rPr>
        <w:t>w</w:t>
      </w:r>
      <w:r>
        <w:t>e</w:t>
      </w:r>
      <w:r>
        <w:rPr>
          <w:spacing w:val="-3"/>
        </w:rPr>
        <w:t>r</w:t>
      </w:r>
      <w:r>
        <w:t xml:space="preserve">e not members of either the </w:t>
      </w:r>
      <w:r>
        <w:rPr>
          <w:spacing w:val="-6"/>
        </w:rPr>
        <w:t>P</w:t>
      </w:r>
      <w:r>
        <w:t xml:space="preserve">ension </w:t>
      </w:r>
      <w:r>
        <w:rPr>
          <w:spacing w:val="1"/>
        </w:rPr>
        <w:t>S</w:t>
      </w:r>
      <w:r>
        <w:t>cheme or the GSS became non</w:t>
      </w:r>
      <w:r>
        <w:rPr>
          <w:spacing w:val="3"/>
        </w:rPr>
        <w:t>-</w:t>
      </w:r>
      <w:r>
        <w:rPr>
          <w:spacing w:val="-2"/>
        </w:rPr>
        <w:t>c</w:t>
      </w:r>
      <w:r>
        <w:t>o</w:t>
      </w:r>
      <w:r>
        <w:rPr>
          <w:spacing w:val="-1"/>
        </w:rPr>
        <w:t>n</w:t>
      </w:r>
      <w:r>
        <w:t>tribu</w:t>
      </w:r>
      <w:r>
        <w:rPr>
          <w:spacing w:val="-2"/>
        </w:rPr>
        <w:t>t</w:t>
      </w:r>
      <w:r>
        <w:t>o</w:t>
      </w:r>
      <w:r>
        <w:rPr>
          <w:spacing w:val="5"/>
        </w:rPr>
        <w:t>r</w:t>
      </w:r>
      <w:r>
        <w:t>y members of the</w:t>
      </w:r>
      <w:r>
        <w:rPr>
          <w:spacing w:val="-8"/>
        </w:rPr>
        <w:t xml:space="preserve"> W</w:t>
      </w:r>
      <w:r>
        <w:t xml:space="preserve">est </w:t>
      </w:r>
      <w:r>
        <w:rPr>
          <w:spacing w:val="-1"/>
        </w:rPr>
        <w:t>S</w:t>
      </w:r>
      <w:r>
        <w:t>t</w:t>
      </w:r>
      <w:r>
        <w:rPr>
          <w:spacing w:val="-1"/>
        </w:rPr>
        <w:t>a</w:t>
      </w:r>
      <w:r>
        <w:rPr>
          <w:spacing w:val="-2"/>
        </w:rPr>
        <w:t>t</w:t>
      </w:r>
      <w:r>
        <w:t>e Supe</w:t>
      </w:r>
      <w:r>
        <w:rPr>
          <w:spacing w:val="-2"/>
        </w:rPr>
        <w:t>r</w:t>
      </w:r>
      <w:r>
        <w:t>annu</w:t>
      </w:r>
      <w:r>
        <w:rPr>
          <w:spacing w:val="-1"/>
        </w:rPr>
        <w:t>a</w:t>
      </w:r>
      <w:r>
        <w:t xml:space="preserve">tion </w:t>
      </w:r>
      <w:r>
        <w:rPr>
          <w:spacing w:val="1"/>
        </w:rPr>
        <w:t>S</w:t>
      </w:r>
      <w:r>
        <w:t xml:space="preserve">cheme </w:t>
      </w:r>
      <w:r>
        <w:rPr>
          <w:spacing w:val="10"/>
        </w:rPr>
        <w:t>(</w:t>
      </w:r>
      <w:r>
        <w:t>WSS).</w:t>
      </w:r>
      <w:r>
        <w:rPr>
          <w:spacing w:val="46"/>
        </w:rPr>
        <w:t xml:space="preserve"> </w:t>
      </w:r>
      <w:r>
        <w:t>Empl</w:t>
      </w:r>
      <w:r>
        <w:rPr>
          <w:spacing w:val="-2"/>
        </w:rPr>
        <w:t>o</w:t>
      </w:r>
      <w:r>
        <w:rPr>
          <w:spacing w:val="-3"/>
        </w:rPr>
        <w:t>y</w:t>
      </w:r>
      <w:r>
        <w:t xml:space="preserve">ees </w:t>
      </w:r>
      <w:r>
        <w:rPr>
          <w:spacing w:val="-2"/>
        </w:rPr>
        <w:t>c</w:t>
      </w:r>
      <w:r>
        <w:t>ommencing empl</w:t>
      </w:r>
      <w:r>
        <w:rPr>
          <w:spacing w:val="-2"/>
        </w:rPr>
        <w:t>o</w:t>
      </w:r>
      <w:r>
        <w:t>yme</w:t>
      </w:r>
      <w:r>
        <w:rPr>
          <w:spacing w:val="-1"/>
        </w:rPr>
        <w:t>n</w:t>
      </w:r>
      <w:r>
        <w:t>t on or a</w:t>
      </w:r>
      <w:r>
        <w:rPr>
          <w:spacing w:val="2"/>
        </w:rPr>
        <w:t>f</w:t>
      </w:r>
      <w:r>
        <w:rPr>
          <w:spacing w:val="-2"/>
        </w:rPr>
        <w:t>t</w:t>
      </w:r>
      <w:r>
        <w:t xml:space="preserve">er 16 </w:t>
      </w:r>
      <w:r>
        <w:rPr>
          <w:spacing w:val="-1"/>
        </w:rPr>
        <w:t>A</w:t>
      </w:r>
      <w:r>
        <w:t xml:space="preserve">pril 2007 became members of the GESB Super </w:t>
      </w:r>
      <w:r>
        <w:rPr>
          <w:spacing w:val="1"/>
        </w:rPr>
        <w:t>S</w:t>
      </w:r>
      <w:r>
        <w:t xml:space="preserve">cheme </w:t>
      </w:r>
      <w:r>
        <w:rPr>
          <w:spacing w:val="-3"/>
        </w:rPr>
        <w:t>(</w:t>
      </w:r>
      <w:r>
        <w:t xml:space="preserve">GESBS). </w:t>
      </w:r>
      <w:r>
        <w:rPr>
          <w:spacing w:val="-6"/>
        </w:rPr>
        <w:t>F</w:t>
      </w:r>
      <w:r>
        <w:rPr>
          <w:spacing w:val="-3"/>
        </w:rPr>
        <w:t>r</w:t>
      </w:r>
      <w:r>
        <w:t xml:space="preserve">om 30 </w:t>
      </w:r>
      <w:r>
        <w:rPr>
          <w:spacing w:val="1"/>
        </w:rPr>
        <w:t>M</w:t>
      </w:r>
      <w:r>
        <w:t>a</w:t>
      </w:r>
      <w:r>
        <w:rPr>
          <w:spacing w:val="-3"/>
        </w:rPr>
        <w:t>r</w:t>
      </w:r>
      <w:r>
        <w:t xml:space="preserve">ch 2012, </w:t>
      </w:r>
      <w:r>
        <w:rPr>
          <w:spacing w:val="-1"/>
        </w:rPr>
        <w:t>e</w:t>
      </w:r>
      <w:r>
        <w:t>xisting members of the</w:t>
      </w:r>
      <w:r>
        <w:rPr>
          <w:spacing w:val="-8"/>
        </w:rPr>
        <w:t xml:space="preserve"> </w:t>
      </w:r>
      <w:r>
        <w:t>WSS or GESBS and new empl</w:t>
      </w:r>
      <w:r>
        <w:rPr>
          <w:spacing w:val="-2"/>
        </w:rPr>
        <w:t>o</w:t>
      </w:r>
      <w:r>
        <w:rPr>
          <w:spacing w:val="-3"/>
        </w:rPr>
        <w:t>y</w:t>
      </w:r>
      <w:r>
        <w:t xml:space="preserve">ees became able </w:t>
      </w:r>
      <w:r>
        <w:rPr>
          <w:spacing w:val="-2"/>
        </w:rPr>
        <w:t>t</w:t>
      </w:r>
      <w:r>
        <w:t>o choose their p</w:t>
      </w:r>
      <w:r>
        <w:rPr>
          <w:spacing w:val="-3"/>
        </w:rPr>
        <w:t>r</w:t>
      </w:r>
      <w:r>
        <w:t>e</w:t>
      </w:r>
      <w:r>
        <w:rPr>
          <w:spacing w:val="-3"/>
        </w:rPr>
        <w:t>f</w:t>
      </w:r>
      <w:r>
        <w:t>er</w:t>
      </w:r>
      <w:r>
        <w:rPr>
          <w:spacing w:val="-3"/>
        </w:rPr>
        <w:t>r</w:t>
      </w:r>
      <w:r>
        <w:t>ed supe</w:t>
      </w:r>
      <w:r>
        <w:rPr>
          <w:spacing w:val="-2"/>
        </w:rPr>
        <w:t>r</w:t>
      </w:r>
      <w:r>
        <w:t>annu</w:t>
      </w:r>
      <w:r>
        <w:rPr>
          <w:spacing w:val="-1"/>
        </w:rPr>
        <w:t>a</w:t>
      </w:r>
      <w:r>
        <w:t>tion fund</w:t>
      </w:r>
      <w:r>
        <w:rPr>
          <w:spacing w:val="-1"/>
        </w:rPr>
        <w:t xml:space="preserve"> </w:t>
      </w:r>
      <w:r>
        <w:t>p</w:t>
      </w:r>
      <w:r>
        <w:rPr>
          <w:spacing w:val="-3"/>
        </w:rPr>
        <w:t>r</w:t>
      </w:r>
      <w:r>
        <w:rPr>
          <w:spacing w:val="-2"/>
        </w:rPr>
        <w:t>o</w:t>
      </w:r>
      <w:r>
        <w:t>vide</w:t>
      </w:r>
      <w:r>
        <w:rPr>
          <w:spacing w:val="-12"/>
        </w:rPr>
        <w:t>r</w:t>
      </w:r>
      <w:r>
        <w:t>.</w:t>
      </w:r>
      <w:r>
        <w:rPr>
          <w:spacing w:val="-10"/>
        </w:rPr>
        <w:t xml:space="preserve"> </w:t>
      </w:r>
      <w:r>
        <w:rPr>
          <w:spacing w:val="-2"/>
        </w:rPr>
        <w:t>T</w:t>
      </w:r>
      <w:r>
        <w:t>he</w:t>
      </w:r>
      <w:r>
        <w:rPr>
          <w:spacing w:val="-1"/>
        </w:rPr>
        <w:t xml:space="preserve"> </w:t>
      </w:r>
      <w:r>
        <w:rPr>
          <w:spacing w:val="-3"/>
        </w:rPr>
        <w:t>A</w:t>
      </w:r>
      <w:r>
        <w:t>uthori</w:t>
      </w:r>
      <w:r>
        <w:rPr>
          <w:spacing w:val="1"/>
        </w:rPr>
        <w:t>t</w:t>
      </w:r>
      <w:r>
        <w:t>y</w:t>
      </w:r>
      <w:r>
        <w:rPr>
          <w:spacing w:val="-1"/>
        </w:rPr>
        <w:t xml:space="preserve"> </w:t>
      </w:r>
      <w:r>
        <w:t>makes</w:t>
      </w:r>
      <w:r>
        <w:rPr>
          <w:spacing w:val="-1"/>
        </w:rPr>
        <w:t xml:space="preserve"> </w:t>
      </w:r>
      <w:r>
        <w:rPr>
          <w:spacing w:val="-2"/>
        </w:rPr>
        <w:t>c</w:t>
      </w:r>
      <w:r>
        <w:t>o</w:t>
      </w:r>
      <w:r>
        <w:rPr>
          <w:spacing w:val="-1"/>
        </w:rPr>
        <w:t>n</w:t>
      </w:r>
      <w:r>
        <w:t>tributions</w:t>
      </w:r>
      <w:r>
        <w:rPr>
          <w:spacing w:val="-1"/>
        </w:rPr>
        <w:t xml:space="preserve"> </w:t>
      </w:r>
      <w:r>
        <w:rPr>
          <w:spacing w:val="-2"/>
        </w:rPr>
        <w:t>t</w:t>
      </w:r>
      <w:r>
        <w:t>o</w:t>
      </w:r>
      <w:r>
        <w:rPr>
          <w:spacing w:val="-1"/>
        </w:rPr>
        <w:t xml:space="preserve"> </w:t>
      </w:r>
      <w:r>
        <w:t>GESB</w:t>
      </w:r>
      <w:r>
        <w:rPr>
          <w:spacing w:val="-1"/>
        </w:rPr>
        <w:t xml:space="preserve"> </w:t>
      </w:r>
      <w:r>
        <w:t>or</w:t>
      </w:r>
      <w:r>
        <w:rPr>
          <w:spacing w:val="-1"/>
        </w:rPr>
        <w:t xml:space="preserve"> </w:t>
      </w:r>
      <w:r>
        <w:t>other</w:t>
      </w:r>
      <w:r>
        <w:rPr>
          <w:spacing w:val="-1"/>
        </w:rPr>
        <w:t xml:space="preserve"> </w:t>
      </w:r>
      <w:r>
        <w:t>funds</w:t>
      </w:r>
      <w:r>
        <w:rPr>
          <w:spacing w:val="-1"/>
        </w:rPr>
        <w:t xml:space="preserve"> </w:t>
      </w:r>
      <w:r>
        <w:t>p</w:t>
      </w:r>
      <w:r>
        <w:rPr>
          <w:spacing w:val="-3"/>
        </w:rPr>
        <w:t>r</w:t>
      </w:r>
      <w:r>
        <w:rPr>
          <w:spacing w:val="-2"/>
        </w:rPr>
        <w:t>o</w:t>
      </w:r>
      <w:r>
        <w:t>viders on behalf of empl</w:t>
      </w:r>
      <w:r>
        <w:rPr>
          <w:spacing w:val="-2"/>
        </w:rPr>
        <w:t>o</w:t>
      </w:r>
      <w:r>
        <w:rPr>
          <w:spacing w:val="-3"/>
        </w:rPr>
        <w:t>y</w:t>
      </w:r>
      <w:r>
        <w:t xml:space="preserve">ees in </w:t>
      </w:r>
      <w:r>
        <w:rPr>
          <w:spacing w:val="-2"/>
        </w:rPr>
        <w:t>c</w:t>
      </w:r>
      <w:r>
        <w:t>omplian</w:t>
      </w:r>
      <w:r>
        <w:rPr>
          <w:spacing w:val="-2"/>
        </w:rPr>
        <w:t>c</w:t>
      </w:r>
      <w:r>
        <w:t xml:space="preserve">e with the </w:t>
      </w:r>
      <w:r>
        <w:rPr>
          <w:spacing w:val="-3"/>
        </w:rPr>
        <w:t>C</w:t>
      </w:r>
      <w:r>
        <w:t>ommo</w:t>
      </w:r>
      <w:r>
        <w:rPr>
          <w:spacing w:val="-3"/>
        </w:rPr>
        <w:t>nw</w:t>
      </w:r>
      <w:r>
        <w:t xml:space="preserve">ealth </w:t>
      </w:r>
      <w:r>
        <w:rPr>
          <w:spacing w:val="1"/>
        </w:rPr>
        <w:t>G</w:t>
      </w:r>
      <w:r>
        <w:rPr>
          <w:spacing w:val="-2"/>
        </w:rPr>
        <w:t>o</w:t>
      </w:r>
      <w:r>
        <w:rPr>
          <w:spacing w:val="-3"/>
        </w:rPr>
        <w:t>v</w:t>
      </w:r>
      <w:r>
        <w:t>ernme</w:t>
      </w:r>
      <w:r>
        <w:rPr>
          <w:spacing w:val="-1"/>
        </w:rPr>
        <w:t>n</w:t>
      </w:r>
      <w:r>
        <w:rPr>
          <w:spacing w:val="4"/>
        </w:rPr>
        <w:t>t</w:t>
      </w:r>
      <w:r>
        <w:rPr>
          <w:spacing w:val="-16"/>
        </w:rPr>
        <w:t>’</w:t>
      </w:r>
      <w:r>
        <w:t xml:space="preserve">s </w:t>
      </w:r>
      <w:r w:rsidRPr="001827C6">
        <w:rPr>
          <w:i/>
        </w:rPr>
        <w:t>Supe</w:t>
      </w:r>
      <w:r w:rsidRPr="001827C6">
        <w:rPr>
          <w:i/>
          <w:spacing w:val="-2"/>
        </w:rPr>
        <w:t>r</w:t>
      </w:r>
      <w:r w:rsidRPr="001827C6">
        <w:rPr>
          <w:i/>
        </w:rPr>
        <w:t>annu</w:t>
      </w:r>
      <w:r w:rsidRPr="001827C6">
        <w:rPr>
          <w:i/>
          <w:spacing w:val="-1"/>
        </w:rPr>
        <w:t>a</w:t>
      </w:r>
      <w:r w:rsidRPr="001827C6">
        <w:rPr>
          <w:i/>
        </w:rPr>
        <w:t>tion Gua</w:t>
      </w:r>
      <w:r w:rsidRPr="001827C6">
        <w:rPr>
          <w:i/>
          <w:spacing w:val="-2"/>
        </w:rPr>
        <w:t>r</w:t>
      </w:r>
      <w:r w:rsidRPr="001827C6">
        <w:rPr>
          <w:i/>
        </w:rPr>
        <w:t>a</w:t>
      </w:r>
      <w:r w:rsidRPr="001827C6">
        <w:rPr>
          <w:i/>
          <w:spacing w:val="-1"/>
        </w:rPr>
        <w:t>n</w:t>
      </w:r>
      <w:r w:rsidRPr="001827C6">
        <w:rPr>
          <w:i/>
          <w:spacing w:val="-2"/>
        </w:rPr>
        <w:t>t</w:t>
      </w:r>
      <w:r w:rsidRPr="001827C6">
        <w:rPr>
          <w:i/>
        </w:rPr>
        <w:t xml:space="preserve">ee </w:t>
      </w:r>
      <w:r w:rsidRPr="001827C6">
        <w:rPr>
          <w:i/>
          <w:spacing w:val="-3"/>
        </w:rPr>
        <w:t>(A</w:t>
      </w:r>
      <w:r w:rsidRPr="001827C6">
        <w:rPr>
          <w:i/>
        </w:rPr>
        <w:t>dminist</w:t>
      </w:r>
      <w:r w:rsidRPr="001827C6">
        <w:rPr>
          <w:i/>
          <w:spacing w:val="-2"/>
        </w:rPr>
        <w:t>r</w:t>
      </w:r>
      <w:r w:rsidRPr="001827C6">
        <w:rPr>
          <w:i/>
          <w:spacing w:val="-1"/>
        </w:rPr>
        <w:t>a</w:t>
      </w:r>
      <w:r w:rsidRPr="001827C6">
        <w:rPr>
          <w:i/>
        </w:rPr>
        <w:t xml:space="preserve">tion) </w:t>
      </w:r>
      <w:r w:rsidRPr="001827C6">
        <w:rPr>
          <w:i/>
          <w:spacing w:val="-3"/>
        </w:rPr>
        <w:t>A</w:t>
      </w:r>
      <w:r w:rsidRPr="001827C6">
        <w:rPr>
          <w:i/>
          <w:spacing w:val="2"/>
        </w:rPr>
        <w:t>c</w:t>
      </w:r>
      <w:r w:rsidRPr="001827C6">
        <w:rPr>
          <w:i/>
        </w:rPr>
        <w:t>t 1992</w:t>
      </w:r>
      <w:r>
        <w:t xml:space="preserve">. </w:t>
      </w:r>
      <w:r>
        <w:rPr>
          <w:spacing w:val="-3"/>
        </w:rPr>
        <w:t>C</w:t>
      </w:r>
      <w:r>
        <w:t>o</w:t>
      </w:r>
      <w:r>
        <w:rPr>
          <w:spacing w:val="-1"/>
        </w:rPr>
        <w:t>n</w:t>
      </w:r>
      <w:r>
        <w:t xml:space="preserve">tributions </w:t>
      </w:r>
      <w:r>
        <w:rPr>
          <w:spacing w:val="-2"/>
        </w:rPr>
        <w:t>t</w:t>
      </w:r>
      <w:r>
        <w:t>o these a</w:t>
      </w:r>
      <w:r>
        <w:rPr>
          <w:spacing w:val="-2"/>
        </w:rPr>
        <w:t>c</w:t>
      </w:r>
      <w:r>
        <w:t>cumul</w:t>
      </w:r>
      <w:r>
        <w:rPr>
          <w:spacing w:val="-1"/>
        </w:rPr>
        <w:t>a</w:t>
      </w:r>
      <w:r>
        <w:t xml:space="preserve">tion schemes </w:t>
      </w:r>
      <w:r>
        <w:rPr>
          <w:spacing w:val="-1"/>
        </w:rPr>
        <w:t>e</w:t>
      </w:r>
      <w:r>
        <w:rPr>
          <w:spacing w:val="2"/>
        </w:rPr>
        <w:t>x</w:t>
      </w:r>
      <w:r>
        <w:t xml:space="preserve">tinguish the </w:t>
      </w:r>
      <w:r>
        <w:rPr>
          <w:spacing w:val="-3"/>
        </w:rPr>
        <w:t>A</w:t>
      </w:r>
      <w:r>
        <w:t>uthori</w:t>
      </w:r>
      <w:r>
        <w:rPr>
          <w:spacing w:val="1"/>
        </w:rPr>
        <w:t>t</w:t>
      </w:r>
      <w:r>
        <w:rPr>
          <w:spacing w:val="6"/>
        </w:rPr>
        <w:t>y</w:t>
      </w:r>
      <w:r>
        <w:rPr>
          <w:spacing w:val="-16"/>
        </w:rPr>
        <w:t>’</w:t>
      </w:r>
      <w:r>
        <w:t>s liabili</w:t>
      </w:r>
      <w:r>
        <w:rPr>
          <w:spacing w:val="1"/>
        </w:rPr>
        <w:t>t</w:t>
      </w:r>
      <w:r>
        <w:t xml:space="preserve">y </w:t>
      </w:r>
      <w:r>
        <w:rPr>
          <w:spacing w:val="-3"/>
        </w:rPr>
        <w:t>f</w:t>
      </w:r>
      <w:r>
        <w:t>or supe</w:t>
      </w:r>
      <w:r>
        <w:rPr>
          <w:spacing w:val="-2"/>
        </w:rPr>
        <w:t>r</w:t>
      </w:r>
      <w:r>
        <w:t>annu</w:t>
      </w:r>
      <w:r>
        <w:rPr>
          <w:spacing w:val="-1"/>
        </w:rPr>
        <w:t>a</w:t>
      </w:r>
      <w:r>
        <w:t>tion cha</w:t>
      </w:r>
      <w:r>
        <w:rPr>
          <w:spacing w:val="-2"/>
        </w:rPr>
        <w:t>r</w:t>
      </w:r>
      <w:r>
        <w:t xml:space="preserve">ges in </w:t>
      </w:r>
      <w:r>
        <w:rPr>
          <w:spacing w:val="-3"/>
        </w:rPr>
        <w:t>r</w:t>
      </w:r>
      <w:r>
        <w:t>espe</w:t>
      </w:r>
      <w:r>
        <w:rPr>
          <w:spacing w:val="2"/>
        </w:rPr>
        <w:t>c</w:t>
      </w:r>
      <w:r>
        <w:t>t of empl</w:t>
      </w:r>
      <w:r>
        <w:rPr>
          <w:spacing w:val="-2"/>
        </w:rPr>
        <w:t>o</w:t>
      </w:r>
      <w:r>
        <w:rPr>
          <w:spacing w:val="-3"/>
        </w:rPr>
        <w:t>y</w:t>
      </w:r>
      <w:r>
        <w:t>ees who a</w:t>
      </w:r>
      <w:r>
        <w:rPr>
          <w:spacing w:val="-3"/>
        </w:rPr>
        <w:t>r</w:t>
      </w:r>
      <w:r>
        <w:t xml:space="preserve">e not members of the </w:t>
      </w:r>
      <w:r>
        <w:rPr>
          <w:spacing w:val="-6"/>
        </w:rPr>
        <w:t>P</w:t>
      </w:r>
      <w:r>
        <w:t xml:space="preserve">ension </w:t>
      </w:r>
      <w:r>
        <w:rPr>
          <w:spacing w:val="1"/>
        </w:rPr>
        <w:t>S</w:t>
      </w:r>
      <w:r>
        <w:t>cheme</w:t>
      </w:r>
      <w:r>
        <w:rPr>
          <w:color w:val="000000"/>
        </w:rPr>
        <w:t xml:space="preserve"> </w:t>
      </w:r>
      <w:r>
        <w:t>or GSS.</w:t>
      </w:r>
    </w:p>
    <w:p w14:paraId="244B80A8" w14:textId="77777777" w:rsidR="0021382E" w:rsidRDefault="0021382E" w:rsidP="0021382E">
      <w:pPr>
        <w:rPr>
          <w:color w:val="000000"/>
        </w:rPr>
      </w:pPr>
      <w:r>
        <w:rPr>
          <w:spacing w:val="-2"/>
        </w:rPr>
        <w:lastRenderedPageBreak/>
        <w:t>T</w:t>
      </w:r>
      <w:r>
        <w:t>he</w:t>
      </w:r>
      <w:r>
        <w:rPr>
          <w:spacing w:val="-2"/>
        </w:rPr>
        <w:t xml:space="preserve"> </w:t>
      </w:r>
      <w:r>
        <w:t>GSS</w:t>
      </w:r>
      <w:r>
        <w:rPr>
          <w:spacing w:val="-1"/>
        </w:rPr>
        <w:t xml:space="preserve"> </w:t>
      </w:r>
      <w:r>
        <w:t>is</w:t>
      </w:r>
      <w:r>
        <w:rPr>
          <w:spacing w:val="-1"/>
        </w:rPr>
        <w:t xml:space="preserve"> </w:t>
      </w:r>
      <w:r>
        <w:t>a</w:t>
      </w:r>
      <w:r>
        <w:rPr>
          <w:spacing w:val="-1"/>
        </w:rPr>
        <w:t xml:space="preserve"> </w:t>
      </w:r>
      <w:r>
        <w:t>defined</w:t>
      </w:r>
      <w:r>
        <w:rPr>
          <w:spacing w:val="-1"/>
        </w:rPr>
        <w:t xml:space="preserve"> </w:t>
      </w:r>
      <w:r>
        <w:t>benefit</w:t>
      </w:r>
      <w:r>
        <w:rPr>
          <w:spacing w:val="-1"/>
        </w:rPr>
        <w:t xml:space="preserve"> </w:t>
      </w:r>
      <w:r>
        <w:t>scheme</w:t>
      </w:r>
      <w:r>
        <w:rPr>
          <w:spacing w:val="-1"/>
        </w:rPr>
        <w:t xml:space="preserve"> </w:t>
      </w:r>
      <w:r>
        <w:rPr>
          <w:spacing w:val="-3"/>
        </w:rPr>
        <w:t>f</w:t>
      </w:r>
      <w:r>
        <w:t>or</w:t>
      </w:r>
      <w:r>
        <w:rPr>
          <w:spacing w:val="-1"/>
        </w:rPr>
        <w:t xml:space="preserve"> </w:t>
      </w:r>
      <w:r>
        <w:t>the</w:t>
      </w:r>
      <w:r>
        <w:rPr>
          <w:spacing w:val="-1"/>
        </w:rPr>
        <w:t xml:space="preserve"> </w:t>
      </w:r>
      <w:r>
        <w:t>purposes</w:t>
      </w:r>
      <w:r>
        <w:rPr>
          <w:spacing w:val="-1"/>
        </w:rPr>
        <w:t xml:space="preserve"> </w:t>
      </w:r>
      <w:r>
        <w:t>of</w:t>
      </w:r>
      <w:r>
        <w:rPr>
          <w:spacing w:val="-1"/>
        </w:rPr>
        <w:t xml:space="preserve"> </w:t>
      </w:r>
      <w:r>
        <w:t>empl</w:t>
      </w:r>
      <w:r>
        <w:rPr>
          <w:spacing w:val="-2"/>
        </w:rPr>
        <w:t>o</w:t>
      </w:r>
      <w:r>
        <w:rPr>
          <w:spacing w:val="-3"/>
        </w:rPr>
        <w:t>y</w:t>
      </w:r>
      <w:r>
        <w:t>ees</w:t>
      </w:r>
      <w:r>
        <w:rPr>
          <w:spacing w:val="-1"/>
        </w:rPr>
        <w:t xml:space="preserve"> </w:t>
      </w:r>
      <w:r>
        <w:t>and</w:t>
      </w:r>
      <w:r>
        <w:rPr>
          <w:spacing w:val="-1"/>
        </w:rPr>
        <w:t xml:space="preserve"> </w:t>
      </w:r>
      <w:r>
        <w:t>whol</w:t>
      </w:r>
      <w:r>
        <w:rPr>
          <w:spacing w:val="6"/>
        </w:rPr>
        <w:t>e</w:t>
      </w:r>
      <w:r>
        <w:t>- of</w:t>
      </w:r>
      <w:r>
        <w:rPr>
          <w:spacing w:val="3"/>
        </w:rPr>
        <w:t>-</w:t>
      </w:r>
      <w:r>
        <w:t>g</w:t>
      </w:r>
      <w:r>
        <w:rPr>
          <w:spacing w:val="-2"/>
        </w:rPr>
        <w:t>o</w:t>
      </w:r>
      <w:r>
        <w:rPr>
          <w:spacing w:val="-3"/>
        </w:rPr>
        <w:t>v</w:t>
      </w:r>
      <w:r>
        <w:t>ernme</w:t>
      </w:r>
      <w:r>
        <w:rPr>
          <w:spacing w:val="-1"/>
        </w:rPr>
        <w:t>n</w:t>
      </w:r>
      <w:r>
        <w:t>t</w:t>
      </w:r>
      <w:r>
        <w:rPr>
          <w:spacing w:val="-1"/>
        </w:rPr>
        <w:t xml:space="preserve"> </w:t>
      </w:r>
      <w:r>
        <w:rPr>
          <w:spacing w:val="-3"/>
        </w:rPr>
        <w:t>r</w:t>
      </w:r>
      <w:r>
        <w:t>epo</w:t>
      </w:r>
      <w:r>
        <w:rPr>
          <w:spacing w:val="5"/>
        </w:rPr>
        <w:t>r</w:t>
      </w:r>
      <w:r>
        <w:t>tin</w:t>
      </w:r>
      <w:r>
        <w:rPr>
          <w:spacing w:val="-4"/>
        </w:rPr>
        <w:t>g</w:t>
      </w:r>
      <w:r>
        <w:t>.</w:t>
      </w:r>
      <w:r>
        <w:rPr>
          <w:spacing w:val="45"/>
        </w:rPr>
        <w:t xml:space="preserve"> </w:t>
      </w:r>
      <w:r>
        <w:t>H</w:t>
      </w:r>
      <w:r>
        <w:rPr>
          <w:spacing w:val="-2"/>
        </w:rPr>
        <w:t>o</w:t>
      </w:r>
      <w:r>
        <w:rPr>
          <w:spacing w:val="-3"/>
        </w:rPr>
        <w:t>w</w:t>
      </w:r>
      <w:r>
        <w:t>e</w:t>
      </w:r>
      <w:r>
        <w:rPr>
          <w:spacing w:val="-3"/>
        </w:rPr>
        <w:t>v</w:t>
      </w:r>
      <w:r>
        <w:t>e</w:t>
      </w:r>
      <w:r>
        <w:rPr>
          <w:spacing w:val="-12"/>
        </w:rPr>
        <w:t>r</w:t>
      </w:r>
      <w:r>
        <w:t>, it</w:t>
      </w:r>
      <w:r>
        <w:rPr>
          <w:spacing w:val="-1"/>
        </w:rPr>
        <w:t xml:space="preserve"> </w:t>
      </w:r>
      <w:r>
        <w:t>is</w:t>
      </w:r>
      <w:r>
        <w:rPr>
          <w:spacing w:val="-1"/>
        </w:rPr>
        <w:t xml:space="preserve"> </w:t>
      </w:r>
      <w:r>
        <w:t>a defined</w:t>
      </w:r>
      <w:r>
        <w:rPr>
          <w:spacing w:val="-1"/>
        </w:rPr>
        <w:t xml:space="preserve"> </w:t>
      </w:r>
      <w:r>
        <w:rPr>
          <w:spacing w:val="-2"/>
        </w:rPr>
        <w:t>c</w:t>
      </w:r>
      <w:r>
        <w:t>o</w:t>
      </w:r>
      <w:r>
        <w:rPr>
          <w:spacing w:val="-1"/>
        </w:rPr>
        <w:t>n</w:t>
      </w:r>
      <w:r>
        <w:t>tribution</w:t>
      </w:r>
      <w:r>
        <w:rPr>
          <w:spacing w:val="-1"/>
        </w:rPr>
        <w:t xml:space="preserve"> </w:t>
      </w:r>
      <w:r>
        <w:t xml:space="preserve">plan </w:t>
      </w:r>
      <w:r>
        <w:rPr>
          <w:spacing w:val="-3"/>
        </w:rPr>
        <w:t>f</w:t>
      </w:r>
      <w:r>
        <w:t>or</w:t>
      </w:r>
      <w:r>
        <w:rPr>
          <w:spacing w:val="-1"/>
        </w:rPr>
        <w:t xml:space="preserve"> </w:t>
      </w:r>
      <w:r>
        <w:t>agen</w:t>
      </w:r>
      <w:r>
        <w:rPr>
          <w:spacing w:val="3"/>
        </w:rPr>
        <w:t>c</w:t>
      </w:r>
      <w:r>
        <w:t>y purposes</w:t>
      </w:r>
      <w:r>
        <w:rPr>
          <w:spacing w:val="-2"/>
        </w:rPr>
        <w:t xml:space="preserve"> </w:t>
      </w:r>
      <w:r>
        <w:t>because</w:t>
      </w:r>
      <w:r>
        <w:rPr>
          <w:spacing w:val="-1"/>
        </w:rPr>
        <w:t xml:space="preserve"> </w:t>
      </w:r>
      <w:r>
        <w:t>the</w:t>
      </w:r>
      <w:r>
        <w:rPr>
          <w:spacing w:val="-1"/>
        </w:rPr>
        <w:t xml:space="preserve"> </w:t>
      </w:r>
      <w:r>
        <w:rPr>
          <w:spacing w:val="-2"/>
        </w:rPr>
        <w:t>c</w:t>
      </w:r>
      <w:r>
        <w:t>oncur</w:t>
      </w:r>
      <w:r>
        <w:rPr>
          <w:spacing w:val="-3"/>
        </w:rPr>
        <w:t>r</w:t>
      </w:r>
      <w:r>
        <w:t>e</w:t>
      </w:r>
      <w:r>
        <w:rPr>
          <w:spacing w:val="-1"/>
        </w:rPr>
        <w:t>n</w:t>
      </w:r>
      <w:r>
        <w:t>t</w:t>
      </w:r>
      <w:r>
        <w:rPr>
          <w:spacing w:val="-1"/>
        </w:rPr>
        <w:t xml:space="preserve"> </w:t>
      </w:r>
      <w:r>
        <w:rPr>
          <w:spacing w:val="-2"/>
        </w:rPr>
        <w:t>c</w:t>
      </w:r>
      <w:r>
        <w:t>o</w:t>
      </w:r>
      <w:r>
        <w:rPr>
          <w:spacing w:val="-1"/>
        </w:rPr>
        <w:t>n</w:t>
      </w:r>
      <w:r>
        <w:t>tributions</w:t>
      </w:r>
      <w:r>
        <w:rPr>
          <w:spacing w:val="-1"/>
        </w:rPr>
        <w:t xml:space="preserve"> </w:t>
      </w:r>
      <w:r>
        <w:t>(defined</w:t>
      </w:r>
      <w:r>
        <w:rPr>
          <w:spacing w:val="-1"/>
        </w:rPr>
        <w:t xml:space="preserve"> </w:t>
      </w:r>
      <w:r>
        <w:rPr>
          <w:spacing w:val="-2"/>
        </w:rPr>
        <w:t>c</w:t>
      </w:r>
      <w:r>
        <w:t>o</w:t>
      </w:r>
      <w:r>
        <w:rPr>
          <w:spacing w:val="-1"/>
        </w:rPr>
        <w:t>n</w:t>
      </w:r>
      <w:r>
        <w:t>tributions)</w:t>
      </w:r>
      <w:r>
        <w:rPr>
          <w:spacing w:val="-1"/>
        </w:rPr>
        <w:t xml:space="preserve"> </w:t>
      </w:r>
      <w:r>
        <w:t xml:space="preserve">made </w:t>
      </w:r>
      <w:r>
        <w:rPr>
          <w:spacing w:val="-2"/>
        </w:rPr>
        <w:t>b</w:t>
      </w:r>
      <w:r>
        <w:t xml:space="preserve">y the </w:t>
      </w:r>
      <w:r>
        <w:rPr>
          <w:spacing w:val="-3"/>
        </w:rPr>
        <w:t>A</w:t>
      </w:r>
      <w:r>
        <w:t>uthori</w:t>
      </w:r>
      <w:r>
        <w:rPr>
          <w:spacing w:val="2"/>
        </w:rPr>
        <w:t>t</w:t>
      </w:r>
      <w:r>
        <w:t xml:space="preserve">y </w:t>
      </w:r>
      <w:r>
        <w:rPr>
          <w:spacing w:val="-2"/>
        </w:rPr>
        <w:t>t</w:t>
      </w:r>
      <w:r>
        <w:t xml:space="preserve">o GESB </w:t>
      </w:r>
      <w:r>
        <w:rPr>
          <w:spacing w:val="-1"/>
        </w:rPr>
        <w:t>e</w:t>
      </w:r>
      <w:r>
        <w:rPr>
          <w:spacing w:val="2"/>
        </w:rPr>
        <w:t>x</w:t>
      </w:r>
      <w:r>
        <w:t>tinguishes the agen</w:t>
      </w:r>
      <w:r>
        <w:rPr>
          <w:spacing w:val="3"/>
        </w:rPr>
        <w:t>c</w:t>
      </w:r>
      <w:r>
        <w:rPr>
          <w:spacing w:val="6"/>
        </w:rPr>
        <w:t>y</w:t>
      </w:r>
      <w:r>
        <w:rPr>
          <w:spacing w:val="-16"/>
        </w:rPr>
        <w:t>’</w:t>
      </w:r>
      <w:r>
        <w:t>s oblig</w:t>
      </w:r>
      <w:r>
        <w:rPr>
          <w:spacing w:val="-1"/>
        </w:rPr>
        <w:t>a</w:t>
      </w:r>
      <w:r>
        <w:t xml:space="preserve">tions </w:t>
      </w:r>
      <w:r>
        <w:rPr>
          <w:spacing w:val="-2"/>
        </w:rPr>
        <w:t>t</w:t>
      </w:r>
      <w:r>
        <w:t xml:space="preserve">o the </w:t>
      </w:r>
      <w:r>
        <w:rPr>
          <w:spacing w:val="-3"/>
        </w:rPr>
        <w:t>r</w:t>
      </w:r>
      <w:r>
        <w:t>el</w:t>
      </w:r>
      <w:r>
        <w:rPr>
          <w:spacing w:val="-1"/>
        </w:rPr>
        <w:t>a</w:t>
      </w:r>
      <w:r>
        <w:rPr>
          <w:spacing w:val="-2"/>
        </w:rPr>
        <w:t>t</w:t>
      </w:r>
      <w:r>
        <w:t>ed supe</w:t>
      </w:r>
      <w:r>
        <w:rPr>
          <w:spacing w:val="-2"/>
        </w:rPr>
        <w:t>r</w:t>
      </w:r>
      <w:r>
        <w:t>annu</w:t>
      </w:r>
      <w:r>
        <w:rPr>
          <w:spacing w:val="-1"/>
        </w:rPr>
        <w:t>a</w:t>
      </w:r>
      <w:r>
        <w:t>tion liabili</w:t>
      </w:r>
      <w:r>
        <w:rPr>
          <w:spacing w:val="1"/>
        </w:rPr>
        <w:t>t</w:t>
      </w:r>
      <w:r>
        <w:rPr>
          <w:spacing w:val="-9"/>
        </w:rPr>
        <w:t>y</w:t>
      </w:r>
      <w:r>
        <w:t>.</w:t>
      </w:r>
    </w:p>
    <w:p w14:paraId="5620736C" w14:textId="77777777" w:rsidR="0021382E" w:rsidRDefault="0021382E" w:rsidP="0021382E">
      <w:pPr>
        <w:rPr>
          <w:color w:val="000000"/>
        </w:rPr>
      </w:pPr>
      <w:r>
        <w:rPr>
          <w:spacing w:val="-2"/>
        </w:rPr>
        <w:t>T</w:t>
      </w:r>
      <w:r>
        <w:t>he</w:t>
      </w:r>
      <w:r>
        <w:rPr>
          <w:spacing w:val="-1"/>
        </w:rPr>
        <w:t xml:space="preserve"> </w:t>
      </w:r>
      <w:r>
        <w:rPr>
          <w:spacing w:val="-6"/>
        </w:rPr>
        <w:t>P</w:t>
      </w:r>
      <w:r>
        <w:t>ension</w:t>
      </w:r>
      <w:r>
        <w:rPr>
          <w:spacing w:val="-1"/>
        </w:rPr>
        <w:t xml:space="preserve"> </w:t>
      </w:r>
      <w:r>
        <w:rPr>
          <w:spacing w:val="1"/>
        </w:rPr>
        <w:t>S</w:t>
      </w:r>
      <w:r>
        <w:t>cheme and</w:t>
      </w:r>
      <w:r>
        <w:rPr>
          <w:spacing w:val="-1"/>
        </w:rPr>
        <w:t xml:space="preserve"> </w:t>
      </w:r>
      <w:r>
        <w:t>the</w:t>
      </w:r>
      <w:r>
        <w:rPr>
          <w:spacing w:val="-1"/>
        </w:rPr>
        <w:t xml:space="preserve"> </w:t>
      </w:r>
      <w:r>
        <w:t>p</w:t>
      </w:r>
      <w:r>
        <w:rPr>
          <w:spacing w:val="-3"/>
        </w:rPr>
        <w:t>r</w:t>
      </w:r>
      <w:r>
        <w:rPr>
          <w:spacing w:val="6"/>
        </w:rPr>
        <w:t>e</w:t>
      </w:r>
      <w:r>
        <w:t>-t</w:t>
      </w:r>
      <w:r>
        <w:rPr>
          <w:spacing w:val="-2"/>
        </w:rPr>
        <w:t>r</w:t>
      </w:r>
      <w:r>
        <w:t>ans</w:t>
      </w:r>
      <w:r>
        <w:rPr>
          <w:spacing w:val="-3"/>
        </w:rPr>
        <w:t>f</w:t>
      </w:r>
      <w:r>
        <w:t>er benefit</w:t>
      </w:r>
      <w:r>
        <w:rPr>
          <w:spacing w:val="-1"/>
        </w:rPr>
        <w:t xml:space="preserve"> </w:t>
      </w:r>
      <w:r>
        <w:rPr>
          <w:spacing w:val="-3"/>
        </w:rPr>
        <w:t>f</w:t>
      </w:r>
      <w:r>
        <w:t>or</w:t>
      </w:r>
      <w:r>
        <w:rPr>
          <w:spacing w:val="-1"/>
        </w:rPr>
        <w:t xml:space="preserve"> </w:t>
      </w:r>
      <w:r>
        <w:t>empl</w:t>
      </w:r>
      <w:r>
        <w:rPr>
          <w:spacing w:val="-2"/>
        </w:rPr>
        <w:t>o</w:t>
      </w:r>
      <w:r>
        <w:rPr>
          <w:spacing w:val="-3"/>
        </w:rPr>
        <w:t>y</w:t>
      </w:r>
      <w:r>
        <w:t>ees who</w:t>
      </w:r>
      <w:r>
        <w:rPr>
          <w:spacing w:val="-1"/>
        </w:rPr>
        <w:t xml:space="preserve"> </w:t>
      </w:r>
      <w:r>
        <w:t>t</w:t>
      </w:r>
      <w:r>
        <w:rPr>
          <w:spacing w:val="-2"/>
        </w:rPr>
        <w:t>r</w:t>
      </w:r>
      <w:r>
        <w:t>ans</w:t>
      </w:r>
      <w:r>
        <w:rPr>
          <w:spacing w:val="-3"/>
        </w:rPr>
        <w:t>f</w:t>
      </w:r>
      <w:r>
        <w:t>er</w:t>
      </w:r>
      <w:r>
        <w:rPr>
          <w:spacing w:val="-3"/>
        </w:rPr>
        <w:t>r</w:t>
      </w:r>
      <w:r>
        <w:t xml:space="preserve">ed </w:t>
      </w:r>
      <w:r>
        <w:rPr>
          <w:spacing w:val="-2"/>
        </w:rPr>
        <w:t>t</w:t>
      </w:r>
      <w:r>
        <w:t>o</w:t>
      </w:r>
      <w:r>
        <w:rPr>
          <w:spacing w:val="-2"/>
        </w:rPr>
        <w:t xml:space="preserve"> </w:t>
      </w:r>
      <w:r>
        <w:t>the</w:t>
      </w:r>
      <w:r>
        <w:rPr>
          <w:spacing w:val="-2"/>
        </w:rPr>
        <w:t xml:space="preserve"> </w:t>
      </w:r>
      <w:r>
        <w:t>GSS</w:t>
      </w:r>
      <w:r>
        <w:rPr>
          <w:spacing w:val="-2"/>
        </w:rPr>
        <w:t xml:space="preserve"> </w:t>
      </w:r>
      <w:r>
        <w:rPr>
          <w:spacing w:val="1"/>
        </w:rPr>
        <w:t>S</w:t>
      </w:r>
      <w:r>
        <w:t>cheme</w:t>
      </w:r>
      <w:r>
        <w:rPr>
          <w:spacing w:val="-2"/>
        </w:rPr>
        <w:t xml:space="preserve"> </w:t>
      </w:r>
      <w:r>
        <w:t>a</w:t>
      </w:r>
      <w:r>
        <w:rPr>
          <w:spacing w:val="-3"/>
        </w:rPr>
        <w:t>r</w:t>
      </w:r>
      <w:r>
        <w:t>e</w:t>
      </w:r>
      <w:r>
        <w:rPr>
          <w:spacing w:val="-1"/>
        </w:rPr>
        <w:t xml:space="preserve"> </w:t>
      </w:r>
      <w:r>
        <w:t>defined</w:t>
      </w:r>
      <w:r>
        <w:rPr>
          <w:spacing w:val="-2"/>
        </w:rPr>
        <w:t xml:space="preserve"> </w:t>
      </w:r>
      <w:r>
        <w:t>benefit</w:t>
      </w:r>
      <w:r>
        <w:rPr>
          <w:spacing w:val="-2"/>
        </w:rPr>
        <w:t xml:space="preserve"> </w:t>
      </w:r>
      <w:r>
        <w:t>scheme</w:t>
      </w:r>
      <w:r>
        <w:rPr>
          <w:spacing w:val="-3"/>
        </w:rPr>
        <w:t>s</w:t>
      </w:r>
      <w:r>
        <w:t>.</w:t>
      </w:r>
      <w:r>
        <w:rPr>
          <w:spacing w:val="34"/>
        </w:rPr>
        <w:t xml:space="preserve"> </w:t>
      </w:r>
      <w:r>
        <w:rPr>
          <w:spacing w:val="-2"/>
        </w:rPr>
        <w:t>T</w:t>
      </w:r>
      <w:r>
        <w:t>hese</w:t>
      </w:r>
      <w:r>
        <w:rPr>
          <w:spacing w:val="-1"/>
        </w:rPr>
        <w:t xml:space="preserve"> </w:t>
      </w:r>
      <w:r>
        <w:t>benefits</w:t>
      </w:r>
      <w:r>
        <w:rPr>
          <w:spacing w:val="-2"/>
        </w:rPr>
        <w:t xml:space="preserve"> </w:t>
      </w:r>
      <w:r>
        <w:t>a</w:t>
      </w:r>
      <w:r>
        <w:rPr>
          <w:spacing w:val="-3"/>
        </w:rPr>
        <w:t>r</w:t>
      </w:r>
      <w:r>
        <w:t>e</w:t>
      </w:r>
      <w:r>
        <w:rPr>
          <w:spacing w:val="-2"/>
        </w:rPr>
        <w:t xml:space="preserve"> </w:t>
      </w:r>
      <w:r>
        <w:t xml:space="preserve">wholly unfunded and the liabilities </w:t>
      </w:r>
      <w:r>
        <w:rPr>
          <w:spacing w:val="-3"/>
        </w:rPr>
        <w:t>f</w:t>
      </w:r>
      <w:r>
        <w:t>or futu</w:t>
      </w:r>
      <w:r>
        <w:rPr>
          <w:spacing w:val="-3"/>
        </w:rPr>
        <w:t>r</w:t>
      </w:r>
      <w:r>
        <w:t>e p</w:t>
      </w:r>
      <w:r>
        <w:rPr>
          <w:spacing w:val="-2"/>
        </w:rPr>
        <w:t>a</w:t>
      </w:r>
      <w:r>
        <w:t>yme</w:t>
      </w:r>
      <w:r>
        <w:rPr>
          <w:spacing w:val="-1"/>
        </w:rPr>
        <w:t>n</w:t>
      </w:r>
      <w:r>
        <w:t>ts a</w:t>
      </w:r>
      <w:r>
        <w:rPr>
          <w:spacing w:val="-3"/>
        </w:rPr>
        <w:t>r</w:t>
      </w:r>
      <w:r>
        <w:t>e p</w:t>
      </w:r>
      <w:r>
        <w:rPr>
          <w:spacing w:val="-3"/>
        </w:rPr>
        <w:t>r</w:t>
      </w:r>
      <w:r>
        <w:rPr>
          <w:spacing w:val="-2"/>
        </w:rPr>
        <w:t>o</w:t>
      </w:r>
      <w:r>
        <w:t xml:space="preserve">vided </w:t>
      </w:r>
      <w:r>
        <w:rPr>
          <w:spacing w:val="-1"/>
        </w:rPr>
        <w:t>a</w:t>
      </w:r>
      <w:r>
        <w:t xml:space="preserve">t the end of the </w:t>
      </w:r>
      <w:r>
        <w:rPr>
          <w:spacing w:val="-3"/>
        </w:rPr>
        <w:t>r</w:t>
      </w:r>
      <w:r>
        <w:t>epo</w:t>
      </w:r>
      <w:r>
        <w:rPr>
          <w:spacing w:val="5"/>
        </w:rPr>
        <w:t>r</w:t>
      </w:r>
      <w:r>
        <w:t>ting perio</w:t>
      </w:r>
      <w:r>
        <w:rPr>
          <w:spacing w:val="-3"/>
        </w:rPr>
        <w:t>d</w:t>
      </w:r>
      <w:r>
        <w:t>.</w:t>
      </w:r>
      <w:r>
        <w:rPr>
          <w:spacing w:val="37"/>
        </w:rPr>
        <w:t xml:space="preserve"> </w:t>
      </w:r>
      <w:r>
        <w:rPr>
          <w:spacing w:val="-2"/>
        </w:rPr>
        <w:t>T</w:t>
      </w:r>
      <w:r>
        <w:t>he liabilities under these schemes h</w:t>
      </w:r>
      <w:r>
        <w:rPr>
          <w:spacing w:val="-2"/>
        </w:rPr>
        <w:t>a</w:t>
      </w:r>
      <w:r>
        <w:rPr>
          <w:spacing w:val="-3"/>
        </w:rPr>
        <w:t>v</w:t>
      </w:r>
      <w:r>
        <w:t>e been calcul</w:t>
      </w:r>
      <w:r>
        <w:rPr>
          <w:spacing w:val="-1"/>
        </w:rPr>
        <w:t>a</w:t>
      </w:r>
      <w:r>
        <w:rPr>
          <w:spacing w:val="-2"/>
        </w:rPr>
        <w:t>t</w:t>
      </w:r>
      <w:r>
        <w:t>ed sepa</w:t>
      </w:r>
      <w:r>
        <w:rPr>
          <w:spacing w:val="-2"/>
        </w:rPr>
        <w:t>r</w:t>
      </w:r>
      <w:r>
        <w:rPr>
          <w:spacing w:val="-1"/>
        </w:rPr>
        <w:t>a</w:t>
      </w:r>
      <w:r>
        <w:rPr>
          <w:spacing w:val="-2"/>
        </w:rPr>
        <w:t>t</w:t>
      </w:r>
      <w:r>
        <w:t xml:space="preserve">ely </w:t>
      </w:r>
      <w:r>
        <w:rPr>
          <w:spacing w:val="-3"/>
        </w:rPr>
        <w:t>f</w:t>
      </w:r>
      <w:r>
        <w:t xml:space="preserve">or each scheme annually </w:t>
      </w:r>
      <w:r>
        <w:rPr>
          <w:spacing w:val="-2"/>
        </w:rPr>
        <w:t>b</w:t>
      </w:r>
      <w:r>
        <w:t xml:space="preserve">y </w:t>
      </w:r>
      <w:r>
        <w:rPr>
          <w:spacing w:val="-4"/>
        </w:rPr>
        <w:t>P</w:t>
      </w:r>
      <w:r>
        <w:t>ri</w:t>
      </w:r>
      <w:r>
        <w:rPr>
          <w:spacing w:val="-2"/>
        </w:rPr>
        <w:t>c</w:t>
      </w:r>
      <w:r>
        <w:t>e</w:t>
      </w:r>
      <w:r>
        <w:rPr>
          <w:spacing w:val="-1"/>
        </w:rPr>
        <w:t>wa</w:t>
      </w:r>
      <w:r>
        <w:rPr>
          <w:spacing w:val="-2"/>
        </w:rPr>
        <w:t>t</w:t>
      </w:r>
      <w:r>
        <w:t>erhouse</w:t>
      </w:r>
      <w:r>
        <w:rPr>
          <w:spacing w:val="-3"/>
        </w:rPr>
        <w:t>C</w:t>
      </w:r>
      <w:r>
        <w:t xml:space="preserve">oopers </w:t>
      </w:r>
      <w:r>
        <w:rPr>
          <w:spacing w:val="-3"/>
        </w:rPr>
        <w:t>A</w:t>
      </w:r>
      <w:r>
        <w:rPr>
          <w:spacing w:val="2"/>
        </w:rPr>
        <w:t>c</w:t>
      </w:r>
      <w:r>
        <w:t>tuaries using the p</w:t>
      </w:r>
      <w:r>
        <w:rPr>
          <w:spacing w:val="-3"/>
        </w:rPr>
        <w:t>r</w:t>
      </w:r>
      <w:r>
        <w:t>oje</w:t>
      </w:r>
      <w:r>
        <w:rPr>
          <w:spacing w:val="2"/>
        </w:rPr>
        <w:t>c</w:t>
      </w:r>
      <w:r>
        <w:rPr>
          <w:spacing w:val="-2"/>
        </w:rPr>
        <w:t>t</w:t>
      </w:r>
      <w:r>
        <w:t>ed unit c</w:t>
      </w:r>
      <w:r>
        <w:rPr>
          <w:spacing w:val="-3"/>
        </w:rPr>
        <w:t>r</w:t>
      </w:r>
      <w:r>
        <w:t>edit metho</w:t>
      </w:r>
      <w:r>
        <w:rPr>
          <w:spacing w:val="-3"/>
        </w:rPr>
        <w:t>d</w:t>
      </w:r>
      <w:r>
        <w:t>.</w:t>
      </w:r>
    </w:p>
    <w:p w14:paraId="245645F5" w14:textId="77777777" w:rsidR="0021382E" w:rsidRDefault="0021382E" w:rsidP="0021382E">
      <w:pPr>
        <w:rPr>
          <w:color w:val="000000"/>
        </w:rPr>
      </w:pPr>
      <w:r>
        <w:rPr>
          <w:spacing w:val="-2"/>
        </w:rPr>
        <w:t>T</w:t>
      </w:r>
      <w:r>
        <w:t xml:space="preserve">he </w:t>
      </w:r>
      <w:r>
        <w:rPr>
          <w:spacing w:val="-1"/>
        </w:rPr>
        <w:t>e</w:t>
      </w:r>
      <w:r>
        <w:t>xpe</w:t>
      </w:r>
      <w:r>
        <w:rPr>
          <w:spacing w:val="2"/>
        </w:rPr>
        <w:t>c</w:t>
      </w:r>
      <w:r>
        <w:rPr>
          <w:spacing w:val="-2"/>
        </w:rPr>
        <w:t>t</w:t>
      </w:r>
      <w:r>
        <w:t>ed futu</w:t>
      </w:r>
      <w:r>
        <w:rPr>
          <w:spacing w:val="-3"/>
        </w:rPr>
        <w:t>r</w:t>
      </w:r>
      <w:r>
        <w:t>e p</w:t>
      </w:r>
      <w:r>
        <w:rPr>
          <w:spacing w:val="-2"/>
        </w:rPr>
        <w:t>a</w:t>
      </w:r>
      <w:r>
        <w:t>yme</w:t>
      </w:r>
      <w:r>
        <w:rPr>
          <w:spacing w:val="-1"/>
        </w:rPr>
        <w:t>n</w:t>
      </w:r>
      <w:r>
        <w:t>ts a</w:t>
      </w:r>
      <w:r>
        <w:rPr>
          <w:spacing w:val="-3"/>
        </w:rPr>
        <w:t>r</w:t>
      </w:r>
      <w:r>
        <w:t>e dis</w:t>
      </w:r>
      <w:r>
        <w:rPr>
          <w:spacing w:val="-2"/>
        </w:rPr>
        <w:t>c</w:t>
      </w:r>
      <w:r>
        <w:t>ou</w:t>
      </w:r>
      <w:r>
        <w:rPr>
          <w:spacing w:val="-1"/>
        </w:rPr>
        <w:t>n</w:t>
      </w:r>
      <w:r>
        <w:rPr>
          <w:spacing w:val="-2"/>
        </w:rPr>
        <w:t>t</w:t>
      </w:r>
      <w:r>
        <w:t xml:space="preserve">ed </w:t>
      </w:r>
      <w:r>
        <w:rPr>
          <w:spacing w:val="-2"/>
        </w:rPr>
        <w:t>t</w:t>
      </w:r>
      <w:r>
        <w:t>o p</w:t>
      </w:r>
      <w:r>
        <w:rPr>
          <w:spacing w:val="-3"/>
        </w:rPr>
        <w:t>r</w:t>
      </w:r>
      <w:r>
        <w:t>ese</w:t>
      </w:r>
      <w:r>
        <w:rPr>
          <w:spacing w:val="-1"/>
        </w:rPr>
        <w:t>n</w:t>
      </w:r>
      <w:r>
        <w:t xml:space="preserve">t </w:t>
      </w:r>
      <w:r>
        <w:rPr>
          <w:spacing w:val="-1"/>
        </w:rPr>
        <w:t>v</w:t>
      </w:r>
      <w:r>
        <w:t xml:space="preserve">alue using market yields </w:t>
      </w:r>
      <w:r>
        <w:rPr>
          <w:spacing w:val="-1"/>
        </w:rPr>
        <w:t>a</w:t>
      </w:r>
      <w:r>
        <w:t xml:space="preserve">t the end of the </w:t>
      </w:r>
      <w:r>
        <w:rPr>
          <w:spacing w:val="-3"/>
        </w:rPr>
        <w:t>r</w:t>
      </w:r>
      <w:r>
        <w:t>epo</w:t>
      </w:r>
      <w:r>
        <w:rPr>
          <w:spacing w:val="5"/>
        </w:rPr>
        <w:t>r</w:t>
      </w:r>
      <w:r>
        <w:t>ting period on n</w:t>
      </w:r>
      <w:r>
        <w:rPr>
          <w:spacing w:val="-1"/>
        </w:rPr>
        <w:t>a</w:t>
      </w:r>
      <w:r>
        <w:t>tional g</w:t>
      </w:r>
      <w:r>
        <w:rPr>
          <w:spacing w:val="-2"/>
        </w:rPr>
        <w:t>o</w:t>
      </w:r>
      <w:r>
        <w:rPr>
          <w:spacing w:val="-3"/>
        </w:rPr>
        <w:t>v</w:t>
      </w:r>
      <w:r>
        <w:t>ernme</w:t>
      </w:r>
      <w:r>
        <w:rPr>
          <w:spacing w:val="-1"/>
        </w:rPr>
        <w:t>n</w:t>
      </w:r>
      <w:r>
        <w:t xml:space="preserve">t bonds with </w:t>
      </w:r>
      <w:r>
        <w:rPr>
          <w:spacing w:val="-2"/>
        </w:rPr>
        <w:t>t</w:t>
      </w:r>
      <w:r>
        <w:t xml:space="preserve">erms </w:t>
      </w:r>
      <w:r>
        <w:rPr>
          <w:spacing w:val="-2"/>
        </w:rPr>
        <w:t>t</w:t>
      </w:r>
      <w:r>
        <w:t>o m</w:t>
      </w:r>
      <w:r>
        <w:rPr>
          <w:spacing w:val="-1"/>
        </w:rPr>
        <w:t>a</w:t>
      </w:r>
      <w:r>
        <w:t>turi</w:t>
      </w:r>
      <w:r>
        <w:rPr>
          <w:spacing w:val="2"/>
        </w:rPr>
        <w:t>t</w:t>
      </w:r>
      <w:r>
        <w:t>y th</w:t>
      </w:r>
      <w:r>
        <w:rPr>
          <w:spacing w:val="-1"/>
        </w:rPr>
        <w:t>a</w:t>
      </w:r>
      <w:r>
        <w:t>t m</w:t>
      </w:r>
      <w:r>
        <w:rPr>
          <w:spacing w:val="-1"/>
        </w:rPr>
        <w:t>a</w:t>
      </w:r>
      <w:r>
        <w:rPr>
          <w:spacing w:val="-2"/>
        </w:rPr>
        <w:t>t</w:t>
      </w:r>
      <w:r>
        <w:t>ch, as closely as possibl</w:t>
      </w:r>
      <w:r>
        <w:rPr>
          <w:spacing w:val="-3"/>
        </w:rPr>
        <w:t>e</w:t>
      </w:r>
      <w:r>
        <w:t>, the estim</w:t>
      </w:r>
      <w:r>
        <w:rPr>
          <w:spacing w:val="-1"/>
        </w:rPr>
        <w:t>a</w:t>
      </w:r>
      <w:r>
        <w:rPr>
          <w:spacing w:val="-2"/>
        </w:rPr>
        <w:t>t</w:t>
      </w:r>
      <w:r>
        <w:t>ed futu</w:t>
      </w:r>
      <w:r>
        <w:rPr>
          <w:spacing w:val="-3"/>
        </w:rPr>
        <w:t>r</w:t>
      </w:r>
      <w:r>
        <w:t>e cash</w:t>
      </w:r>
      <w:r>
        <w:rPr>
          <w:spacing w:val="-6"/>
        </w:rPr>
        <w:t xml:space="preserve"> </w:t>
      </w:r>
      <w:r>
        <w:t>outfl</w:t>
      </w:r>
      <w:r>
        <w:rPr>
          <w:spacing w:val="-2"/>
        </w:rPr>
        <w:t>ow</w:t>
      </w:r>
      <w:r>
        <w:rPr>
          <w:spacing w:val="-3"/>
        </w:rPr>
        <w:t>s</w:t>
      </w:r>
      <w:r>
        <w:t>.</w:t>
      </w:r>
    </w:p>
    <w:p w14:paraId="0ABDD19E" w14:textId="06080590" w:rsidR="0021382E" w:rsidRPr="00DA1E18" w:rsidRDefault="0021382E" w:rsidP="00342529">
      <w:pPr>
        <w:rPr>
          <w:rStyle w:val="Strong"/>
        </w:rPr>
      </w:pPr>
      <w:r w:rsidRPr="00DA1E18">
        <w:rPr>
          <w:rStyle w:val="Strong"/>
        </w:rPr>
        <w:t xml:space="preserve">Provisions </w:t>
      </w:r>
      <w:r w:rsidR="008D55FD" w:rsidRPr="00DA1E18">
        <w:rPr>
          <w:rStyle w:val="Strong"/>
        </w:rPr>
        <w:t>–</w:t>
      </w:r>
      <w:r w:rsidRPr="00DA1E18">
        <w:rPr>
          <w:rStyle w:val="Strong"/>
        </w:rPr>
        <w:t xml:space="preserve"> other</w:t>
      </w:r>
    </w:p>
    <w:p w14:paraId="11CD5C38" w14:textId="77777777" w:rsidR="00342529" w:rsidRPr="00DA1E18" w:rsidRDefault="0021382E" w:rsidP="00342529">
      <w:pPr>
        <w:rPr>
          <w:rStyle w:val="Strong"/>
          <w:i/>
        </w:rPr>
      </w:pPr>
      <w:r w:rsidRPr="00DA1E18">
        <w:rPr>
          <w:rStyle w:val="Strong"/>
          <w:i/>
        </w:rPr>
        <w:t>Employment on-costs</w:t>
      </w:r>
    </w:p>
    <w:p w14:paraId="015035C7" w14:textId="0E577C7B" w:rsidR="0021382E" w:rsidRDefault="0021382E" w:rsidP="00342529">
      <w:pPr>
        <w:rPr>
          <w:color w:val="000000"/>
        </w:rPr>
      </w:pPr>
      <w:r>
        <w:t>Empl</w:t>
      </w:r>
      <w:r>
        <w:rPr>
          <w:spacing w:val="-2"/>
        </w:rPr>
        <w:t>o</w:t>
      </w:r>
      <w:r>
        <w:t>yme</w:t>
      </w:r>
      <w:r>
        <w:rPr>
          <w:spacing w:val="-1"/>
        </w:rPr>
        <w:t>n</w:t>
      </w:r>
      <w:r>
        <w:t>t on</w:t>
      </w:r>
      <w:r>
        <w:rPr>
          <w:spacing w:val="3"/>
        </w:rPr>
        <w:t>-</w:t>
      </w:r>
      <w:r>
        <w:rPr>
          <w:spacing w:val="-2"/>
        </w:rPr>
        <w:t>c</w:t>
      </w:r>
      <w:r>
        <w:t>ost</w:t>
      </w:r>
      <w:r>
        <w:rPr>
          <w:spacing w:val="-3"/>
        </w:rPr>
        <w:t>s</w:t>
      </w:r>
      <w:r>
        <w:t xml:space="preserve">, including </w:t>
      </w:r>
      <w:r>
        <w:rPr>
          <w:spacing w:val="-3"/>
        </w:rPr>
        <w:t>w</w:t>
      </w:r>
      <w:r>
        <w:t>orker</w:t>
      </w:r>
      <w:r>
        <w:rPr>
          <w:spacing w:val="-4"/>
        </w:rPr>
        <w:t>s</w:t>
      </w:r>
      <w:r>
        <w:t>’</w:t>
      </w:r>
      <w:r>
        <w:rPr>
          <w:spacing w:val="-19"/>
        </w:rPr>
        <w:t xml:space="preserve"> </w:t>
      </w:r>
      <w:r>
        <w:rPr>
          <w:spacing w:val="-2"/>
        </w:rPr>
        <w:t>c</w:t>
      </w:r>
      <w:r>
        <w:t>ompens</w:t>
      </w:r>
      <w:r>
        <w:rPr>
          <w:spacing w:val="-1"/>
        </w:rPr>
        <w:t>a</w:t>
      </w:r>
      <w:r>
        <w:t>tion insu</w:t>
      </w:r>
      <w:r>
        <w:rPr>
          <w:spacing w:val="-2"/>
        </w:rPr>
        <w:t>r</w:t>
      </w:r>
      <w:r>
        <w:t>an</w:t>
      </w:r>
      <w:r>
        <w:rPr>
          <w:spacing w:val="-2"/>
        </w:rPr>
        <w:t>c</w:t>
      </w:r>
      <w:r>
        <w:t>e and p</w:t>
      </w:r>
      <w:r>
        <w:rPr>
          <w:spacing w:val="-2"/>
        </w:rPr>
        <w:t>a</w:t>
      </w:r>
      <w:r>
        <w:t>y</w:t>
      </w:r>
      <w:r>
        <w:rPr>
          <w:spacing w:val="-3"/>
        </w:rPr>
        <w:t>r</w:t>
      </w:r>
      <w:r>
        <w:t>oll tax,</w:t>
      </w:r>
      <w:r>
        <w:rPr>
          <w:spacing w:val="-1"/>
        </w:rPr>
        <w:t xml:space="preserve"> </w:t>
      </w:r>
      <w:r>
        <w:t>a</w:t>
      </w:r>
      <w:r>
        <w:rPr>
          <w:spacing w:val="-3"/>
        </w:rPr>
        <w:t>r</w:t>
      </w:r>
      <w:r>
        <w:t>e</w:t>
      </w:r>
      <w:r>
        <w:rPr>
          <w:spacing w:val="-1"/>
        </w:rPr>
        <w:t xml:space="preserve"> </w:t>
      </w:r>
      <w:r>
        <w:t>not</w:t>
      </w:r>
      <w:r>
        <w:rPr>
          <w:spacing w:val="-1"/>
        </w:rPr>
        <w:t xml:space="preserve"> </w:t>
      </w:r>
      <w:r>
        <w:t>empl</w:t>
      </w:r>
      <w:r>
        <w:rPr>
          <w:spacing w:val="-2"/>
        </w:rPr>
        <w:t>o</w:t>
      </w:r>
      <w:r>
        <w:rPr>
          <w:spacing w:val="-3"/>
        </w:rPr>
        <w:t>y</w:t>
      </w:r>
      <w:r>
        <w:t>ee benefits</w:t>
      </w:r>
      <w:r>
        <w:rPr>
          <w:spacing w:val="-1"/>
        </w:rPr>
        <w:t xml:space="preserve"> </w:t>
      </w:r>
      <w:r>
        <w:t>and</w:t>
      </w:r>
      <w:r>
        <w:rPr>
          <w:spacing w:val="-1"/>
        </w:rPr>
        <w:t xml:space="preserve"> </w:t>
      </w:r>
      <w:r>
        <w:t>a</w:t>
      </w:r>
      <w:r>
        <w:rPr>
          <w:spacing w:val="-3"/>
        </w:rPr>
        <w:t>r</w:t>
      </w:r>
      <w:r>
        <w:t xml:space="preserve">e </w:t>
      </w:r>
      <w:r>
        <w:rPr>
          <w:spacing w:val="-3"/>
        </w:rPr>
        <w:t>r</w:t>
      </w:r>
      <w:r>
        <w:t>e</w:t>
      </w:r>
      <w:r>
        <w:rPr>
          <w:spacing w:val="-2"/>
        </w:rPr>
        <w:t>c</w:t>
      </w:r>
      <w:r>
        <w:t>o</w:t>
      </w:r>
      <w:r>
        <w:rPr>
          <w:spacing w:val="-2"/>
        </w:rPr>
        <w:t>g</w:t>
      </w:r>
      <w:r>
        <w:t>nised</w:t>
      </w:r>
      <w:r>
        <w:rPr>
          <w:spacing w:val="-1"/>
        </w:rPr>
        <w:t xml:space="preserve"> </w:t>
      </w:r>
      <w:r>
        <w:t>sepa</w:t>
      </w:r>
      <w:r>
        <w:rPr>
          <w:spacing w:val="-2"/>
        </w:rPr>
        <w:t>r</w:t>
      </w:r>
      <w:r>
        <w:rPr>
          <w:spacing w:val="-1"/>
        </w:rPr>
        <w:t>a</w:t>
      </w:r>
      <w:r>
        <w:rPr>
          <w:spacing w:val="-2"/>
        </w:rPr>
        <w:t>t</w:t>
      </w:r>
      <w:r>
        <w:t>ely</w:t>
      </w:r>
      <w:r>
        <w:rPr>
          <w:spacing w:val="-1"/>
        </w:rPr>
        <w:t xml:space="preserve"> </w:t>
      </w:r>
      <w:r>
        <w:t>as liabilities</w:t>
      </w:r>
      <w:r>
        <w:rPr>
          <w:spacing w:val="-1"/>
        </w:rPr>
        <w:t xml:space="preserve"> </w:t>
      </w:r>
      <w:r>
        <w:t xml:space="preserve">and </w:t>
      </w:r>
      <w:r>
        <w:rPr>
          <w:spacing w:val="-1"/>
        </w:rPr>
        <w:t>e</w:t>
      </w:r>
      <w:r>
        <w:t>xpenses when the empl</w:t>
      </w:r>
      <w:r>
        <w:rPr>
          <w:spacing w:val="-2"/>
        </w:rPr>
        <w:t>o</w:t>
      </w:r>
      <w:r>
        <w:t>yme</w:t>
      </w:r>
      <w:r>
        <w:rPr>
          <w:spacing w:val="-1"/>
        </w:rPr>
        <w:t>n</w:t>
      </w:r>
      <w:r>
        <w:t xml:space="preserve">t </w:t>
      </w:r>
      <w:r>
        <w:rPr>
          <w:spacing w:val="-2"/>
        </w:rPr>
        <w:t>t</w:t>
      </w:r>
      <w:r>
        <w:t xml:space="preserve">o which they </w:t>
      </w:r>
      <w:r>
        <w:rPr>
          <w:spacing w:val="-3"/>
        </w:rPr>
        <w:t>r</w:t>
      </w:r>
      <w:r>
        <w:t>el</w:t>
      </w:r>
      <w:r>
        <w:rPr>
          <w:spacing w:val="-1"/>
        </w:rPr>
        <w:t>a</w:t>
      </w:r>
      <w:r>
        <w:rPr>
          <w:spacing w:val="-2"/>
        </w:rPr>
        <w:t>t</w:t>
      </w:r>
      <w:r>
        <w:t>e has o</w:t>
      </w:r>
      <w:r>
        <w:rPr>
          <w:spacing w:val="-2"/>
        </w:rPr>
        <w:t>c</w:t>
      </w:r>
      <w:r>
        <w:t>cur</w:t>
      </w:r>
      <w:r>
        <w:rPr>
          <w:spacing w:val="-3"/>
        </w:rPr>
        <w:t>r</w:t>
      </w:r>
      <w:r>
        <w:t>e</w:t>
      </w:r>
      <w:r>
        <w:rPr>
          <w:spacing w:val="-3"/>
        </w:rPr>
        <w:t>d</w:t>
      </w:r>
      <w:r>
        <w:t>.</w:t>
      </w:r>
      <w:r>
        <w:rPr>
          <w:spacing w:val="46"/>
        </w:rPr>
        <w:t xml:space="preserve"> </w:t>
      </w:r>
      <w:r>
        <w:t>Empl</w:t>
      </w:r>
      <w:r>
        <w:rPr>
          <w:spacing w:val="-2"/>
        </w:rPr>
        <w:t>o</w:t>
      </w:r>
      <w:r>
        <w:t>yme</w:t>
      </w:r>
      <w:r>
        <w:rPr>
          <w:spacing w:val="-1"/>
        </w:rPr>
        <w:t>n</w:t>
      </w:r>
      <w:r>
        <w:t>t on</w:t>
      </w:r>
      <w:r>
        <w:rPr>
          <w:spacing w:val="3"/>
        </w:rPr>
        <w:t>-</w:t>
      </w:r>
      <w:r>
        <w:rPr>
          <w:spacing w:val="-2"/>
        </w:rPr>
        <w:t>c</w:t>
      </w:r>
      <w:r>
        <w:t>osts a</w:t>
      </w:r>
      <w:r>
        <w:rPr>
          <w:spacing w:val="-3"/>
        </w:rPr>
        <w:t>r</w:t>
      </w:r>
      <w:r>
        <w:t>e included as pa</w:t>
      </w:r>
      <w:r>
        <w:rPr>
          <w:spacing w:val="5"/>
        </w:rPr>
        <w:t>r</w:t>
      </w:r>
      <w:r>
        <w:t>t of</w:t>
      </w:r>
      <w:r>
        <w:rPr>
          <w:spacing w:val="-19"/>
        </w:rPr>
        <w:t xml:space="preserve"> </w:t>
      </w:r>
      <w:r>
        <w:rPr>
          <w:spacing w:val="-4"/>
        </w:rPr>
        <w:t>‘</w:t>
      </w:r>
      <w:r>
        <w:rPr>
          <w:spacing w:val="3"/>
        </w:rPr>
        <w:t>O</w:t>
      </w:r>
      <w:r>
        <w:t xml:space="preserve">ther </w:t>
      </w:r>
      <w:r>
        <w:rPr>
          <w:spacing w:val="-1"/>
        </w:rPr>
        <w:t>e</w:t>
      </w:r>
      <w:r>
        <w:t>xpense</w:t>
      </w:r>
      <w:r>
        <w:rPr>
          <w:spacing w:val="-4"/>
        </w:rPr>
        <w:t>s</w:t>
      </w:r>
      <w:r>
        <w:t>’</w:t>
      </w:r>
      <w:r>
        <w:rPr>
          <w:spacing w:val="-19"/>
        </w:rPr>
        <w:t xml:space="preserve"> </w:t>
      </w:r>
      <w:r>
        <w:t>and a</w:t>
      </w:r>
      <w:r>
        <w:rPr>
          <w:spacing w:val="-3"/>
        </w:rPr>
        <w:t>r</w:t>
      </w:r>
      <w:r>
        <w:t>e not included as pa</w:t>
      </w:r>
      <w:r>
        <w:rPr>
          <w:spacing w:val="5"/>
        </w:rPr>
        <w:t>r</w:t>
      </w:r>
      <w:r>
        <w:t>t of the</w:t>
      </w:r>
      <w:r>
        <w:rPr>
          <w:spacing w:val="-1"/>
        </w:rPr>
        <w:t xml:space="preserve"> </w:t>
      </w:r>
      <w:r>
        <w:rPr>
          <w:spacing w:val="-3"/>
        </w:rPr>
        <w:t>A</w:t>
      </w:r>
      <w:r>
        <w:t>uthori</w:t>
      </w:r>
      <w:r>
        <w:rPr>
          <w:spacing w:val="1"/>
        </w:rPr>
        <w:t>t</w:t>
      </w:r>
      <w:r>
        <w:rPr>
          <w:spacing w:val="6"/>
        </w:rPr>
        <w:t>y</w:t>
      </w:r>
      <w:r>
        <w:rPr>
          <w:spacing w:val="-16"/>
        </w:rPr>
        <w:t>’</w:t>
      </w:r>
      <w:r>
        <w:t>s</w:t>
      </w:r>
      <w:r>
        <w:rPr>
          <w:spacing w:val="-20"/>
        </w:rPr>
        <w:t xml:space="preserve"> </w:t>
      </w:r>
      <w:r>
        <w:t>‘Empl</w:t>
      </w:r>
      <w:r>
        <w:rPr>
          <w:spacing w:val="-2"/>
        </w:rPr>
        <w:t>o</w:t>
      </w:r>
      <w:r>
        <w:rPr>
          <w:spacing w:val="-3"/>
        </w:rPr>
        <w:t>y</w:t>
      </w:r>
      <w:r>
        <w:t>ee</w:t>
      </w:r>
      <w:r>
        <w:rPr>
          <w:spacing w:val="-1"/>
        </w:rPr>
        <w:t xml:space="preserve"> </w:t>
      </w:r>
      <w:r>
        <w:t xml:space="preserve">benefits </w:t>
      </w:r>
      <w:r>
        <w:rPr>
          <w:spacing w:val="-1"/>
        </w:rPr>
        <w:t>e</w:t>
      </w:r>
      <w:r>
        <w:t>xpens</w:t>
      </w:r>
      <w:r>
        <w:rPr>
          <w:spacing w:val="-6"/>
        </w:rPr>
        <w:t>e</w:t>
      </w:r>
      <w:r>
        <w:rPr>
          <w:spacing w:val="-34"/>
        </w:rPr>
        <w:t>’</w:t>
      </w:r>
      <w:r>
        <w:t>.</w:t>
      </w:r>
      <w:r>
        <w:rPr>
          <w:spacing w:val="-10"/>
        </w:rPr>
        <w:t xml:space="preserve"> </w:t>
      </w:r>
      <w:r>
        <w:rPr>
          <w:spacing w:val="-2"/>
        </w:rPr>
        <w:t>T</w:t>
      </w:r>
      <w:r>
        <w:t>he</w:t>
      </w:r>
      <w:r>
        <w:rPr>
          <w:spacing w:val="-1"/>
        </w:rPr>
        <w:t xml:space="preserve"> </w:t>
      </w:r>
      <w:r>
        <w:rPr>
          <w:spacing w:val="-3"/>
        </w:rPr>
        <w:t>r</w:t>
      </w:r>
      <w:r>
        <w:t>el</w:t>
      </w:r>
      <w:r>
        <w:rPr>
          <w:spacing w:val="-1"/>
        </w:rPr>
        <w:t>a</w:t>
      </w:r>
      <w:r>
        <w:rPr>
          <w:spacing w:val="-2"/>
        </w:rPr>
        <w:t>t</w:t>
      </w:r>
      <w:r>
        <w:t>ed</w:t>
      </w:r>
      <w:r>
        <w:rPr>
          <w:spacing w:val="-1"/>
        </w:rPr>
        <w:t xml:space="preserve"> </w:t>
      </w:r>
      <w:r>
        <w:t>liabili</w:t>
      </w:r>
      <w:r>
        <w:rPr>
          <w:spacing w:val="2"/>
        </w:rPr>
        <w:t>t</w:t>
      </w:r>
      <w:r>
        <w:t>y is</w:t>
      </w:r>
      <w:r>
        <w:rPr>
          <w:spacing w:val="-1"/>
        </w:rPr>
        <w:t xml:space="preserve"> </w:t>
      </w:r>
      <w:r>
        <w:t>included</w:t>
      </w:r>
      <w:r>
        <w:rPr>
          <w:spacing w:val="-1"/>
        </w:rPr>
        <w:t xml:space="preserve"> </w:t>
      </w:r>
      <w:r>
        <w:t>in ‘Empl</w:t>
      </w:r>
      <w:r>
        <w:rPr>
          <w:spacing w:val="-2"/>
        </w:rPr>
        <w:t>o</w:t>
      </w:r>
      <w:r>
        <w:t>yme</w:t>
      </w:r>
      <w:r>
        <w:rPr>
          <w:spacing w:val="-1"/>
        </w:rPr>
        <w:t>n</w:t>
      </w:r>
      <w:r>
        <w:t>t on</w:t>
      </w:r>
      <w:r>
        <w:rPr>
          <w:spacing w:val="3"/>
        </w:rPr>
        <w:t>-</w:t>
      </w:r>
      <w:r>
        <w:rPr>
          <w:spacing w:val="-2"/>
        </w:rPr>
        <w:t>c</w:t>
      </w:r>
      <w:r>
        <w:t>osts p</w:t>
      </w:r>
      <w:r>
        <w:rPr>
          <w:spacing w:val="-3"/>
        </w:rPr>
        <w:t>r</w:t>
      </w:r>
      <w:r>
        <w:rPr>
          <w:spacing w:val="-2"/>
        </w:rPr>
        <w:t>o</w:t>
      </w:r>
      <w:r>
        <w:t>visio</w:t>
      </w:r>
      <w:r>
        <w:rPr>
          <w:spacing w:val="-8"/>
        </w:rPr>
        <w:t>n</w:t>
      </w:r>
      <w:r>
        <w:rPr>
          <w:spacing w:val="-34"/>
        </w:rPr>
        <w:t>’</w:t>
      </w:r>
      <w:r>
        <w:t>.</w:t>
      </w:r>
    </w:p>
    <w:p w14:paraId="11811BBF" w14:textId="77777777" w:rsidR="0021382E" w:rsidRPr="00DA1E18" w:rsidRDefault="0021382E" w:rsidP="00342529">
      <w:pPr>
        <w:rPr>
          <w:rStyle w:val="Strong"/>
        </w:rPr>
      </w:pPr>
      <w:r w:rsidRPr="00DA1E18">
        <w:rPr>
          <w:rStyle w:val="Strong"/>
        </w:rPr>
        <w:t>Provisions – Employers’ Indemnity Supplementation Fund and General Account</w:t>
      </w:r>
    </w:p>
    <w:p w14:paraId="4F8D2E40" w14:textId="77777777" w:rsidR="0021382E" w:rsidRPr="00DA1E18" w:rsidRDefault="0021382E" w:rsidP="00342529">
      <w:pPr>
        <w:rPr>
          <w:rStyle w:val="Strong"/>
          <w:i/>
        </w:rPr>
      </w:pPr>
      <w:r w:rsidRPr="00DA1E18">
        <w:rPr>
          <w:rStyle w:val="Strong"/>
          <w:i/>
        </w:rPr>
        <w:t>Liability for future claims</w:t>
      </w:r>
    </w:p>
    <w:p w14:paraId="7634297C" w14:textId="77777777" w:rsidR="0021382E" w:rsidRDefault="0021382E" w:rsidP="00342529">
      <w:pPr>
        <w:rPr>
          <w:color w:val="000000"/>
        </w:rPr>
      </w:pPr>
      <w:r>
        <w:rPr>
          <w:spacing w:val="-2"/>
        </w:rPr>
        <w:t>T</w:t>
      </w:r>
      <w:r>
        <w:t>he liabili</w:t>
      </w:r>
      <w:r>
        <w:rPr>
          <w:spacing w:val="1"/>
        </w:rPr>
        <w:t>t</w:t>
      </w:r>
      <w:r>
        <w:t xml:space="preserve">y </w:t>
      </w:r>
      <w:r>
        <w:rPr>
          <w:spacing w:val="-3"/>
        </w:rPr>
        <w:t>f</w:t>
      </w:r>
      <w:r>
        <w:t>or outstanding claims is measu</w:t>
      </w:r>
      <w:r>
        <w:rPr>
          <w:spacing w:val="-3"/>
        </w:rPr>
        <w:t>r</w:t>
      </w:r>
      <w:r>
        <w:t xml:space="preserve">ed as the </w:t>
      </w:r>
      <w:r>
        <w:rPr>
          <w:spacing w:val="-2"/>
        </w:rPr>
        <w:t>c</w:t>
      </w:r>
      <w:r>
        <w:t>e</w:t>
      </w:r>
      <w:r>
        <w:rPr>
          <w:spacing w:val="-1"/>
        </w:rPr>
        <w:t>n</w:t>
      </w:r>
      <w:r>
        <w:t>t</w:t>
      </w:r>
      <w:r>
        <w:rPr>
          <w:spacing w:val="-2"/>
        </w:rPr>
        <w:t>r</w:t>
      </w:r>
      <w:r>
        <w:t>al estim</w:t>
      </w:r>
      <w:r>
        <w:rPr>
          <w:spacing w:val="-1"/>
        </w:rPr>
        <w:t>a</w:t>
      </w:r>
      <w:r>
        <w:rPr>
          <w:spacing w:val="-2"/>
        </w:rPr>
        <w:t>t</w:t>
      </w:r>
      <w:r>
        <w:t>e of the p</w:t>
      </w:r>
      <w:r>
        <w:rPr>
          <w:spacing w:val="-3"/>
        </w:rPr>
        <w:t>r</w:t>
      </w:r>
      <w:r>
        <w:t>ese</w:t>
      </w:r>
      <w:r>
        <w:rPr>
          <w:spacing w:val="-1"/>
        </w:rPr>
        <w:t>n</w:t>
      </w:r>
      <w:r>
        <w:t xml:space="preserve">t </w:t>
      </w:r>
      <w:r>
        <w:rPr>
          <w:spacing w:val="-1"/>
        </w:rPr>
        <w:t>v</w:t>
      </w:r>
      <w:r>
        <w:t xml:space="preserve">alue of </w:t>
      </w:r>
      <w:r>
        <w:rPr>
          <w:spacing w:val="-1"/>
        </w:rPr>
        <w:t>e</w:t>
      </w:r>
      <w:r>
        <w:t>xpe</w:t>
      </w:r>
      <w:r>
        <w:rPr>
          <w:spacing w:val="2"/>
        </w:rPr>
        <w:t>c</w:t>
      </w:r>
      <w:r>
        <w:rPr>
          <w:spacing w:val="-2"/>
        </w:rPr>
        <w:t>t</w:t>
      </w:r>
      <w:r>
        <w:t>ed futu</w:t>
      </w:r>
      <w:r>
        <w:rPr>
          <w:spacing w:val="-3"/>
        </w:rPr>
        <w:t>r</w:t>
      </w:r>
      <w:r>
        <w:t>e p</w:t>
      </w:r>
      <w:r>
        <w:rPr>
          <w:spacing w:val="-2"/>
        </w:rPr>
        <w:t>a</w:t>
      </w:r>
      <w:r>
        <w:t>yme</w:t>
      </w:r>
      <w:r>
        <w:rPr>
          <w:spacing w:val="-1"/>
        </w:rPr>
        <w:t>n</w:t>
      </w:r>
      <w:r>
        <w:t>ts against claims incur</w:t>
      </w:r>
      <w:r>
        <w:rPr>
          <w:spacing w:val="-3"/>
        </w:rPr>
        <w:t>r</w:t>
      </w:r>
      <w:r>
        <w:t xml:space="preserve">ed </w:t>
      </w:r>
      <w:r>
        <w:rPr>
          <w:spacing w:val="-1"/>
        </w:rPr>
        <w:t>a</w:t>
      </w:r>
      <w:r>
        <w:t xml:space="preserve">t the </w:t>
      </w:r>
      <w:r>
        <w:rPr>
          <w:spacing w:val="-3"/>
        </w:rPr>
        <w:t>r</w:t>
      </w:r>
      <w:r>
        <w:t>epo</w:t>
      </w:r>
      <w:r>
        <w:rPr>
          <w:spacing w:val="5"/>
        </w:rPr>
        <w:t>r</w:t>
      </w:r>
      <w:r>
        <w:t>ting d</w:t>
      </w:r>
      <w:r>
        <w:rPr>
          <w:spacing w:val="-1"/>
        </w:rPr>
        <w:t>a</w:t>
      </w:r>
      <w:r>
        <w:rPr>
          <w:spacing w:val="-2"/>
        </w:rPr>
        <w:t>t</w:t>
      </w:r>
      <w:r>
        <w:rPr>
          <w:spacing w:val="-3"/>
        </w:rPr>
        <w:t>e</w:t>
      </w:r>
      <w:r>
        <w:t>, with an additional risk ma</w:t>
      </w:r>
      <w:r>
        <w:rPr>
          <w:spacing w:val="-2"/>
        </w:rPr>
        <w:t>rg</w:t>
      </w:r>
      <w:r>
        <w:t xml:space="preserve">in </w:t>
      </w:r>
      <w:r>
        <w:rPr>
          <w:spacing w:val="-2"/>
        </w:rPr>
        <w:t>t</w:t>
      </w:r>
      <w:r>
        <w:t>o all</w:t>
      </w:r>
      <w:r>
        <w:rPr>
          <w:spacing w:val="-2"/>
        </w:rPr>
        <w:t>o</w:t>
      </w:r>
      <w:r>
        <w:t xml:space="preserve">w </w:t>
      </w:r>
      <w:r>
        <w:rPr>
          <w:spacing w:val="-3"/>
        </w:rPr>
        <w:t>f</w:t>
      </w:r>
      <w:r>
        <w:t>or the inhe</w:t>
      </w:r>
      <w:r>
        <w:rPr>
          <w:spacing w:val="-3"/>
        </w:rPr>
        <w:t>r</w:t>
      </w:r>
      <w:r>
        <w:t>e</w:t>
      </w:r>
      <w:r>
        <w:rPr>
          <w:spacing w:val="-1"/>
        </w:rPr>
        <w:t>n</w:t>
      </w:r>
      <w:r>
        <w:t>t un</w:t>
      </w:r>
      <w:r>
        <w:rPr>
          <w:spacing w:val="-2"/>
        </w:rPr>
        <w:t>c</w:t>
      </w:r>
      <w:r>
        <w:t>e</w:t>
      </w:r>
      <w:r>
        <w:rPr>
          <w:spacing w:val="5"/>
        </w:rPr>
        <w:t>r</w:t>
      </w:r>
      <w:r>
        <w:t>tai</w:t>
      </w:r>
      <w:r>
        <w:rPr>
          <w:spacing w:val="-1"/>
        </w:rPr>
        <w:t>n</w:t>
      </w:r>
      <w:r>
        <w:rPr>
          <w:spacing w:val="2"/>
        </w:rPr>
        <w:t>t</w:t>
      </w:r>
      <w:r>
        <w:t xml:space="preserve">y in the </w:t>
      </w:r>
      <w:r>
        <w:rPr>
          <w:spacing w:val="-2"/>
        </w:rPr>
        <w:t>c</w:t>
      </w:r>
      <w:r>
        <w:t>e</w:t>
      </w:r>
      <w:r>
        <w:rPr>
          <w:spacing w:val="-1"/>
        </w:rPr>
        <w:t>n</w:t>
      </w:r>
      <w:r>
        <w:t>t</w:t>
      </w:r>
      <w:r>
        <w:rPr>
          <w:spacing w:val="-2"/>
        </w:rPr>
        <w:t>r</w:t>
      </w:r>
      <w:r>
        <w:t>al estim</w:t>
      </w:r>
      <w:r>
        <w:rPr>
          <w:spacing w:val="-1"/>
        </w:rPr>
        <w:t>a</w:t>
      </w:r>
      <w:r>
        <w:rPr>
          <w:spacing w:val="-2"/>
        </w:rPr>
        <w:t>t</w:t>
      </w:r>
      <w:r>
        <w:rPr>
          <w:spacing w:val="-3"/>
        </w:rPr>
        <w:t>e</w:t>
      </w:r>
      <w:r>
        <w:t>.</w:t>
      </w:r>
      <w:r>
        <w:rPr>
          <w:spacing w:val="37"/>
        </w:rPr>
        <w:t xml:space="preserve"> </w:t>
      </w:r>
      <w:r>
        <w:rPr>
          <w:spacing w:val="-2"/>
        </w:rPr>
        <w:t>T</w:t>
      </w:r>
      <w:r>
        <w:t xml:space="preserve">he </w:t>
      </w:r>
      <w:r>
        <w:rPr>
          <w:spacing w:val="-1"/>
        </w:rPr>
        <w:t>e</w:t>
      </w:r>
      <w:r>
        <w:t>xpe</w:t>
      </w:r>
      <w:r>
        <w:rPr>
          <w:spacing w:val="2"/>
        </w:rPr>
        <w:t>c</w:t>
      </w:r>
      <w:r>
        <w:rPr>
          <w:spacing w:val="-2"/>
        </w:rPr>
        <w:t>t</w:t>
      </w:r>
      <w:r>
        <w:t>ed futu</w:t>
      </w:r>
      <w:r>
        <w:rPr>
          <w:spacing w:val="-3"/>
        </w:rPr>
        <w:t>r</w:t>
      </w:r>
      <w:r>
        <w:t>e p</w:t>
      </w:r>
      <w:r>
        <w:rPr>
          <w:spacing w:val="-2"/>
        </w:rPr>
        <w:t>a</w:t>
      </w:r>
      <w:r>
        <w:t>yme</w:t>
      </w:r>
      <w:r>
        <w:rPr>
          <w:spacing w:val="-1"/>
        </w:rPr>
        <w:t>n</w:t>
      </w:r>
      <w:r>
        <w:t xml:space="preserve">ts include those in </w:t>
      </w:r>
      <w:r>
        <w:rPr>
          <w:spacing w:val="-3"/>
        </w:rPr>
        <w:t>r</w:t>
      </w:r>
      <w:r>
        <w:t>el</w:t>
      </w:r>
      <w:r>
        <w:rPr>
          <w:spacing w:val="-1"/>
        </w:rPr>
        <w:t>a</w:t>
      </w:r>
      <w:r>
        <w:t xml:space="preserve">tion </w:t>
      </w:r>
      <w:r>
        <w:rPr>
          <w:spacing w:val="-2"/>
        </w:rPr>
        <w:t>t</w:t>
      </w:r>
      <w:r>
        <w:t xml:space="preserve">o claims </w:t>
      </w:r>
      <w:r>
        <w:rPr>
          <w:spacing w:val="-3"/>
        </w:rPr>
        <w:t>r</w:t>
      </w:r>
      <w:r>
        <w:t>epo</w:t>
      </w:r>
      <w:r>
        <w:rPr>
          <w:spacing w:val="5"/>
        </w:rPr>
        <w:t>r</w:t>
      </w:r>
      <w:r>
        <w:rPr>
          <w:spacing w:val="-2"/>
        </w:rPr>
        <w:t>t</w:t>
      </w:r>
      <w:r>
        <w:t xml:space="preserve">ed but not </w:t>
      </w:r>
      <w:r>
        <w:rPr>
          <w:spacing w:val="-3"/>
        </w:rPr>
        <w:t>y</w:t>
      </w:r>
      <w:r>
        <w:t>et pai</w:t>
      </w:r>
      <w:r>
        <w:rPr>
          <w:spacing w:val="-3"/>
        </w:rPr>
        <w:t>d</w:t>
      </w:r>
      <w:r>
        <w:t>, claims incur</w:t>
      </w:r>
      <w:r>
        <w:rPr>
          <w:spacing w:val="-3"/>
        </w:rPr>
        <w:t>r</w:t>
      </w:r>
      <w:r>
        <w:t xml:space="preserve">ed but not </w:t>
      </w:r>
      <w:r>
        <w:rPr>
          <w:spacing w:val="-3"/>
        </w:rPr>
        <w:t>r</w:t>
      </w:r>
      <w:r>
        <w:t>epo</w:t>
      </w:r>
      <w:r>
        <w:rPr>
          <w:spacing w:val="5"/>
        </w:rPr>
        <w:t>r</w:t>
      </w:r>
      <w:r>
        <w:rPr>
          <w:spacing w:val="-2"/>
        </w:rPr>
        <w:t>t</w:t>
      </w:r>
      <w:r>
        <w:t>ed (IBNR), claims incur</w:t>
      </w:r>
      <w:r>
        <w:rPr>
          <w:spacing w:val="-3"/>
        </w:rPr>
        <w:t>r</w:t>
      </w:r>
      <w:r>
        <w:t xml:space="preserve">ed but not enough </w:t>
      </w:r>
      <w:r>
        <w:rPr>
          <w:spacing w:val="-3"/>
        </w:rPr>
        <w:t>r</w:t>
      </w:r>
      <w:r>
        <w:t>epo</w:t>
      </w:r>
      <w:r>
        <w:rPr>
          <w:spacing w:val="5"/>
        </w:rPr>
        <w:t>r</w:t>
      </w:r>
      <w:r>
        <w:rPr>
          <w:spacing w:val="-2"/>
        </w:rPr>
        <w:t>t</w:t>
      </w:r>
      <w:r>
        <w:t>ed (IBNER) and a</w:t>
      </w:r>
      <w:r>
        <w:rPr>
          <w:spacing w:val="-1"/>
        </w:rPr>
        <w:t>n</w:t>
      </w:r>
      <w:r>
        <w:t>ticip</w:t>
      </w:r>
      <w:r>
        <w:rPr>
          <w:spacing w:val="-1"/>
        </w:rPr>
        <w:t>a</w:t>
      </w:r>
      <w:r>
        <w:rPr>
          <w:spacing w:val="-2"/>
        </w:rPr>
        <w:t>t</w:t>
      </w:r>
      <w:r>
        <w:t xml:space="preserve">ed claims handling </w:t>
      </w:r>
      <w:r>
        <w:rPr>
          <w:spacing w:val="-2"/>
        </w:rPr>
        <w:t>c</w:t>
      </w:r>
      <w:r>
        <w:t>ost</w:t>
      </w:r>
      <w:r>
        <w:rPr>
          <w:spacing w:val="-3"/>
        </w:rPr>
        <w:t>s</w:t>
      </w:r>
      <w:r>
        <w:t>.</w:t>
      </w:r>
    </w:p>
    <w:p w14:paraId="40BD18D5" w14:textId="4D4F2DA2" w:rsidR="0021382E" w:rsidRDefault="0021382E" w:rsidP="00342529">
      <w:pPr>
        <w:rPr>
          <w:color w:val="000000"/>
        </w:rPr>
      </w:pPr>
      <w:r>
        <w:t xml:space="preserve">Claims handling </w:t>
      </w:r>
      <w:r>
        <w:rPr>
          <w:spacing w:val="-2"/>
        </w:rPr>
        <w:t>c</w:t>
      </w:r>
      <w:r>
        <w:t xml:space="preserve">osts include </w:t>
      </w:r>
      <w:r>
        <w:rPr>
          <w:spacing w:val="-2"/>
        </w:rPr>
        <w:t>c</w:t>
      </w:r>
      <w:r>
        <w:t>osts th</w:t>
      </w:r>
      <w:r>
        <w:rPr>
          <w:spacing w:val="-1"/>
        </w:rPr>
        <w:t>a</w:t>
      </w:r>
      <w:r>
        <w:t>t can be associ</w:t>
      </w:r>
      <w:r>
        <w:rPr>
          <w:spacing w:val="-1"/>
        </w:rPr>
        <w:t>a</w:t>
      </w:r>
      <w:r>
        <w:rPr>
          <w:spacing w:val="-2"/>
        </w:rPr>
        <w:t>t</w:t>
      </w:r>
      <w:r>
        <w:t>ed di</w:t>
      </w:r>
      <w:r>
        <w:rPr>
          <w:spacing w:val="-3"/>
        </w:rPr>
        <w:t>r</w:t>
      </w:r>
      <w:r>
        <w:t>e</w:t>
      </w:r>
      <w:r>
        <w:rPr>
          <w:spacing w:val="2"/>
        </w:rPr>
        <w:t>c</w:t>
      </w:r>
      <w:r>
        <w:t>tly with individual claim</w:t>
      </w:r>
      <w:r>
        <w:rPr>
          <w:spacing w:val="-3"/>
        </w:rPr>
        <w:t>s</w:t>
      </w:r>
      <w:r>
        <w:t>, such as legal and other p</w:t>
      </w:r>
      <w:r>
        <w:rPr>
          <w:spacing w:val="-3"/>
        </w:rPr>
        <w:t>r</w:t>
      </w:r>
      <w:r>
        <w:t>o</w:t>
      </w:r>
      <w:r>
        <w:rPr>
          <w:spacing w:val="-3"/>
        </w:rPr>
        <w:t>f</w:t>
      </w:r>
      <w:r>
        <w:t xml:space="preserve">essional </w:t>
      </w:r>
      <w:r>
        <w:rPr>
          <w:spacing w:val="-3"/>
        </w:rPr>
        <w:t>f</w:t>
      </w:r>
      <w:r>
        <w:t>ee</w:t>
      </w:r>
      <w:r>
        <w:rPr>
          <w:spacing w:val="-3"/>
        </w:rPr>
        <w:t>s</w:t>
      </w:r>
      <w:r>
        <w:t xml:space="preserve">, and </w:t>
      </w:r>
      <w:r>
        <w:rPr>
          <w:spacing w:val="-2"/>
        </w:rPr>
        <w:t>c</w:t>
      </w:r>
      <w:r>
        <w:t>osts th</w:t>
      </w:r>
      <w:r>
        <w:rPr>
          <w:spacing w:val="-1"/>
        </w:rPr>
        <w:t>a</w:t>
      </w:r>
      <w:r>
        <w:t>t can only be indi</w:t>
      </w:r>
      <w:r>
        <w:rPr>
          <w:spacing w:val="-3"/>
        </w:rPr>
        <w:t>r</w:t>
      </w:r>
      <w:r>
        <w:t>e</w:t>
      </w:r>
      <w:r>
        <w:rPr>
          <w:spacing w:val="2"/>
        </w:rPr>
        <w:t>c</w:t>
      </w:r>
      <w:r>
        <w:t>tly associ</w:t>
      </w:r>
      <w:r>
        <w:rPr>
          <w:spacing w:val="-1"/>
        </w:rPr>
        <w:t>a</w:t>
      </w:r>
      <w:r>
        <w:rPr>
          <w:spacing w:val="-2"/>
        </w:rPr>
        <w:t>t</w:t>
      </w:r>
      <w:r>
        <w:t>ed with individual claim</w:t>
      </w:r>
      <w:r>
        <w:rPr>
          <w:spacing w:val="-3"/>
        </w:rPr>
        <w:t>s</w:t>
      </w:r>
      <w:r>
        <w:t>, such as claims administ</w:t>
      </w:r>
      <w:r>
        <w:rPr>
          <w:spacing w:val="-2"/>
        </w:rPr>
        <w:t>r</w:t>
      </w:r>
      <w:r>
        <w:rPr>
          <w:spacing w:val="-1"/>
        </w:rPr>
        <w:t>a</w:t>
      </w:r>
      <w:r>
        <w:t xml:space="preserve">tion </w:t>
      </w:r>
      <w:r>
        <w:rPr>
          <w:spacing w:val="-2"/>
        </w:rPr>
        <w:t>c</w:t>
      </w:r>
      <w:r>
        <w:t>ost</w:t>
      </w:r>
      <w:r>
        <w:rPr>
          <w:spacing w:val="-3"/>
        </w:rPr>
        <w:t>s</w:t>
      </w:r>
      <w:r>
        <w:t>.</w:t>
      </w:r>
      <w:r w:rsidR="00342529">
        <w:t xml:space="preserve"> </w:t>
      </w:r>
      <w:r>
        <w:rPr>
          <w:spacing w:val="-2"/>
        </w:rPr>
        <w:t>T</w:t>
      </w:r>
      <w:r>
        <w:t xml:space="preserve">he </w:t>
      </w:r>
      <w:r>
        <w:rPr>
          <w:spacing w:val="-1"/>
        </w:rPr>
        <w:t>e</w:t>
      </w:r>
      <w:r>
        <w:t>xpe</w:t>
      </w:r>
      <w:r>
        <w:rPr>
          <w:spacing w:val="2"/>
        </w:rPr>
        <w:t>c</w:t>
      </w:r>
      <w:r>
        <w:rPr>
          <w:spacing w:val="-2"/>
        </w:rPr>
        <w:t>t</w:t>
      </w:r>
      <w:r>
        <w:t>ed futu</w:t>
      </w:r>
      <w:r>
        <w:rPr>
          <w:spacing w:val="-3"/>
        </w:rPr>
        <w:t>r</w:t>
      </w:r>
      <w:r>
        <w:t>e p</w:t>
      </w:r>
      <w:r>
        <w:rPr>
          <w:spacing w:val="-2"/>
        </w:rPr>
        <w:t>a</w:t>
      </w:r>
      <w:r>
        <w:t>yme</w:t>
      </w:r>
      <w:r>
        <w:rPr>
          <w:spacing w:val="-1"/>
        </w:rPr>
        <w:t>n</w:t>
      </w:r>
      <w:r>
        <w:t>ts a</w:t>
      </w:r>
      <w:r>
        <w:rPr>
          <w:spacing w:val="-3"/>
        </w:rPr>
        <w:t>r</w:t>
      </w:r>
      <w:r>
        <w:t>e dis</w:t>
      </w:r>
      <w:r>
        <w:rPr>
          <w:spacing w:val="-2"/>
        </w:rPr>
        <w:t>c</w:t>
      </w:r>
      <w:r>
        <w:t>ou</w:t>
      </w:r>
      <w:r>
        <w:rPr>
          <w:spacing w:val="-1"/>
        </w:rPr>
        <w:t>n</w:t>
      </w:r>
      <w:r>
        <w:rPr>
          <w:spacing w:val="-2"/>
        </w:rPr>
        <w:t>t</w:t>
      </w:r>
      <w:r>
        <w:t xml:space="preserve">ed </w:t>
      </w:r>
      <w:r>
        <w:rPr>
          <w:spacing w:val="-2"/>
        </w:rPr>
        <w:t>t</w:t>
      </w:r>
      <w:r>
        <w:t>o p</w:t>
      </w:r>
      <w:r>
        <w:rPr>
          <w:spacing w:val="-3"/>
        </w:rPr>
        <w:t>r</w:t>
      </w:r>
      <w:r>
        <w:t>ese</w:t>
      </w:r>
      <w:r>
        <w:rPr>
          <w:spacing w:val="-1"/>
        </w:rPr>
        <w:t>n</w:t>
      </w:r>
      <w:r>
        <w:t xml:space="preserve">t </w:t>
      </w:r>
      <w:r>
        <w:rPr>
          <w:spacing w:val="-1"/>
        </w:rPr>
        <w:t>v</w:t>
      </w:r>
      <w:r>
        <w:t>alue using a risk f</w:t>
      </w:r>
      <w:r>
        <w:rPr>
          <w:spacing w:val="-3"/>
        </w:rPr>
        <w:t>r</w:t>
      </w:r>
      <w:r>
        <w:t xml:space="preserve">ee </w:t>
      </w:r>
      <w:r>
        <w:rPr>
          <w:spacing w:val="-2"/>
        </w:rPr>
        <w:t>r</w:t>
      </w:r>
      <w:r>
        <w:rPr>
          <w:spacing w:val="-1"/>
        </w:rPr>
        <w:t>a</w:t>
      </w:r>
      <w:r>
        <w:rPr>
          <w:spacing w:val="-2"/>
        </w:rPr>
        <w:t>t</w:t>
      </w:r>
      <w:r>
        <w:rPr>
          <w:spacing w:val="-3"/>
        </w:rPr>
        <w:t>e</w:t>
      </w:r>
      <w:r>
        <w:t>.</w:t>
      </w:r>
    </w:p>
    <w:p w14:paraId="0E3079C9" w14:textId="63A57181" w:rsidR="00272B6E" w:rsidRDefault="0021382E" w:rsidP="00272B6E">
      <w:pPr>
        <w:rPr>
          <w:color w:val="000000"/>
        </w:rPr>
      </w:pPr>
      <w:r>
        <w:rPr>
          <w:spacing w:val="-2"/>
        </w:rPr>
        <w:lastRenderedPageBreak/>
        <w:t>T</w:t>
      </w:r>
      <w:r>
        <w:t>he</w:t>
      </w:r>
      <w:r>
        <w:rPr>
          <w:spacing w:val="-1"/>
        </w:rPr>
        <w:t xml:space="preserve"> </w:t>
      </w:r>
      <w:r>
        <w:t>ef</w:t>
      </w:r>
      <w:r>
        <w:rPr>
          <w:spacing w:val="-3"/>
        </w:rPr>
        <w:t>f</w:t>
      </w:r>
      <w:r>
        <w:t>e</w:t>
      </w:r>
      <w:r>
        <w:rPr>
          <w:spacing w:val="2"/>
        </w:rPr>
        <w:t>c</w:t>
      </w:r>
      <w:r>
        <w:t>t of an a</w:t>
      </w:r>
      <w:r>
        <w:rPr>
          <w:spacing w:val="2"/>
        </w:rPr>
        <w:t>c</w:t>
      </w:r>
      <w:r>
        <w:t>tuarial assessed</w:t>
      </w:r>
      <w:r>
        <w:rPr>
          <w:spacing w:val="-1"/>
        </w:rPr>
        <w:t xml:space="preserve"> </w:t>
      </w:r>
      <w:r>
        <w:t>inc</w:t>
      </w:r>
      <w:r>
        <w:rPr>
          <w:spacing w:val="-3"/>
        </w:rPr>
        <w:t>r</w:t>
      </w:r>
      <w:r>
        <w:t>ease in the outstanding claims</w:t>
      </w:r>
      <w:r>
        <w:rPr>
          <w:spacing w:val="-1"/>
        </w:rPr>
        <w:t xml:space="preserve"> </w:t>
      </w:r>
      <w:r>
        <w:t>liabili</w:t>
      </w:r>
      <w:r>
        <w:rPr>
          <w:spacing w:val="2"/>
        </w:rPr>
        <w:t>t</w:t>
      </w:r>
      <w:r>
        <w:t>y or changes in the dis</w:t>
      </w:r>
      <w:r>
        <w:rPr>
          <w:spacing w:val="-2"/>
        </w:rPr>
        <w:t>c</w:t>
      </w:r>
      <w:r>
        <w:t>ou</w:t>
      </w:r>
      <w:r>
        <w:rPr>
          <w:spacing w:val="-1"/>
        </w:rPr>
        <w:t>n</w:t>
      </w:r>
      <w:r>
        <w:t xml:space="preserve">t </w:t>
      </w:r>
      <w:r>
        <w:rPr>
          <w:spacing w:val="-2"/>
        </w:rPr>
        <w:t>r</w:t>
      </w:r>
      <w:r>
        <w:rPr>
          <w:spacing w:val="-1"/>
        </w:rPr>
        <w:t>a</w:t>
      </w:r>
      <w:r>
        <w:rPr>
          <w:spacing w:val="-2"/>
        </w:rPr>
        <w:t>t</w:t>
      </w:r>
      <w:r>
        <w:t>e a</w:t>
      </w:r>
      <w:r>
        <w:rPr>
          <w:spacing w:val="-3"/>
        </w:rPr>
        <w:t>r</w:t>
      </w:r>
      <w:r>
        <w:t xml:space="preserve">e included in the </w:t>
      </w:r>
      <w:r w:rsidR="00513D55">
        <w:t>‘</w:t>
      </w:r>
      <w:r>
        <w:rPr>
          <w:spacing w:val="-1"/>
        </w:rPr>
        <w:t>S</w:t>
      </w:r>
      <w:r>
        <w:t>t</w:t>
      </w:r>
      <w:r>
        <w:rPr>
          <w:spacing w:val="-1"/>
        </w:rPr>
        <w:t>a</w:t>
      </w:r>
      <w:r>
        <w:rPr>
          <w:spacing w:val="-2"/>
        </w:rPr>
        <w:t>t</w:t>
      </w:r>
      <w:r>
        <w:t>eme</w:t>
      </w:r>
      <w:r>
        <w:rPr>
          <w:spacing w:val="-1"/>
        </w:rPr>
        <w:t>n</w:t>
      </w:r>
      <w:r>
        <w:t xml:space="preserve">t of </w:t>
      </w:r>
      <w:r>
        <w:rPr>
          <w:spacing w:val="-3"/>
        </w:rPr>
        <w:t>C</w:t>
      </w:r>
      <w:r>
        <w:t>omp</w:t>
      </w:r>
      <w:r>
        <w:rPr>
          <w:spacing w:val="-3"/>
        </w:rPr>
        <w:t>r</w:t>
      </w:r>
      <w:r>
        <w:t>ehensi</w:t>
      </w:r>
      <w:r>
        <w:rPr>
          <w:spacing w:val="-3"/>
        </w:rPr>
        <w:t>v</w:t>
      </w:r>
      <w:r>
        <w:t xml:space="preserve">e </w:t>
      </w:r>
      <w:r>
        <w:rPr>
          <w:spacing w:val="2"/>
        </w:rPr>
        <w:t>I</w:t>
      </w:r>
      <w:r>
        <w:t>n</w:t>
      </w:r>
      <w:r>
        <w:rPr>
          <w:spacing w:val="-2"/>
        </w:rPr>
        <w:t>c</w:t>
      </w:r>
      <w:r>
        <w:t>ome</w:t>
      </w:r>
      <w:r w:rsidR="00513D55">
        <w:t>’</w:t>
      </w:r>
      <w:r>
        <w:rPr>
          <w:spacing w:val="-1"/>
        </w:rPr>
        <w:t xml:space="preserve"> </w:t>
      </w:r>
      <w:r>
        <w:t xml:space="preserve">under </w:t>
      </w:r>
      <w:r w:rsidR="00513D55">
        <w:t>‘</w:t>
      </w:r>
      <w:r>
        <w:t xml:space="preserve">Claims </w:t>
      </w:r>
      <w:r>
        <w:rPr>
          <w:spacing w:val="-1"/>
        </w:rPr>
        <w:t>e</w:t>
      </w:r>
      <w:r>
        <w:t>xpens</w:t>
      </w:r>
      <w:r>
        <w:rPr>
          <w:spacing w:val="-3"/>
        </w:rPr>
        <w:t>e</w:t>
      </w:r>
      <w:r w:rsidR="00513D55">
        <w:rPr>
          <w:spacing w:val="-3"/>
        </w:rPr>
        <w:t>’</w:t>
      </w:r>
      <w:r>
        <w:t>.</w:t>
      </w:r>
      <w:r>
        <w:rPr>
          <w:spacing w:val="37"/>
        </w:rPr>
        <w:t xml:space="preserve"> </w:t>
      </w:r>
      <w:r>
        <w:rPr>
          <w:spacing w:val="-2"/>
        </w:rPr>
        <w:t>T</w:t>
      </w:r>
      <w:r>
        <w:t>he ef</w:t>
      </w:r>
      <w:r>
        <w:rPr>
          <w:spacing w:val="-3"/>
        </w:rPr>
        <w:t>f</w:t>
      </w:r>
      <w:r>
        <w:t>e</w:t>
      </w:r>
      <w:r>
        <w:rPr>
          <w:spacing w:val="2"/>
        </w:rPr>
        <w:t>c</w:t>
      </w:r>
      <w:r>
        <w:t>t of an a</w:t>
      </w:r>
      <w:r>
        <w:rPr>
          <w:spacing w:val="2"/>
        </w:rPr>
        <w:t>c</w:t>
      </w:r>
      <w:r>
        <w:t>tuarial</w:t>
      </w:r>
      <w:r>
        <w:rPr>
          <w:spacing w:val="-1"/>
        </w:rPr>
        <w:t xml:space="preserve"> </w:t>
      </w:r>
      <w:r>
        <w:t>assessed dec</w:t>
      </w:r>
      <w:r>
        <w:rPr>
          <w:spacing w:val="-3"/>
        </w:rPr>
        <w:t>r</w:t>
      </w:r>
      <w:r>
        <w:t>ease in the outstanding</w:t>
      </w:r>
      <w:r>
        <w:rPr>
          <w:spacing w:val="-1"/>
        </w:rPr>
        <w:t xml:space="preserve"> </w:t>
      </w:r>
      <w:r>
        <w:t>claims</w:t>
      </w:r>
      <w:r>
        <w:rPr>
          <w:spacing w:val="-1"/>
        </w:rPr>
        <w:t xml:space="preserve"> </w:t>
      </w:r>
      <w:r>
        <w:t>liabili</w:t>
      </w:r>
      <w:r>
        <w:rPr>
          <w:spacing w:val="1"/>
        </w:rPr>
        <w:t>t</w:t>
      </w:r>
      <w:r>
        <w:t>y</w:t>
      </w:r>
      <w:r>
        <w:rPr>
          <w:spacing w:val="-1"/>
        </w:rPr>
        <w:t xml:space="preserve"> </w:t>
      </w:r>
      <w:r>
        <w:t>is</w:t>
      </w:r>
      <w:r>
        <w:rPr>
          <w:spacing w:val="-1"/>
        </w:rPr>
        <w:t xml:space="preserve"> </w:t>
      </w:r>
      <w:r>
        <w:t>included</w:t>
      </w:r>
      <w:r>
        <w:rPr>
          <w:spacing w:val="-1"/>
        </w:rPr>
        <w:t xml:space="preserve"> </w:t>
      </w:r>
      <w:r>
        <w:t>in</w:t>
      </w:r>
      <w:r>
        <w:rPr>
          <w:spacing w:val="-1"/>
        </w:rPr>
        <w:t xml:space="preserve"> </w:t>
      </w:r>
      <w:r>
        <w:t>the</w:t>
      </w:r>
      <w:r>
        <w:rPr>
          <w:spacing w:val="-1"/>
        </w:rPr>
        <w:t xml:space="preserve"> </w:t>
      </w:r>
      <w:r w:rsidR="00513D55">
        <w:rPr>
          <w:spacing w:val="-1"/>
        </w:rPr>
        <w:t>‘</w:t>
      </w:r>
      <w:r>
        <w:rPr>
          <w:spacing w:val="-1"/>
        </w:rPr>
        <w:t>S</w:t>
      </w:r>
      <w:r>
        <w:t>t</w:t>
      </w:r>
      <w:r>
        <w:rPr>
          <w:spacing w:val="-1"/>
        </w:rPr>
        <w:t>a</w:t>
      </w:r>
      <w:r>
        <w:rPr>
          <w:spacing w:val="-2"/>
        </w:rPr>
        <w:t>t</w:t>
      </w:r>
      <w:r>
        <w:t>eme</w:t>
      </w:r>
      <w:r>
        <w:rPr>
          <w:spacing w:val="-1"/>
        </w:rPr>
        <w:t>n</w:t>
      </w:r>
      <w:r>
        <w:t>t</w:t>
      </w:r>
      <w:r>
        <w:rPr>
          <w:spacing w:val="-1"/>
        </w:rPr>
        <w:t xml:space="preserve"> </w:t>
      </w:r>
      <w:r>
        <w:t>of</w:t>
      </w:r>
      <w:r>
        <w:rPr>
          <w:spacing w:val="-1"/>
        </w:rPr>
        <w:t xml:space="preserve"> </w:t>
      </w:r>
      <w:r>
        <w:rPr>
          <w:spacing w:val="-3"/>
        </w:rPr>
        <w:t>C</w:t>
      </w:r>
      <w:r>
        <w:t>omp</w:t>
      </w:r>
      <w:r>
        <w:rPr>
          <w:spacing w:val="-3"/>
        </w:rPr>
        <w:t>r</w:t>
      </w:r>
      <w:r>
        <w:t>ehensi</w:t>
      </w:r>
      <w:r>
        <w:rPr>
          <w:spacing w:val="-3"/>
        </w:rPr>
        <w:t>v</w:t>
      </w:r>
      <w:r>
        <w:t>e</w:t>
      </w:r>
      <w:r>
        <w:rPr>
          <w:spacing w:val="-1"/>
        </w:rPr>
        <w:t xml:space="preserve"> </w:t>
      </w:r>
      <w:r>
        <w:rPr>
          <w:spacing w:val="2"/>
        </w:rPr>
        <w:t>I</w:t>
      </w:r>
      <w:r>
        <w:t>n</w:t>
      </w:r>
      <w:r>
        <w:rPr>
          <w:spacing w:val="-2"/>
        </w:rPr>
        <w:t>c</w:t>
      </w:r>
      <w:r>
        <w:t>ome</w:t>
      </w:r>
      <w:r w:rsidR="00513D55">
        <w:t>’</w:t>
      </w:r>
      <w:r>
        <w:t xml:space="preserve"> under </w:t>
      </w:r>
      <w:r w:rsidR="00513D55">
        <w:t>‘</w:t>
      </w:r>
      <w:r>
        <w:rPr>
          <w:spacing w:val="1"/>
        </w:rPr>
        <w:t>G</w:t>
      </w:r>
      <w:r>
        <w:t>ain</w:t>
      </w:r>
      <w:r>
        <w:rPr>
          <w:spacing w:val="-3"/>
        </w:rPr>
        <w:t>s</w:t>
      </w:r>
      <w:r w:rsidR="00513D55">
        <w:rPr>
          <w:spacing w:val="-3"/>
        </w:rPr>
        <w:t>’</w:t>
      </w:r>
      <w:r>
        <w:t>.</w:t>
      </w:r>
    </w:p>
    <w:p w14:paraId="59CFC0B2" w14:textId="186A2B4A" w:rsidR="007D77B6" w:rsidRPr="00DA1E18" w:rsidRDefault="007D77B6" w:rsidP="007D77B6">
      <w:pPr>
        <w:rPr>
          <w:rStyle w:val="Strong"/>
        </w:rPr>
      </w:pPr>
      <w:r w:rsidRPr="00DA1E18">
        <w:rPr>
          <w:rStyle w:val="Strong"/>
        </w:rPr>
        <w:t>(p) Superannuation expense</w:t>
      </w:r>
    </w:p>
    <w:p w14:paraId="7C4BC860" w14:textId="77777777" w:rsidR="007D77B6" w:rsidRDefault="007D77B6" w:rsidP="007D77B6">
      <w:pPr>
        <w:rPr>
          <w:color w:val="000000"/>
        </w:rPr>
      </w:pPr>
      <w:r>
        <w:t>Supe</w:t>
      </w:r>
      <w:r>
        <w:rPr>
          <w:spacing w:val="-2"/>
        </w:rPr>
        <w:t>r</w:t>
      </w:r>
      <w:r>
        <w:t>annu</w:t>
      </w:r>
      <w:r>
        <w:rPr>
          <w:spacing w:val="-1"/>
        </w:rPr>
        <w:t>a</w:t>
      </w:r>
      <w:r>
        <w:t xml:space="preserve">tion </w:t>
      </w:r>
      <w:r>
        <w:rPr>
          <w:spacing w:val="-1"/>
        </w:rPr>
        <w:t>e</w:t>
      </w:r>
      <w:r>
        <w:t xml:space="preserve">xpense is </w:t>
      </w:r>
      <w:r>
        <w:rPr>
          <w:spacing w:val="-3"/>
        </w:rPr>
        <w:t>r</w:t>
      </w:r>
      <w:r>
        <w:t>e</w:t>
      </w:r>
      <w:r>
        <w:rPr>
          <w:spacing w:val="-2"/>
        </w:rPr>
        <w:t>c</w:t>
      </w:r>
      <w:r>
        <w:t>o</w:t>
      </w:r>
      <w:r>
        <w:rPr>
          <w:spacing w:val="-2"/>
        </w:rPr>
        <w:t>g</w:t>
      </w:r>
      <w:r>
        <w:t xml:space="preserve">nised in the </w:t>
      </w:r>
      <w:r>
        <w:rPr>
          <w:spacing w:val="-1"/>
        </w:rPr>
        <w:t>S</w:t>
      </w:r>
      <w:r>
        <w:t>t</w:t>
      </w:r>
      <w:r>
        <w:rPr>
          <w:spacing w:val="-1"/>
        </w:rPr>
        <w:t>a</w:t>
      </w:r>
      <w:r>
        <w:rPr>
          <w:spacing w:val="-2"/>
        </w:rPr>
        <w:t>t</w:t>
      </w:r>
      <w:r>
        <w:t>eme</w:t>
      </w:r>
      <w:r>
        <w:rPr>
          <w:spacing w:val="-1"/>
        </w:rPr>
        <w:t>n</w:t>
      </w:r>
      <w:r>
        <w:t xml:space="preserve">t of </w:t>
      </w:r>
      <w:r>
        <w:rPr>
          <w:spacing w:val="-3"/>
        </w:rPr>
        <w:t>C</w:t>
      </w:r>
      <w:r>
        <w:t>omp</w:t>
      </w:r>
      <w:r>
        <w:rPr>
          <w:spacing w:val="-3"/>
        </w:rPr>
        <w:t>r</w:t>
      </w:r>
      <w:r>
        <w:t>ehensi</w:t>
      </w:r>
      <w:r>
        <w:rPr>
          <w:spacing w:val="-3"/>
        </w:rPr>
        <w:t>v</w:t>
      </w:r>
      <w:r>
        <w:t xml:space="preserve">e </w:t>
      </w:r>
      <w:r>
        <w:rPr>
          <w:spacing w:val="2"/>
        </w:rPr>
        <w:t>I</w:t>
      </w:r>
      <w:r>
        <w:t>n</w:t>
      </w:r>
      <w:r>
        <w:rPr>
          <w:spacing w:val="-2"/>
        </w:rPr>
        <w:t>c</w:t>
      </w:r>
      <w:r>
        <w:t>ome</w:t>
      </w:r>
      <w:r>
        <w:rPr>
          <w:spacing w:val="-1"/>
        </w:rPr>
        <w:t xml:space="preserve"> </w:t>
      </w:r>
      <w:r>
        <w:t>in</w:t>
      </w:r>
      <w:r>
        <w:rPr>
          <w:spacing w:val="-1"/>
        </w:rPr>
        <w:t xml:space="preserve"> </w:t>
      </w:r>
      <w:r>
        <w:t>p</w:t>
      </w:r>
      <w:r>
        <w:rPr>
          <w:spacing w:val="-3"/>
        </w:rPr>
        <w:t>r</w:t>
      </w:r>
      <w:r>
        <w:t>ofit</w:t>
      </w:r>
      <w:r>
        <w:rPr>
          <w:spacing w:val="-1"/>
        </w:rPr>
        <w:t xml:space="preserve"> </w:t>
      </w:r>
      <w:r>
        <w:t>or</w:t>
      </w:r>
      <w:r>
        <w:rPr>
          <w:spacing w:val="-1"/>
        </w:rPr>
        <w:t xml:space="preserve"> </w:t>
      </w:r>
      <w:r>
        <w:t>loss</w:t>
      </w:r>
      <w:r>
        <w:rPr>
          <w:spacing w:val="-1"/>
        </w:rPr>
        <w:t xml:space="preserve"> </w:t>
      </w:r>
      <w:r>
        <w:rPr>
          <w:spacing w:val="-3"/>
        </w:rPr>
        <w:t>f</w:t>
      </w:r>
      <w:r>
        <w:t>or</w:t>
      </w:r>
      <w:r>
        <w:rPr>
          <w:spacing w:val="-1"/>
        </w:rPr>
        <w:t xml:space="preserve"> </w:t>
      </w:r>
      <w:r>
        <w:t>defined</w:t>
      </w:r>
      <w:r>
        <w:rPr>
          <w:spacing w:val="-1"/>
        </w:rPr>
        <w:t xml:space="preserve"> </w:t>
      </w:r>
      <w:r>
        <w:rPr>
          <w:spacing w:val="-2"/>
        </w:rPr>
        <w:t>c</w:t>
      </w:r>
      <w:r>
        <w:t>o</w:t>
      </w:r>
      <w:r>
        <w:rPr>
          <w:spacing w:val="-1"/>
        </w:rPr>
        <w:t>n</w:t>
      </w:r>
      <w:r>
        <w:t>tribution</w:t>
      </w:r>
      <w:r>
        <w:rPr>
          <w:spacing w:val="-1"/>
        </w:rPr>
        <w:t xml:space="preserve"> </w:t>
      </w:r>
      <w:r>
        <w:t>plan</w:t>
      </w:r>
      <w:r>
        <w:rPr>
          <w:spacing w:val="-3"/>
        </w:rPr>
        <w:t>s</w:t>
      </w:r>
      <w:r>
        <w:t>,</w:t>
      </w:r>
      <w:r>
        <w:rPr>
          <w:spacing w:val="-1"/>
        </w:rPr>
        <w:t xml:space="preserve"> </w:t>
      </w:r>
      <w:r>
        <w:t>including</w:t>
      </w:r>
      <w:r>
        <w:rPr>
          <w:spacing w:val="-1"/>
        </w:rPr>
        <w:t xml:space="preserve"> </w:t>
      </w:r>
      <w:r>
        <w:t>the</w:t>
      </w:r>
      <w:r>
        <w:rPr>
          <w:spacing w:val="-1"/>
        </w:rPr>
        <w:t xml:space="preserve"> </w:t>
      </w:r>
      <w:r>
        <w:rPr>
          <w:spacing w:val="-2"/>
        </w:rPr>
        <w:t>c</w:t>
      </w:r>
      <w:r>
        <w:t>oncur</w:t>
      </w:r>
      <w:r>
        <w:rPr>
          <w:spacing w:val="-3"/>
        </w:rPr>
        <w:t>r</w:t>
      </w:r>
      <w:r>
        <w:t>e</w:t>
      </w:r>
      <w:r>
        <w:rPr>
          <w:spacing w:val="-1"/>
        </w:rPr>
        <w:t>n</w:t>
      </w:r>
      <w:r>
        <w:t>t p</w:t>
      </w:r>
      <w:r>
        <w:rPr>
          <w:spacing w:val="-2"/>
        </w:rPr>
        <w:t>a</w:t>
      </w:r>
      <w:r>
        <w:t>yme</w:t>
      </w:r>
      <w:r>
        <w:rPr>
          <w:spacing w:val="-1"/>
        </w:rPr>
        <w:t>n</w:t>
      </w:r>
      <w:r>
        <w:t>t of empl</w:t>
      </w:r>
      <w:r>
        <w:rPr>
          <w:spacing w:val="-2"/>
        </w:rPr>
        <w:t>o</w:t>
      </w:r>
      <w:r>
        <w:rPr>
          <w:spacing w:val="-3"/>
        </w:rPr>
        <w:t>y</w:t>
      </w:r>
      <w:r>
        <w:t xml:space="preserve">er </w:t>
      </w:r>
      <w:r>
        <w:rPr>
          <w:spacing w:val="-2"/>
        </w:rPr>
        <w:t>c</w:t>
      </w:r>
      <w:r>
        <w:t>o</w:t>
      </w:r>
      <w:r>
        <w:rPr>
          <w:spacing w:val="-1"/>
        </w:rPr>
        <w:t>n</w:t>
      </w:r>
      <w:r>
        <w:t xml:space="preserve">tributions </w:t>
      </w:r>
      <w:r>
        <w:rPr>
          <w:spacing w:val="-2"/>
        </w:rPr>
        <w:t>t</w:t>
      </w:r>
      <w:r>
        <w:t>o the GSS schem</w:t>
      </w:r>
      <w:r>
        <w:rPr>
          <w:spacing w:val="-3"/>
        </w:rPr>
        <w:t>e</w:t>
      </w:r>
      <w:r>
        <w:t xml:space="preserve">, as and when the </w:t>
      </w:r>
      <w:r>
        <w:rPr>
          <w:spacing w:val="-2"/>
        </w:rPr>
        <w:t>c</w:t>
      </w:r>
      <w:r>
        <w:t>o</w:t>
      </w:r>
      <w:r>
        <w:rPr>
          <w:spacing w:val="-1"/>
        </w:rPr>
        <w:t>n</w:t>
      </w:r>
      <w:r>
        <w:t>tributions fall du</w:t>
      </w:r>
      <w:r>
        <w:rPr>
          <w:spacing w:val="-3"/>
        </w:rPr>
        <w:t>e</w:t>
      </w:r>
      <w:r>
        <w:t>.</w:t>
      </w:r>
    </w:p>
    <w:p w14:paraId="00BDB994" w14:textId="1F7381F7" w:rsidR="007D77B6" w:rsidRDefault="007D77B6" w:rsidP="007D77B6">
      <w:pPr>
        <w:rPr>
          <w:color w:val="000000"/>
        </w:rPr>
      </w:pPr>
      <w:r>
        <w:rPr>
          <w:spacing w:val="-7"/>
        </w:rPr>
        <w:t>F</w:t>
      </w:r>
      <w:r>
        <w:t>or</w:t>
      </w:r>
      <w:r>
        <w:rPr>
          <w:spacing w:val="-2"/>
        </w:rPr>
        <w:t xml:space="preserve"> </w:t>
      </w:r>
      <w:r>
        <w:t>defined</w:t>
      </w:r>
      <w:r>
        <w:rPr>
          <w:spacing w:val="-1"/>
        </w:rPr>
        <w:t xml:space="preserve"> </w:t>
      </w:r>
      <w:r>
        <w:t>benefit</w:t>
      </w:r>
      <w:r>
        <w:rPr>
          <w:spacing w:val="-2"/>
        </w:rPr>
        <w:t xml:space="preserve"> </w:t>
      </w:r>
      <w:r>
        <w:t>plans</w:t>
      </w:r>
      <w:r>
        <w:rPr>
          <w:spacing w:val="-1"/>
        </w:rPr>
        <w:t xml:space="preserve"> </w:t>
      </w:r>
      <w:r>
        <w:t>(the</w:t>
      </w:r>
      <w:r>
        <w:rPr>
          <w:spacing w:val="-1"/>
        </w:rPr>
        <w:t xml:space="preserve"> </w:t>
      </w:r>
      <w:r>
        <w:rPr>
          <w:spacing w:val="-6"/>
        </w:rPr>
        <w:t>P</w:t>
      </w:r>
      <w:r>
        <w:t>ension</w:t>
      </w:r>
      <w:r>
        <w:rPr>
          <w:spacing w:val="-2"/>
        </w:rPr>
        <w:t xml:space="preserve"> </w:t>
      </w:r>
      <w:r>
        <w:rPr>
          <w:spacing w:val="1"/>
        </w:rPr>
        <w:t>S</w:t>
      </w:r>
      <w:r>
        <w:t>cheme</w:t>
      </w:r>
      <w:r>
        <w:rPr>
          <w:spacing w:val="-1"/>
        </w:rPr>
        <w:t xml:space="preserve"> </w:t>
      </w:r>
      <w:r>
        <w:t>and</w:t>
      </w:r>
      <w:r>
        <w:rPr>
          <w:spacing w:val="-1"/>
        </w:rPr>
        <w:t xml:space="preserve"> </w:t>
      </w:r>
      <w:r>
        <w:t>the</w:t>
      </w:r>
      <w:r>
        <w:rPr>
          <w:spacing w:val="-2"/>
        </w:rPr>
        <w:t xml:space="preserve"> </w:t>
      </w:r>
      <w:r>
        <w:t>p</w:t>
      </w:r>
      <w:r>
        <w:rPr>
          <w:spacing w:val="-3"/>
        </w:rPr>
        <w:t>r</w:t>
      </w:r>
      <w:r>
        <w:rPr>
          <w:spacing w:val="6"/>
        </w:rPr>
        <w:t>e</w:t>
      </w:r>
      <w:r>
        <w:t>-t</w:t>
      </w:r>
      <w:r>
        <w:rPr>
          <w:spacing w:val="-2"/>
        </w:rPr>
        <w:t>r</w:t>
      </w:r>
      <w:r>
        <w:t>ans</w:t>
      </w:r>
      <w:r>
        <w:rPr>
          <w:spacing w:val="-3"/>
        </w:rPr>
        <w:t>f</w:t>
      </w:r>
      <w:r>
        <w:t>er</w:t>
      </w:r>
      <w:r>
        <w:rPr>
          <w:spacing w:val="-1"/>
        </w:rPr>
        <w:t xml:space="preserve"> </w:t>
      </w:r>
      <w:r>
        <w:rPr>
          <w:spacing w:val="-2"/>
        </w:rPr>
        <w:t>c</w:t>
      </w:r>
      <w:r>
        <w:t>ompone</w:t>
      </w:r>
      <w:r>
        <w:rPr>
          <w:spacing w:val="-1"/>
        </w:rPr>
        <w:t>n</w:t>
      </w:r>
      <w:r>
        <w:t>t of</w:t>
      </w:r>
      <w:r>
        <w:rPr>
          <w:spacing w:val="-2"/>
        </w:rPr>
        <w:t xml:space="preserve"> </w:t>
      </w:r>
      <w:r>
        <w:t>the</w:t>
      </w:r>
      <w:r>
        <w:rPr>
          <w:spacing w:val="-1"/>
        </w:rPr>
        <w:t xml:space="preserve"> </w:t>
      </w:r>
      <w:r>
        <w:t>GSS),</w:t>
      </w:r>
      <w:r>
        <w:rPr>
          <w:spacing w:val="-1"/>
        </w:rPr>
        <w:t xml:space="preserve"> </w:t>
      </w:r>
      <w:r>
        <w:t>changes</w:t>
      </w:r>
      <w:r>
        <w:rPr>
          <w:spacing w:val="-1"/>
        </w:rPr>
        <w:t xml:space="preserve"> </w:t>
      </w:r>
      <w:r>
        <w:t>in</w:t>
      </w:r>
      <w:r>
        <w:rPr>
          <w:spacing w:val="-2"/>
        </w:rPr>
        <w:t xml:space="preserve"> </w:t>
      </w:r>
      <w:r>
        <w:t>the</w:t>
      </w:r>
      <w:r>
        <w:rPr>
          <w:spacing w:val="-1"/>
        </w:rPr>
        <w:t xml:space="preserve"> </w:t>
      </w:r>
      <w:r>
        <w:t>defined</w:t>
      </w:r>
      <w:r>
        <w:rPr>
          <w:spacing w:val="-1"/>
        </w:rPr>
        <w:t xml:space="preserve"> </w:t>
      </w:r>
      <w:r>
        <w:t>benefit</w:t>
      </w:r>
      <w:r>
        <w:rPr>
          <w:spacing w:val="-1"/>
        </w:rPr>
        <w:t xml:space="preserve"> </w:t>
      </w:r>
      <w:r>
        <w:t>oblig</w:t>
      </w:r>
      <w:r>
        <w:rPr>
          <w:spacing w:val="-1"/>
        </w:rPr>
        <w:t>a</w:t>
      </w:r>
      <w:r>
        <w:t>tion</w:t>
      </w:r>
      <w:r>
        <w:rPr>
          <w:spacing w:val="-2"/>
        </w:rPr>
        <w:t xml:space="preserve"> </w:t>
      </w:r>
      <w:r>
        <w:t>a</w:t>
      </w:r>
      <w:r>
        <w:rPr>
          <w:spacing w:val="-3"/>
        </w:rPr>
        <w:t>r</w:t>
      </w:r>
      <w:r>
        <w:t>e</w:t>
      </w:r>
      <w:r>
        <w:rPr>
          <w:spacing w:val="-1"/>
        </w:rPr>
        <w:t xml:space="preserve"> </w:t>
      </w:r>
      <w:r>
        <w:rPr>
          <w:spacing w:val="-3"/>
        </w:rPr>
        <w:t>r</w:t>
      </w:r>
      <w:r>
        <w:t>e</w:t>
      </w:r>
      <w:r>
        <w:rPr>
          <w:spacing w:val="-2"/>
        </w:rPr>
        <w:t>c</w:t>
      </w:r>
      <w:r>
        <w:t>o</w:t>
      </w:r>
      <w:r>
        <w:rPr>
          <w:spacing w:val="-2"/>
        </w:rPr>
        <w:t>g</w:t>
      </w:r>
      <w:r>
        <w:t>nised</w:t>
      </w:r>
      <w:r>
        <w:rPr>
          <w:spacing w:val="-1"/>
        </w:rPr>
        <w:t xml:space="preserve"> </w:t>
      </w:r>
      <w:r>
        <w:t>in</w:t>
      </w:r>
      <w:r>
        <w:rPr>
          <w:color w:val="000000"/>
        </w:rPr>
        <w:t xml:space="preserve"> </w:t>
      </w:r>
      <w:r>
        <w:t>the</w:t>
      </w:r>
      <w:r>
        <w:rPr>
          <w:spacing w:val="-1"/>
        </w:rPr>
        <w:t xml:space="preserve"> S</w:t>
      </w:r>
      <w:r>
        <w:t>t</w:t>
      </w:r>
      <w:r>
        <w:rPr>
          <w:spacing w:val="-1"/>
        </w:rPr>
        <w:t>a</w:t>
      </w:r>
      <w:r>
        <w:rPr>
          <w:spacing w:val="-2"/>
        </w:rPr>
        <w:t>t</w:t>
      </w:r>
      <w:r>
        <w:t>eme</w:t>
      </w:r>
      <w:r>
        <w:rPr>
          <w:spacing w:val="-1"/>
        </w:rPr>
        <w:t>n</w:t>
      </w:r>
      <w:r>
        <w:t xml:space="preserve">t of </w:t>
      </w:r>
      <w:r>
        <w:rPr>
          <w:spacing w:val="-3"/>
        </w:rPr>
        <w:t>C</w:t>
      </w:r>
      <w:r>
        <w:t>omp</w:t>
      </w:r>
      <w:r>
        <w:rPr>
          <w:spacing w:val="-3"/>
        </w:rPr>
        <w:t>r</w:t>
      </w:r>
      <w:r>
        <w:t>ehensi</w:t>
      </w:r>
      <w:r>
        <w:rPr>
          <w:spacing w:val="-3"/>
        </w:rPr>
        <w:t>v</w:t>
      </w:r>
      <w:r>
        <w:t>e</w:t>
      </w:r>
      <w:r>
        <w:rPr>
          <w:spacing w:val="-1"/>
        </w:rPr>
        <w:t xml:space="preserve"> </w:t>
      </w:r>
      <w:r>
        <w:rPr>
          <w:spacing w:val="2"/>
        </w:rPr>
        <w:t>I</w:t>
      </w:r>
      <w:r>
        <w:t>n</w:t>
      </w:r>
      <w:r>
        <w:rPr>
          <w:spacing w:val="-2"/>
        </w:rPr>
        <w:t>c</w:t>
      </w:r>
      <w:r>
        <w:t>ome either in p</w:t>
      </w:r>
      <w:r>
        <w:rPr>
          <w:spacing w:val="-3"/>
        </w:rPr>
        <w:t>r</w:t>
      </w:r>
      <w:r>
        <w:t>ofit</w:t>
      </w:r>
      <w:r>
        <w:rPr>
          <w:spacing w:val="-1"/>
        </w:rPr>
        <w:t xml:space="preserve"> </w:t>
      </w:r>
      <w:r>
        <w:t>or los</w:t>
      </w:r>
      <w:r>
        <w:rPr>
          <w:spacing w:val="-3"/>
        </w:rPr>
        <w:t>s</w:t>
      </w:r>
      <w:r>
        <w:t>, o</w:t>
      </w:r>
      <w:r>
        <w:rPr>
          <w:spacing w:val="-12"/>
        </w:rPr>
        <w:t>r</w:t>
      </w:r>
      <w:r>
        <w:t>,</w:t>
      </w:r>
      <w:r>
        <w:rPr>
          <w:spacing w:val="-1"/>
        </w:rPr>
        <w:t xml:space="preserve"> </w:t>
      </w:r>
      <w:r>
        <w:t xml:space="preserve">other </w:t>
      </w:r>
      <w:r>
        <w:rPr>
          <w:spacing w:val="-2"/>
        </w:rPr>
        <w:t>c</w:t>
      </w:r>
      <w:r>
        <w:t>omp</w:t>
      </w:r>
      <w:r>
        <w:rPr>
          <w:spacing w:val="-3"/>
        </w:rPr>
        <w:t>r</w:t>
      </w:r>
      <w:r>
        <w:t>ehensi</w:t>
      </w:r>
      <w:r>
        <w:rPr>
          <w:spacing w:val="-3"/>
        </w:rPr>
        <w:t>v</w:t>
      </w:r>
      <w:r>
        <w:t>e in</w:t>
      </w:r>
      <w:r>
        <w:rPr>
          <w:spacing w:val="-2"/>
        </w:rPr>
        <w:t>c</w:t>
      </w:r>
      <w:r>
        <w:t xml:space="preserve">ome as </w:t>
      </w:r>
      <w:r>
        <w:rPr>
          <w:spacing w:val="-3"/>
        </w:rPr>
        <w:t>f</w:t>
      </w:r>
      <w:r>
        <w:t>oll</w:t>
      </w:r>
      <w:r>
        <w:rPr>
          <w:spacing w:val="-2"/>
        </w:rPr>
        <w:t>ow</w:t>
      </w:r>
      <w:r>
        <w:t>s:</w:t>
      </w:r>
    </w:p>
    <w:p w14:paraId="4FA511DD" w14:textId="77777777" w:rsidR="007D77B6" w:rsidRPr="00DA1E18" w:rsidRDefault="007D77B6" w:rsidP="007D77B6">
      <w:pPr>
        <w:rPr>
          <w:rStyle w:val="Strong"/>
          <w:i/>
        </w:rPr>
      </w:pPr>
      <w:r w:rsidRPr="00DA1E18">
        <w:rPr>
          <w:rStyle w:val="Strong"/>
          <w:i/>
        </w:rPr>
        <w:t>Profit or loss:</w:t>
      </w:r>
    </w:p>
    <w:p w14:paraId="0AAB2311" w14:textId="77777777" w:rsidR="007D77B6" w:rsidRDefault="007D77B6" w:rsidP="007D77B6">
      <w:pPr>
        <w:pStyle w:val="BulletListLevel1"/>
        <w:rPr>
          <w:color w:val="000000"/>
        </w:rPr>
      </w:pPr>
      <w:r>
        <w:t>cur</w:t>
      </w:r>
      <w:r>
        <w:rPr>
          <w:spacing w:val="-3"/>
        </w:rPr>
        <w:t>r</w:t>
      </w:r>
      <w:r>
        <w:t>e</w:t>
      </w:r>
      <w:r>
        <w:rPr>
          <w:spacing w:val="-1"/>
        </w:rPr>
        <w:t>n</w:t>
      </w:r>
      <w:r>
        <w:t>t se</w:t>
      </w:r>
      <w:r>
        <w:rPr>
          <w:spacing w:val="5"/>
        </w:rPr>
        <w:t>r</w:t>
      </w:r>
      <w:r>
        <w:t>vi</w:t>
      </w:r>
      <w:r>
        <w:rPr>
          <w:spacing w:val="-2"/>
        </w:rPr>
        <w:t>c</w:t>
      </w:r>
      <w:r>
        <w:t xml:space="preserve">e </w:t>
      </w:r>
      <w:r>
        <w:rPr>
          <w:spacing w:val="-2"/>
        </w:rPr>
        <w:t>c</w:t>
      </w:r>
      <w:r>
        <w:t>ost;</w:t>
      </w:r>
    </w:p>
    <w:p w14:paraId="626D01E4" w14:textId="77777777" w:rsidR="007D77B6" w:rsidRDefault="007D77B6" w:rsidP="007D77B6">
      <w:pPr>
        <w:pStyle w:val="BulletListLevel1"/>
        <w:rPr>
          <w:color w:val="000000"/>
        </w:rPr>
      </w:pPr>
      <w:r>
        <w:t>past se</w:t>
      </w:r>
      <w:r>
        <w:rPr>
          <w:spacing w:val="5"/>
        </w:rPr>
        <w:t>r</w:t>
      </w:r>
      <w:r>
        <w:t>vi</w:t>
      </w:r>
      <w:r>
        <w:rPr>
          <w:spacing w:val="-2"/>
        </w:rPr>
        <w:t>c</w:t>
      </w:r>
      <w:r>
        <w:t xml:space="preserve">e </w:t>
      </w:r>
      <w:r>
        <w:rPr>
          <w:spacing w:val="-2"/>
        </w:rPr>
        <w:t>c</w:t>
      </w:r>
      <w:r>
        <w:t>ost; and</w:t>
      </w:r>
    </w:p>
    <w:p w14:paraId="76568C97" w14:textId="2C5F8208" w:rsidR="007D77B6" w:rsidRPr="007D77B6" w:rsidRDefault="007D77B6" w:rsidP="007D77B6">
      <w:pPr>
        <w:pStyle w:val="BulletListLevel1"/>
        <w:rPr>
          <w:color w:val="000000"/>
        </w:rPr>
      </w:pPr>
      <w:r>
        <w:t>i</w:t>
      </w:r>
      <w:r>
        <w:rPr>
          <w:spacing w:val="-1"/>
        </w:rPr>
        <w:t>n</w:t>
      </w:r>
      <w:r>
        <w:rPr>
          <w:spacing w:val="-2"/>
        </w:rPr>
        <w:t>t</w:t>
      </w:r>
      <w:r>
        <w:t>e</w:t>
      </w:r>
      <w:r>
        <w:rPr>
          <w:spacing w:val="-3"/>
        </w:rPr>
        <w:t>r</w:t>
      </w:r>
      <w:r>
        <w:t xml:space="preserve">est </w:t>
      </w:r>
      <w:r>
        <w:rPr>
          <w:spacing w:val="-2"/>
        </w:rPr>
        <w:t>c</w:t>
      </w:r>
      <w:r>
        <w:t>ost</w:t>
      </w:r>
      <w:r w:rsidR="0025648F">
        <w:t>.</w:t>
      </w:r>
    </w:p>
    <w:p w14:paraId="05250F64" w14:textId="01D01F7F" w:rsidR="007D77B6" w:rsidRPr="00DA1E18" w:rsidRDefault="007D77B6" w:rsidP="007D77B6">
      <w:pPr>
        <w:rPr>
          <w:rStyle w:val="Strong"/>
          <w:i/>
        </w:rPr>
      </w:pPr>
      <w:r w:rsidRPr="00DA1E18">
        <w:rPr>
          <w:rStyle w:val="Strong"/>
          <w:i/>
        </w:rPr>
        <w:t>other comprehensive income:</w:t>
      </w:r>
    </w:p>
    <w:p w14:paraId="27CD4598" w14:textId="670C2E04" w:rsidR="007D77B6" w:rsidRPr="007D77B6" w:rsidRDefault="007D77B6" w:rsidP="007D77B6">
      <w:pPr>
        <w:pStyle w:val="BulletListLevel1"/>
        <w:rPr>
          <w:color w:val="000000"/>
        </w:rPr>
      </w:pPr>
      <w:r>
        <w:t>a</w:t>
      </w:r>
      <w:r>
        <w:rPr>
          <w:spacing w:val="2"/>
        </w:rPr>
        <w:t>c</w:t>
      </w:r>
      <w:r>
        <w:t>tuarial gains and losses</w:t>
      </w:r>
      <w:r w:rsidR="0025648F">
        <w:t>.</w:t>
      </w:r>
    </w:p>
    <w:p w14:paraId="0778C155" w14:textId="07A7990A" w:rsidR="007D77B6" w:rsidRPr="00DA1E18" w:rsidRDefault="007D77B6" w:rsidP="007D77B6">
      <w:pPr>
        <w:rPr>
          <w:rStyle w:val="Strong"/>
        </w:rPr>
      </w:pPr>
      <w:r w:rsidRPr="00DA1E18">
        <w:rPr>
          <w:rStyle w:val="Strong"/>
        </w:rPr>
        <w:t>(q) Comparative figures</w:t>
      </w:r>
    </w:p>
    <w:p w14:paraId="3E196429" w14:textId="5318E3D2" w:rsidR="007D77B6" w:rsidRPr="007D77B6" w:rsidRDefault="007D77B6" w:rsidP="007D77B6">
      <w:pPr>
        <w:rPr>
          <w:color w:val="000000"/>
        </w:rPr>
      </w:pPr>
      <w:r>
        <w:rPr>
          <w:spacing w:val="-3"/>
        </w:rPr>
        <w:t>C</w:t>
      </w:r>
      <w:r>
        <w:t>ompa</w:t>
      </w:r>
      <w:r>
        <w:rPr>
          <w:spacing w:val="-2"/>
        </w:rPr>
        <w:t>r</w:t>
      </w:r>
      <w:r>
        <w:rPr>
          <w:spacing w:val="-1"/>
        </w:rPr>
        <w:t>a</w:t>
      </w:r>
      <w:r>
        <w:t>ti</w:t>
      </w:r>
      <w:r>
        <w:rPr>
          <w:spacing w:val="-3"/>
        </w:rPr>
        <w:t>v</w:t>
      </w:r>
      <w:r>
        <w:t>e</w:t>
      </w:r>
      <w:r>
        <w:rPr>
          <w:spacing w:val="-2"/>
        </w:rPr>
        <w:t xml:space="preserve"> </w:t>
      </w:r>
      <w:r>
        <w:t>figu</w:t>
      </w:r>
      <w:r>
        <w:rPr>
          <w:spacing w:val="-3"/>
        </w:rPr>
        <w:t>r</w:t>
      </w:r>
      <w:r>
        <w:t>es</w:t>
      </w:r>
      <w:r>
        <w:rPr>
          <w:spacing w:val="-2"/>
        </w:rPr>
        <w:t xml:space="preserve"> </w:t>
      </w:r>
      <w:r>
        <w:t>a</w:t>
      </w:r>
      <w:r>
        <w:rPr>
          <w:spacing w:val="-3"/>
        </w:rPr>
        <w:t>re</w:t>
      </w:r>
      <w:r>
        <w:t>,</w:t>
      </w:r>
      <w:r>
        <w:rPr>
          <w:spacing w:val="-1"/>
        </w:rPr>
        <w:t xml:space="preserve"> </w:t>
      </w:r>
      <w:r>
        <w:t>whe</w:t>
      </w:r>
      <w:r>
        <w:rPr>
          <w:spacing w:val="-3"/>
        </w:rPr>
        <w:t>r</w:t>
      </w:r>
      <w:r>
        <w:t>e</w:t>
      </w:r>
      <w:r>
        <w:rPr>
          <w:spacing w:val="-2"/>
        </w:rPr>
        <w:t xml:space="preserve"> </w:t>
      </w:r>
      <w:r>
        <w:t>app</w:t>
      </w:r>
      <w:r>
        <w:rPr>
          <w:spacing w:val="-3"/>
        </w:rPr>
        <w:t>r</w:t>
      </w:r>
      <w:r>
        <w:t>opri</w:t>
      </w:r>
      <w:r>
        <w:rPr>
          <w:spacing w:val="-1"/>
        </w:rPr>
        <w:t>a</w:t>
      </w:r>
      <w:r>
        <w:rPr>
          <w:spacing w:val="-2"/>
        </w:rPr>
        <w:t>t</w:t>
      </w:r>
      <w:r>
        <w:rPr>
          <w:spacing w:val="-3"/>
        </w:rPr>
        <w:t>e</w:t>
      </w:r>
      <w:r>
        <w:t>,</w:t>
      </w:r>
      <w:r>
        <w:rPr>
          <w:spacing w:val="-1"/>
        </w:rPr>
        <w:t xml:space="preserve"> </w:t>
      </w:r>
      <w:r>
        <w:rPr>
          <w:spacing w:val="-3"/>
        </w:rPr>
        <w:t>r</w:t>
      </w:r>
      <w:r>
        <w:t>eclassified</w:t>
      </w:r>
      <w:r>
        <w:rPr>
          <w:spacing w:val="-2"/>
        </w:rPr>
        <w:t xml:space="preserve"> t</w:t>
      </w:r>
      <w:r>
        <w:t>o</w:t>
      </w:r>
      <w:r>
        <w:rPr>
          <w:spacing w:val="-1"/>
        </w:rPr>
        <w:t xml:space="preserve"> </w:t>
      </w:r>
      <w:r>
        <w:t>be</w:t>
      </w:r>
      <w:r>
        <w:rPr>
          <w:spacing w:val="-2"/>
        </w:rPr>
        <w:t xml:space="preserve"> c</w:t>
      </w:r>
      <w:r>
        <w:t>ompa</w:t>
      </w:r>
      <w:r>
        <w:rPr>
          <w:spacing w:val="-2"/>
        </w:rPr>
        <w:t>r</w:t>
      </w:r>
      <w:r>
        <w:t>able</w:t>
      </w:r>
      <w:r>
        <w:rPr>
          <w:spacing w:val="-1"/>
        </w:rPr>
        <w:t xml:space="preserve"> </w:t>
      </w:r>
      <w:r>
        <w:t>with the</w:t>
      </w:r>
      <w:r>
        <w:rPr>
          <w:spacing w:val="-2"/>
        </w:rPr>
        <w:t xml:space="preserve"> </w:t>
      </w:r>
      <w:r>
        <w:t>figu</w:t>
      </w:r>
      <w:r>
        <w:rPr>
          <w:spacing w:val="-3"/>
        </w:rPr>
        <w:t>r</w:t>
      </w:r>
      <w:r>
        <w:t>es</w:t>
      </w:r>
      <w:r>
        <w:rPr>
          <w:spacing w:val="-2"/>
        </w:rPr>
        <w:t xml:space="preserve"> </w:t>
      </w:r>
      <w:r>
        <w:t>p</w:t>
      </w:r>
      <w:r>
        <w:rPr>
          <w:spacing w:val="-3"/>
        </w:rPr>
        <w:t>r</w:t>
      </w:r>
      <w:r>
        <w:t>ese</w:t>
      </w:r>
      <w:r>
        <w:rPr>
          <w:spacing w:val="-1"/>
        </w:rPr>
        <w:t>n</w:t>
      </w:r>
      <w:r>
        <w:rPr>
          <w:spacing w:val="-2"/>
        </w:rPr>
        <w:t>t</w:t>
      </w:r>
      <w:r>
        <w:t>ed</w:t>
      </w:r>
      <w:r>
        <w:rPr>
          <w:spacing w:val="-2"/>
        </w:rPr>
        <w:t xml:space="preserve"> </w:t>
      </w:r>
      <w:r>
        <w:t>in</w:t>
      </w:r>
      <w:r>
        <w:rPr>
          <w:spacing w:val="-1"/>
        </w:rPr>
        <w:t xml:space="preserve"> </w:t>
      </w:r>
      <w:r>
        <w:t>the</w:t>
      </w:r>
      <w:r>
        <w:rPr>
          <w:spacing w:val="-2"/>
        </w:rPr>
        <w:t xml:space="preserve"> </w:t>
      </w:r>
      <w:r>
        <w:t>cur</w:t>
      </w:r>
      <w:r>
        <w:rPr>
          <w:spacing w:val="-3"/>
        </w:rPr>
        <w:t>r</w:t>
      </w:r>
      <w:r>
        <w:t>e</w:t>
      </w:r>
      <w:r>
        <w:rPr>
          <w:spacing w:val="-1"/>
        </w:rPr>
        <w:t>n</w:t>
      </w:r>
      <w:r>
        <w:t>t</w:t>
      </w:r>
      <w:r>
        <w:rPr>
          <w:spacing w:val="-2"/>
        </w:rPr>
        <w:t xml:space="preserve"> </w:t>
      </w:r>
      <w:r>
        <w:t>financial</w:t>
      </w:r>
      <w:r>
        <w:rPr>
          <w:spacing w:val="-2"/>
        </w:rPr>
        <w:t xml:space="preserve"> </w:t>
      </w:r>
      <w:r>
        <w:rPr>
          <w:spacing w:val="-3"/>
        </w:rPr>
        <w:t>y</w:t>
      </w:r>
      <w:r>
        <w:t>ea</w:t>
      </w:r>
      <w:r>
        <w:rPr>
          <w:spacing w:val="-12"/>
        </w:rPr>
        <w:t>r</w:t>
      </w:r>
      <w:r>
        <w:t>.</w:t>
      </w:r>
    </w:p>
    <w:p w14:paraId="5FC04561" w14:textId="7CE8DF74" w:rsidR="007D77B6" w:rsidRPr="00DA1E18" w:rsidRDefault="007D77B6" w:rsidP="007D77B6">
      <w:pPr>
        <w:rPr>
          <w:rStyle w:val="Strong"/>
        </w:rPr>
      </w:pPr>
      <w:r w:rsidRPr="00DA1E18">
        <w:rPr>
          <w:rStyle w:val="Strong"/>
        </w:rPr>
        <w:t>(r) Assets and services received free of charge or for nominal cost</w:t>
      </w:r>
    </w:p>
    <w:p w14:paraId="256FFD54" w14:textId="57AE1833" w:rsidR="007D77B6" w:rsidRDefault="007D77B6" w:rsidP="007D77B6">
      <w:pPr>
        <w:rPr>
          <w:color w:val="000000"/>
        </w:rPr>
      </w:pPr>
      <w:r>
        <w:rPr>
          <w:spacing w:val="-2"/>
        </w:rPr>
        <w:t>A</w:t>
      </w:r>
      <w:r>
        <w:t>ssets or se</w:t>
      </w:r>
      <w:r>
        <w:rPr>
          <w:spacing w:val="5"/>
        </w:rPr>
        <w:t>r</w:t>
      </w:r>
      <w:r>
        <w:t>vi</w:t>
      </w:r>
      <w:r>
        <w:rPr>
          <w:spacing w:val="-2"/>
        </w:rPr>
        <w:t>c</w:t>
      </w:r>
      <w:r>
        <w:t xml:space="preserve">es </w:t>
      </w:r>
      <w:r>
        <w:rPr>
          <w:spacing w:val="-3"/>
        </w:rPr>
        <w:t>r</w:t>
      </w:r>
      <w:r>
        <w:t>e</w:t>
      </w:r>
      <w:r>
        <w:rPr>
          <w:spacing w:val="-2"/>
        </w:rPr>
        <w:t>c</w:t>
      </w:r>
      <w:r>
        <w:t>ei</w:t>
      </w:r>
      <w:r>
        <w:rPr>
          <w:spacing w:val="-3"/>
        </w:rPr>
        <w:t>v</w:t>
      </w:r>
      <w:r>
        <w:t>ed f</w:t>
      </w:r>
      <w:r>
        <w:rPr>
          <w:spacing w:val="-3"/>
        </w:rPr>
        <w:t>r</w:t>
      </w:r>
      <w:r>
        <w:t>ee of cha</w:t>
      </w:r>
      <w:r>
        <w:rPr>
          <w:spacing w:val="-2"/>
        </w:rPr>
        <w:t>r</w:t>
      </w:r>
      <w:r>
        <w:t xml:space="preserve">ge or </w:t>
      </w:r>
      <w:r>
        <w:rPr>
          <w:spacing w:val="-3"/>
        </w:rPr>
        <w:t>f</w:t>
      </w:r>
      <w:r>
        <w:t xml:space="preserve">or nominal </w:t>
      </w:r>
      <w:r>
        <w:rPr>
          <w:spacing w:val="-2"/>
        </w:rPr>
        <w:t>c</w:t>
      </w:r>
      <w:r>
        <w:t>os</w:t>
      </w:r>
      <w:r>
        <w:rPr>
          <w:spacing w:val="-1"/>
        </w:rPr>
        <w:t>t</w:t>
      </w:r>
      <w:r>
        <w:t>, th</w:t>
      </w:r>
      <w:r>
        <w:rPr>
          <w:spacing w:val="-1"/>
        </w:rPr>
        <w:t>a</w:t>
      </w:r>
      <w:r>
        <w:t xml:space="preserve">t the </w:t>
      </w:r>
      <w:r>
        <w:rPr>
          <w:spacing w:val="-3"/>
        </w:rPr>
        <w:t>A</w:t>
      </w:r>
      <w:r>
        <w:t>uthori</w:t>
      </w:r>
      <w:r>
        <w:rPr>
          <w:spacing w:val="1"/>
        </w:rPr>
        <w:t>t</w:t>
      </w:r>
      <w:r>
        <w:t xml:space="preserve">y </w:t>
      </w:r>
      <w:r>
        <w:rPr>
          <w:spacing w:val="-3"/>
        </w:rPr>
        <w:t>w</w:t>
      </w:r>
      <w:r>
        <w:t>ould othe</w:t>
      </w:r>
      <w:r>
        <w:rPr>
          <w:spacing w:val="5"/>
        </w:rPr>
        <w:t>r</w:t>
      </w:r>
      <w:r>
        <w:t>wise pu</w:t>
      </w:r>
      <w:r>
        <w:rPr>
          <w:spacing w:val="-3"/>
        </w:rPr>
        <w:t>r</w:t>
      </w:r>
      <w:r>
        <w:t>chase if not don</w:t>
      </w:r>
      <w:r>
        <w:rPr>
          <w:spacing w:val="-1"/>
        </w:rPr>
        <w:t>a</w:t>
      </w:r>
      <w:r>
        <w:rPr>
          <w:spacing w:val="-2"/>
        </w:rPr>
        <w:t>t</w:t>
      </w:r>
      <w:r>
        <w:t>e</w:t>
      </w:r>
      <w:r>
        <w:rPr>
          <w:spacing w:val="-3"/>
        </w:rPr>
        <w:t>d</w:t>
      </w:r>
      <w:r>
        <w:t>, a</w:t>
      </w:r>
      <w:r>
        <w:rPr>
          <w:spacing w:val="-3"/>
        </w:rPr>
        <w:t>r</w:t>
      </w:r>
      <w:r>
        <w:t xml:space="preserve">e </w:t>
      </w:r>
      <w:r>
        <w:rPr>
          <w:spacing w:val="-3"/>
        </w:rPr>
        <w:t>r</w:t>
      </w:r>
      <w:r>
        <w:t>e</w:t>
      </w:r>
      <w:r>
        <w:rPr>
          <w:spacing w:val="-2"/>
        </w:rPr>
        <w:t>c</w:t>
      </w:r>
      <w:r>
        <w:t>o</w:t>
      </w:r>
      <w:r>
        <w:rPr>
          <w:spacing w:val="-2"/>
        </w:rPr>
        <w:t>g</w:t>
      </w:r>
      <w:r>
        <w:t>nised as in</w:t>
      </w:r>
      <w:r>
        <w:rPr>
          <w:spacing w:val="-2"/>
        </w:rPr>
        <w:t>c</w:t>
      </w:r>
      <w:r>
        <w:t xml:space="preserve">ome </w:t>
      </w:r>
      <w:r>
        <w:rPr>
          <w:spacing w:val="-1"/>
        </w:rPr>
        <w:t>a</w:t>
      </w:r>
      <w:r>
        <w:t>t the</w:t>
      </w:r>
      <w:r>
        <w:rPr>
          <w:color w:val="000000"/>
        </w:rPr>
        <w:t xml:space="preserve"> </w:t>
      </w:r>
      <w:r>
        <w:t xml:space="preserve">fair </w:t>
      </w:r>
      <w:r>
        <w:rPr>
          <w:spacing w:val="-1"/>
        </w:rPr>
        <w:t>v</w:t>
      </w:r>
      <w:r>
        <w:t>alue of the assets or se</w:t>
      </w:r>
      <w:r>
        <w:rPr>
          <w:spacing w:val="5"/>
        </w:rPr>
        <w:t>r</w:t>
      </w:r>
      <w:r>
        <w:t>vi</w:t>
      </w:r>
      <w:r>
        <w:rPr>
          <w:spacing w:val="-2"/>
        </w:rPr>
        <w:t>c</w:t>
      </w:r>
      <w:r>
        <w:t>es whe</w:t>
      </w:r>
      <w:r>
        <w:rPr>
          <w:spacing w:val="-3"/>
        </w:rPr>
        <w:t>r</w:t>
      </w:r>
      <w:r>
        <w:t xml:space="preserve">e they can be </w:t>
      </w:r>
      <w:r>
        <w:rPr>
          <w:spacing w:val="-3"/>
        </w:rPr>
        <w:t>r</w:t>
      </w:r>
      <w:r>
        <w:t>eliably measu</w:t>
      </w:r>
      <w:r>
        <w:rPr>
          <w:spacing w:val="-3"/>
        </w:rPr>
        <w:t>r</w:t>
      </w:r>
      <w:r>
        <w:t>e</w:t>
      </w:r>
      <w:r>
        <w:rPr>
          <w:spacing w:val="-3"/>
        </w:rPr>
        <w:t>d</w:t>
      </w:r>
      <w:r>
        <w:t>.</w:t>
      </w:r>
      <w:r>
        <w:rPr>
          <w:spacing w:val="46"/>
        </w:rPr>
        <w:t xml:space="preserve"> </w:t>
      </w:r>
      <w:r>
        <w:t xml:space="preserve">A </w:t>
      </w:r>
      <w:r>
        <w:rPr>
          <w:spacing w:val="-2"/>
        </w:rPr>
        <w:t>c</w:t>
      </w:r>
      <w:r>
        <w:t>or</w:t>
      </w:r>
      <w:r>
        <w:rPr>
          <w:spacing w:val="-3"/>
        </w:rPr>
        <w:t>r</w:t>
      </w:r>
      <w:r>
        <w:t xml:space="preserve">esponding </w:t>
      </w:r>
      <w:r>
        <w:rPr>
          <w:spacing w:val="-1"/>
        </w:rPr>
        <w:t>e</w:t>
      </w:r>
      <w:r>
        <w:t xml:space="preserve">xpense is </w:t>
      </w:r>
      <w:r>
        <w:rPr>
          <w:spacing w:val="-3"/>
        </w:rPr>
        <w:t>r</w:t>
      </w:r>
      <w:r>
        <w:t>e</w:t>
      </w:r>
      <w:r>
        <w:rPr>
          <w:spacing w:val="-2"/>
        </w:rPr>
        <w:t>c</w:t>
      </w:r>
      <w:r>
        <w:t>o</w:t>
      </w:r>
      <w:r>
        <w:rPr>
          <w:spacing w:val="-2"/>
        </w:rPr>
        <w:t>g</w:t>
      </w:r>
      <w:r>
        <w:t xml:space="preserve">nised </w:t>
      </w:r>
      <w:r>
        <w:rPr>
          <w:spacing w:val="-3"/>
        </w:rPr>
        <w:t>f</w:t>
      </w:r>
      <w:r>
        <w:t>or se</w:t>
      </w:r>
      <w:r>
        <w:rPr>
          <w:spacing w:val="5"/>
        </w:rPr>
        <w:t>r</w:t>
      </w:r>
      <w:r>
        <w:t>vi</w:t>
      </w:r>
      <w:r>
        <w:rPr>
          <w:spacing w:val="-2"/>
        </w:rPr>
        <w:t>c</w:t>
      </w:r>
      <w:r>
        <w:t xml:space="preserve">es </w:t>
      </w:r>
      <w:r>
        <w:rPr>
          <w:spacing w:val="-3"/>
        </w:rPr>
        <w:t>r</w:t>
      </w:r>
      <w:r>
        <w:t>e</w:t>
      </w:r>
      <w:r>
        <w:rPr>
          <w:spacing w:val="-2"/>
        </w:rPr>
        <w:t>c</w:t>
      </w:r>
      <w:r>
        <w:t>ei</w:t>
      </w:r>
      <w:r>
        <w:rPr>
          <w:spacing w:val="-3"/>
        </w:rPr>
        <w:t>v</w:t>
      </w:r>
      <w:r>
        <w:t>e</w:t>
      </w:r>
      <w:r>
        <w:rPr>
          <w:spacing w:val="-3"/>
        </w:rPr>
        <w:t>d</w:t>
      </w:r>
      <w:r>
        <w:t>.</w:t>
      </w:r>
      <w:r>
        <w:rPr>
          <w:spacing w:val="46"/>
        </w:rPr>
        <w:t xml:space="preserve"> </w:t>
      </w:r>
      <w:r>
        <w:t>Re</w:t>
      </w:r>
      <w:r>
        <w:rPr>
          <w:spacing w:val="-2"/>
        </w:rPr>
        <w:t>c</w:t>
      </w:r>
      <w:r>
        <w:t>eipts of assets a</w:t>
      </w:r>
      <w:r>
        <w:rPr>
          <w:spacing w:val="-3"/>
        </w:rPr>
        <w:t>r</w:t>
      </w:r>
      <w:r>
        <w:t xml:space="preserve">e </w:t>
      </w:r>
      <w:r>
        <w:rPr>
          <w:spacing w:val="-3"/>
        </w:rPr>
        <w:t>r</w:t>
      </w:r>
      <w:r>
        <w:t>e</w:t>
      </w:r>
      <w:r>
        <w:rPr>
          <w:spacing w:val="-2"/>
        </w:rPr>
        <w:t>c</w:t>
      </w:r>
      <w:r>
        <w:t>o</w:t>
      </w:r>
      <w:r>
        <w:rPr>
          <w:spacing w:val="-2"/>
        </w:rPr>
        <w:t>g</w:t>
      </w:r>
      <w:r>
        <w:t xml:space="preserve">nised in the </w:t>
      </w:r>
      <w:r>
        <w:rPr>
          <w:spacing w:val="-1"/>
        </w:rPr>
        <w:t>S</w:t>
      </w:r>
      <w:r>
        <w:t>t</w:t>
      </w:r>
      <w:r>
        <w:rPr>
          <w:spacing w:val="-1"/>
        </w:rPr>
        <w:t>a</w:t>
      </w:r>
      <w:r>
        <w:rPr>
          <w:spacing w:val="-2"/>
        </w:rPr>
        <w:t>t</w:t>
      </w:r>
      <w:r>
        <w:t>eme</w:t>
      </w:r>
      <w:r>
        <w:rPr>
          <w:spacing w:val="-1"/>
        </w:rPr>
        <w:t>n</w:t>
      </w:r>
      <w:r>
        <w:t xml:space="preserve">t of </w:t>
      </w:r>
      <w:r>
        <w:rPr>
          <w:spacing w:val="-6"/>
        </w:rPr>
        <w:t>F</w:t>
      </w:r>
      <w:r>
        <w:t xml:space="preserve">inancial </w:t>
      </w:r>
      <w:r>
        <w:rPr>
          <w:spacing w:val="-6"/>
        </w:rPr>
        <w:t>P</w:t>
      </w:r>
      <w:r>
        <w:t>osition.</w:t>
      </w:r>
    </w:p>
    <w:p w14:paraId="54565190" w14:textId="77777777" w:rsidR="007D77B6" w:rsidRDefault="007D77B6" w:rsidP="007D77B6">
      <w:pPr>
        <w:rPr>
          <w:color w:val="000000"/>
        </w:rPr>
      </w:pPr>
      <w:r>
        <w:rPr>
          <w:spacing w:val="-2"/>
        </w:rPr>
        <w:t>A</w:t>
      </w:r>
      <w:r>
        <w:t>ssets or se</w:t>
      </w:r>
      <w:r>
        <w:rPr>
          <w:spacing w:val="5"/>
        </w:rPr>
        <w:t>r</w:t>
      </w:r>
      <w:r>
        <w:t>vi</w:t>
      </w:r>
      <w:r>
        <w:rPr>
          <w:spacing w:val="-2"/>
        </w:rPr>
        <w:t>c</w:t>
      </w:r>
      <w:r>
        <w:t xml:space="preserve">es </w:t>
      </w:r>
      <w:r>
        <w:rPr>
          <w:spacing w:val="-3"/>
        </w:rPr>
        <w:t>r</w:t>
      </w:r>
      <w:r>
        <w:t>e</w:t>
      </w:r>
      <w:r>
        <w:rPr>
          <w:spacing w:val="-2"/>
        </w:rPr>
        <w:t>c</w:t>
      </w:r>
      <w:r>
        <w:t>ei</w:t>
      </w:r>
      <w:r>
        <w:rPr>
          <w:spacing w:val="-3"/>
        </w:rPr>
        <w:t>v</w:t>
      </w:r>
      <w:r>
        <w:t>ed f</w:t>
      </w:r>
      <w:r>
        <w:rPr>
          <w:spacing w:val="-3"/>
        </w:rPr>
        <w:t>r</w:t>
      </w:r>
      <w:r>
        <w:t xml:space="preserve">om other </w:t>
      </w:r>
      <w:r>
        <w:rPr>
          <w:spacing w:val="-1"/>
        </w:rPr>
        <w:t>S</w:t>
      </w:r>
      <w:r>
        <w:t>t</w:t>
      </w:r>
      <w:r>
        <w:rPr>
          <w:spacing w:val="-1"/>
        </w:rPr>
        <w:t>a</w:t>
      </w:r>
      <w:r>
        <w:rPr>
          <w:spacing w:val="-2"/>
        </w:rPr>
        <w:t>t</w:t>
      </w:r>
      <w:r>
        <w:t xml:space="preserve">e </w:t>
      </w:r>
      <w:r>
        <w:rPr>
          <w:spacing w:val="1"/>
        </w:rPr>
        <w:t>G</w:t>
      </w:r>
      <w:r>
        <w:rPr>
          <w:spacing w:val="-2"/>
        </w:rPr>
        <w:t>o</w:t>
      </w:r>
      <w:r>
        <w:rPr>
          <w:spacing w:val="-3"/>
        </w:rPr>
        <w:t>v</w:t>
      </w:r>
      <w:r>
        <w:t>ernme</w:t>
      </w:r>
      <w:r>
        <w:rPr>
          <w:spacing w:val="-1"/>
        </w:rPr>
        <w:t>n</w:t>
      </w:r>
      <w:r>
        <w:t>t agencies a</w:t>
      </w:r>
      <w:r>
        <w:rPr>
          <w:spacing w:val="-3"/>
        </w:rPr>
        <w:t>r</w:t>
      </w:r>
      <w:r>
        <w:t>e sepa</w:t>
      </w:r>
      <w:r>
        <w:rPr>
          <w:spacing w:val="-2"/>
        </w:rPr>
        <w:t>r</w:t>
      </w:r>
      <w:r>
        <w:rPr>
          <w:spacing w:val="-1"/>
        </w:rPr>
        <w:t>a</w:t>
      </w:r>
      <w:r>
        <w:rPr>
          <w:spacing w:val="-2"/>
        </w:rPr>
        <w:t>t</w:t>
      </w:r>
      <w:r>
        <w:t xml:space="preserve">ely disclosed under </w:t>
      </w:r>
      <w:r>
        <w:rPr>
          <w:spacing w:val="2"/>
        </w:rPr>
        <w:t>I</w:t>
      </w:r>
      <w:r>
        <w:t>n</w:t>
      </w:r>
      <w:r>
        <w:rPr>
          <w:spacing w:val="-2"/>
        </w:rPr>
        <w:t>c</w:t>
      </w:r>
      <w:r>
        <w:t>ome f</w:t>
      </w:r>
      <w:r>
        <w:rPr>
          <w:spacing w:val="-3"/>
        </w:rPr>
        <w:t>r</w:t>
      </w:r>
      <w:r>
        <w:t xml:space="preserve">om </w:t>
      </w:r>
      <w:r>
        <w:rPr>
          <w:spacing w:val="-1"/>
        </w:rPr>
        <w:t>S</w:t>
      </w:r>
      <w:r>
        <w:t>t</w:t>
      </w:r>
      <w:r>
        <w:rPr>
          <w:spacing w:val="-1"/>
        </w:rPr>
        <w:t>a</w:t>
      </w:r>
      <w:r>
        <w:rPr>
          <w:spacing w:val="-2"/>
        </w:rPr>
        <w:t>t</w:t>
      </w:r>
      <w:r>
        <w:t xml:space="preserve">e </w:t>
      </w:r>
      <w:r>
        <w:rPr>
          <w:spacing w:val="1"/>
        </w:rPr>
        <w:t>G</w:t>
      </w:r>
      <w:r>
        <w:rPr>
          <w:spacing w:val="-2"/>
        </w:rPr>
        <w:t>o</w:t>
      </w:r>
      <w:r>
        <w:rPr>
          <w:spacing w:val="-3"/>
        </w:rPr>
        <w:t>v</w:t>
      </w:r>
      <w:r>
        <w:t>ernme</w:t>
      </w:r>
      <w:r>
        <w:rPr>
          <w:spacing w:val="-1"/>
        </w:rPr>
        <w:t>n</w:t>
      </w:r>
      <w:r>
        <w:t xml:space="preserve">t in the </w:t>
      </w:r>
      <w:r>
        <w:rPr>
          <w:spacing w:val="-1"/>
        </w:rPr>
        <w:t>S</w:t>
      </w:r>
      <w:r>
        <w:t>t</w:t>
      </w:r>
      <w:r>
        <w:rPr>
          <w:spacing w:val="-1"/>
        </w:rPr>
        <w:t>a</w:t>
      </w:r>
      <w:r>
        <w:rPr>
          <w:spacing w:val="-2"/>
        </w:rPr>
        <w:t>t</w:t>
      </w:r>
      <w:r>
        <w:t>eme</w:t>
      </w:r>
      <w:r>
        <w:rPr>
          <w:spacing w:val="-1"/>
        </w:rPr>
        <w:t>n</w:t>
      </w:r>
      <w:r>
        <w:t xml:space="preserve">t of </w:t>
      </w:r>
      <w:r>
        <w:rPr>
          <w:spacing w:val="-3"/>
        </w:rPr>
        <w:t>C</w:t>
      </w:r>
      <w:r>
        <w:t>omp</w:t>
      </w:r>
      <w:r>
        <w:rPr>
          <w:spacing w:val="-3"/>
        </w:rPr>
        <w:t>r</w:t>
      </w:r>
      <w:r>
        <w:t>ehensi</w:t>
      </w:r>
      <w:r>
        <w:rPr>
          <w:spacing w:val="-3"/>
        </w:rPr>
        <w:t>v</w:t>
      </w:r>
      <w:r>
        <w:t xml:space="preserve">e </w:t>
      </w:r>
      <w:r>
        <w:rPr>
          <w:spacing w:val="2"/>
        </w:rPr>
        <w:t>I</w:t>
      </w:r>
      <w:r>
        <w:t>n</w:t>
      </w:r>
      <w:r>
        <w:rPr>
          <w:spacing w:val="-2"/>
        </w:rPr>
        <w:t>c</w:t>
      </w:r>
      <w:r>
        <w:t>om</w:t>
      </w:r>
      <w:r>
        <w:rPr>
          <w:spacing w:val="-3"/>
        </w:rPr>
        <w:t>e</w:t>
      </w:r>
      <w:r>
        <w:t>.</w:t>
      </w:r>
    </w:p>
    <w:p w14:paraId="19902CBE" w14:textId="18F02B37" w:rsidR="007D77B6" w:rsidRPr="00DA1E18" w:rsidRDefault="00DA1E18" w:rsidP="00DA1E18">
      <w:pPr>
        <w:rPr>
          <w:b/>
          <w:bCs/>
        </w:rPr>
      </w:pPr>
      <w:r>
        <w:rPr>
          <w:rStyle w:val="Strong"/>
        </w:rPr>
        <w:lastRenderedPageBreak/>
        <w:br/>
      </w:r>
      <w:r w:rsidR="007D77B6" w:rsidRPr="00DA1E18">
        <w:rPr>
          <w:rStyle w:val="Strong"/>
        </w:rPr>
        <w:t>(s) Provision for uninsured claims pursuant to Section 174</w:t>
      </w:r>
    </w:p>
    <w:p w14:paraId="6B54534B" w14:textId="510A46AD" w:rsidR="007D77B6" w:rsidRPr="007D77B6" w:rsidRDefault="007D77B6" w:rsidP="007D77B6">
      <w:pPr>
        <w:rPr>
          <w:color w:val="000000"/>
        </w:rPr>
      </w:pPr>
      <w:r>
        <w:rPr>
          <w:spacing w:val="-4"/>
        </w:rPr>
        <w:t>P</w:t>
      </w:r>
      <w:r>
        <w:rPr>
          <w:spacing w:val="-3"/>
        </w:rPr>
        <w:t>r</w:t>
      </w:r>
      <w:r>
        <w:rPr>
          <w:spacing w:val="-2"/>
        </w:rPr>
        <w:t>o</w:t>
      </w:r>
      <w:r>
        <w:t xml:space="preserve">vision is made </w:t>
      </w:r>
      <w:r>
        <w:rPr>
          <w:spacing w:val="-2"/>
        </w:rPr>
        <w:t>t</w:t>
      </w:r>
      <w:r>
        <w:t>o meet p</w:t>
      </w:r>
      <w:r>
        <w:rPr>
          <w:spacing w:val="-2"/>
        </w:rPr>
        <w:t>a</w:t>
      </w:r>
      <w:r>
        <w:t>yme</w:t>
      </w:r>
      <w:r>
        <w:rPr>
          <w:spacing w:val="-1"/>
        </w:rPr>
        <w:t>n</w:t>
      </w:r>
      <w:r>
        <w:t xml:space="preserve">ts </w:t>
      </w:r>
      <w:r>
        <w:rPr>
          <w:spacing w:val="-3"/>
        </w:rPr>
        <w:t>r</w:t>
      </w:r>
      <w:r>
        <w:t>equi</w:t>
      </w:r>
      <w:r>
        <w:rPr>
          <w:spacing w:val="-3"/>
        </w:rPr>
        <w:t>r</w:t>
      </w:r>
      <w:r>
        <w:t xml:space="preserve">ed under </w:t>
      </w:r>
      <w:r>
        <w:rPr>
          <w:spacing w:val="1"/>
        </w:rPr>
        <w:t>S</w:t>
      </w:r>
      <w:r>
        <w:t>e</w:t>
      </w:r>
      <w:r>
        <w:rPr>
          <w:spacing w:val="2"/>
        </w:rPr>
        <w:t>c</w:t>
      </w:r>
      <w:r>
        <w:t>tion 174 of the</w:t>
      </w:r>
      <w:r>
        <w:rPr>
          <w:spacing w:val="-8"/>
        </w:rPr>
        <w:t xml:space="preserve"> W</w:t>
      </w:r>
      <w:r>
        <w:t>orker</w:t>
      </w:r>
      <w:r>
        <w:rPr>
          <w:spacing w:val="-4"/>
        </w:rPr>
        <w:t>s</w:t>
      </w:r>
      <w:r>
        <w:t xml:space="preserve">’ </w:t>
      </w:r>
      <w:r>
        <w:rPr>
          <w:spacing w:val="-3"/>
        </w:rPr>
        <w:t>C</w:t>
      </w:r>
      <w:r>
        <w:t>ompens</w:t>
      </w:r>
      <w:r>
        <w:rPr>
          <w:spacing w:val="-1"/>
        </w:rPr>
        <w:t>a</w:t>
      </w:r>
      <w:r>
        <w:t xml:space="preserve">tion and </w:t>
      </w:r>
      <w:r>
        <w:rPr>
          <w:spacing w:val="2"/>
        </w:rPr>
        <w:t>I</w:t>
      </w:r>
      <w:r>
        <w:t>nju</w:t>
      </w:r>
      <w:r>
        <w:rPr>
          <w:spacing w:val="5"/>
        </w:rPr>
        <w:t>r</w:t>
      </w:r>
      <w:r>
        <w:t xml:space="preserve">y </w:t>
      </w:r>
      <w:r>
        <w:rPr>
          <w:spacing w:val="1"/>
        </w:rPr>
        <w:t>M</w:t>
      </w:r>
      <w:r>
        <w:t>anageme</w:t>
      </w:r>
      <w:r>
        <w:rPr>
          <w:spacing w:val="-1"/>
        </w:rPr>
        <w:t>n</w:t>
      </w:r>
      <w:r>
        <w:t xml:space="preserve">t </w:t>
      </w:r>
      <w:r>
        <w:rPr>
          <w:spacing w:val="-3"/>
        </w:rPr>
        <w:t>A</w:t>
      </w:r>
      <w:r>
        <w:rPr>
          <w:spacing w:val="2"/>
        </w:rPr>
        <w:t>c</w:t>
      </w:r>
      <w:r>
        <w:t>t 1981 whe</w:t>
      </w:r>
      <w:r>
        <w:rPr>
          <w:spacing w:val="-3"/>
        </w:rPr>
        <w:t>r</w:t>
      </w:r>
      <w:r>
        <w:t xml:space="preserve">e </w:t>
      </w:r>
      <w:r>
        <w:rPr>
          <w:spacing w:val="-3"/>
        </w:rPr>
        <w:t>C</w:t>
      </w:r>
      <w:r>
        <w:t>oncili</w:t>
      </w:r>
      <w:r>
        <w:rPr>
          <w:spacing w:val="-1"/>
        </w:rPr>
        <w:t>a</w:t>
      </w:r>
      <w:r>
        <w:t xml:space="preserve">tion and </w:t>
      </w:r>
      <w:r>
        <w:rPr>
          <w:spacing w:val="-1"/>
        </w:rPr>
        <w:t>A</w:t>
      </w:r>
      <w:r>
        <w:t>rbit</w:t>
      </w:r>
      <w:r>
        <w:rPr>
          <w:spacing w:val="-2"/>
        </w:rPr>
        <w:t>r</w:t>
      </w:r>
      <w:r>
        <w:rPr>
          <w:spacing w:val="-1"/>
        </w:rPr>
        <w:t>a</w:t>
      </w:r>
      <w:r>
        <w:t xml:space="preserve">tion </w:t>
      </w:r>
      <w:r>
        <w:rPr>
          <w:spacing w:val="1"/>
        </w:rPr>
        <w:t>S</w:t>
      </w:r>
      <w:r>
        <w:t>e</w:t>
      </w:r>
      <w:r>
        <w:rPr>
          <w:spacing w:val="5"/>
        </w:rPr>
        <w:t>r</w:t>
      </w:r>
      <w:r>
        <w:t>vi</w:t>
      </w:r>
      <w:r>
        <w:rPr>
          <w:spacing w:val="-2"/>
        </w:rPr>
        <w:t>c</w:t>
      </w:r>
      <w:r>
        <w:t>es has made an o</w:t>
      </w:r>
      <w:r>
        <w:rPr>
          <w:spacing w:val="-3"/>
        </w:rPr>
        <w:t>r</w:t>
      </w:r>
      <w:r>
        <w:t xml:space="preserve">der and the </w:t>
      </w:r>
      <w:r>
        <w:rPr>
          <w:spacing w:val="-3"/>
        </w:rPr>
        <w:t>w</w:t>
      </w:r>
      <w:r>
        <w:t xml:space="preserve">orker has not </w:t>
      </w:r>
      <w:r>
        <w:rPr>
          <w:spacing w:val="-3"/>
        </w:rPr>
        <w:t>r</w:t>
      </w:r>
      <w:r>
        <w:t>e</w:t>
      </w:r>
      <w:r>
        <w:rPr>
          <w:spacing w:val="-2"/>
        </w:rPr>
        <w:t>c</w:t>
      </w:r>
      <w:r>
        <w:t>ei</w:t>
      </w:r>
      <w:r>
        <w:rPr>
          <w:spacing w:val="-3"/>
        </w:rPr>
        <w:t>v</w:t>
      </w:r>
      <w:r>
        <w:t xml:space="preserve">ed the </w:t>
      </w:r>
      <w:r>
        <w:rPr>
          <w:spacing w:val="-2"/>
        </w:rPr>
        <w:t>c</w:t>
      </w:r>
      <w:r>
        <w:t>ompens</w:t>
      </w:r>
      <w:r>
        <w:rPr>
          <w:spacing w:val="-1"/>
        </w:rPr>
        <w:t>a</w:t>
      </w:r>
      <w:r>
        <w:t>tion due f</w:t>
      </w:r>
      <w:r>
        <w:rPr>
          <w:spacing w:val="-3"/>
        </w:rPr>
        <w:t>r</w:t>
      </w:r>
      <w:r>
        <w:t xml:space="preserve">om the </w:t>
      </w:r>
      <w:r>
        <w:rPr>
          <w:spacing w:val="1"/>
        </w:rPr>
        <w:t>G</w:t>
      </w:r>
      <w:r>
        <w:t>ene</w:t>
      </w:r>
      <w:r>
        <w:rPr>
          <w:spacing w:val="-2"/>
        </w:rPr>
        <w:t>r</w:t>
      </w:r>
      <w:r>
        <w:t xml:space="preserve">al </w:t>
      </w:r>
      <w:r>
        <w:rPr>
          <w:spacing w:val="-3"/>
        </w:rPr>
        <w:t>A</w:t>
      </w:r>
      <w:r>
        <w:rPr>
          <w:spacing w:val="-2"/>
        </w:rPr>
        <w:t>cc</w:t>
      </w:r>
      <w:r>
        <w:t>ou</w:t>
      </w:r>
      <w:r>
        <w:rPr>
          <w:spacing w:val="-1"/>
        </w:rPr>
        <w:t>n</w:t>
      </w:r>
      <w:r>
        <w:t xml:space="preserve">t </w:t>
      </w:r>
      <w:r>
        <w:rPr>
          <w:spacing w:val="-1"/>
        </w:rPr>
        <w:t>a</w:t>
      </w:r>
      <w:r>
        <w:t xml:space="preserve">t the end of the </w:t>
      </w:r>
      <w:r>
        <w:rPr>
          <w:spacing w:val="-3"/>
        </w:rPr>
        <w:t>r</w:t>
      </w:r>
      <w:r>
        <w:t>epo</w:t>
      </w:r>
      <w:r>
        <w:rPr>
          <w:spacing w:val="5"/>
        </w:rPr>
        <w:t>r</w:t>
      </w:r>
      <w:r>
        <w:t>ting perio</w:t>
      </w:r>
      <w:r>
        <w:rPr>
          <w:spacing w:val="-3"/>
        </w:rPr>
        <w:t>d</w:t>
      </w:r>
      <w:r>
        <w:t>.</w:t>
      </w:r>
    </w:p>
    <w:p w14:paraId="7B0414BC" w14:textId="12462A80" w:rsidR="007D77B6" w:rsidRPr="007D77B6" w:rsidRDefault="007D77B6" w:rsidP="007D77B6">
      <w:pPr>
        <w:rPr>
          <w:b/>
          <w:color w:val="000000"/>
        </w:rPr>
      </w:pPr>
      <w:r>
        <w:rPr>
          <w:b/>
        </w:rPr>
        <w:t xml:space="preserve">(t) </w:t>
      </w:r>
      <w:r w:rsidRPr="007D77B6">
        <w:rPr>
          <w:b/>
        </w:rPr>
        <w:t>Provision</w:t>
      </w:r>
      <w:r w:rsidRPr="007D77B6">
        <w:rPr>
          <w:b/>
          <w:spacing w:val="-14"/>
        </w:rPr>
        <w:t xml:space="preserve"> </w:t>
      </w:r>
      <w:r w:rsidRPr="007D77B6">
        <w:rPr>
          <w:b/>
        </w:rPr>
        <w:t>for</w:t>
      </w:r>
      <w:r w:rsidRPr="007D77B6">
        <w:rPr>
          <w:b/>
          <w:spacing w:val="-14"/>
        </w:rPr>
        <w:t xml:space="preserve"> </w:t>
      </w:r>
      <w:r w:rsidRPr="007D77B6">
        <w:rPr>
          <w:b/>
        </w:rPr>
        <w:t>Employers’</w:t>
      </w:r>
      <w:r w:rsidRPr="007D77B6">
        <w:rPr>
          <w:b/>
          <w:spacing w:val="-14"/>
        </w:rPr>
        <w:t xml:space="preserve"> </w:t>
      </w:r>
      <w:r w:rsidRPr="007D77B6">
        <w:rPr>
          <w:b/>
        </w:rPr>
        <w:t>Indemnity</w:t>
      </w:r>
      <w:r w:rsidRPr="007D77B6">
        <w:rPr>
          <w:b/>
          <w:spacing w:val="-14"/>
        </w:rPr>
        <w:t xml:space="preserve"> </w:t>
      </w:r>
      <w:r w:rsidRPr="007D77B6">
        <w:rPr>
          <w:b/>
        </w:rPr>
        <w:t>Supplementation Fund</w:t>
      </w:r>
      <w:r w:rsidRPr="007D77B6">
        <w:rPr>
          <w:b/>
          <w:spacing w:val="-17"/>
        </w:rPr>
        <w:t xml:space="preserve"> </w:t>
      </w:r>
      <w:r w:rsidRPr="007D77B6">
        <w:rPr>
          <w:b/>
          <w:spacing w:val="-8"/>
        </w:rPr>
        <w:t>(EISF)</w:t>
      </w:r>
    </w:p>
    <w:p w14:paraId="5D34BFE3" w14:textId="2DC199EF" w:rsidR="007D77B6" w:rsidRPr="007D77B6" w:rsidRDefault="007D77B6" w:rsidP="007D77B6">
      <w:pPr>
        <w:rPr>
          <w:color w:val="000000"/>
        </w:rPr>
      </w:pPr>
      <w:r>
        <w:rPr>
          <w:spacing w:val="-2"/>
        </w:rPr>
        <w:t>T</w:t>
      </w:r>
      <w:r>
        <w:t xml:space="preserve">he EISF </w:t>
      </w:r>
      <w:r>
        <w:rPr>
          <w:spacing w:val="-1"/>
        </w:rPr>
        <w:t>w</w:t>
      </w:r>
      <w:r>
        <w:t xml:space="preserve">as established </w:t>
      </w:r>
      <w:r>
        <w:rPr>
          <w:spacing w:val="-2"/>
        </w:rPr>
        <w:t>b</w:t>
      </w:r>
      <w:r>
        <w:t>y the Empl</w:t>
      </w:r>
      <w:r>
        <w:rPr>
          <w:spacing w:val="-2"/>
        </w:rPr>
        <w:t>o</w:t>
      </w:r>
      <w:r>
        <w:rPr>
          <w:spacing w:val="-3"/>
        </w:rPr>
        <w:t>y</w:t>
      </w:r>
      <w:r>
        <w:t xml:space="preserve">ers' </w:t>
      </w:r>
      <w:r>
        <w:rPr>
          <w:spacing w:val="2"/>
        </w:rPr>
        <w:t>I</w:t>
      </w:r>
      <w:r>
        <w:t>ndemni</w:t>
      </w:r>
      <w:r>
        <w:rPr>
          <w:spacing w:val="2"/>
        </w:rPr>
        <w:t>t</w:t>
      </w:r>
      <w:r>
        <w:t>y Suppleme</w:t>
      </w:r>
      <w:r>
        <w:rPr>
          <w:spacing w:val="-1"/>
        </w:rPr>
        <w:t>n</w:t>
      </w:r>
      <w:r>
        <w:t>t</w:t>
      </w:r>
      <w:r>
        <w:rPr>
          <w:spacing w:val="-1"/>
        </w:rPr>
        <w:t>a</w:t>
      </w:r>
      <w:r>
        <w:t xml:space="preserve">tion </w:t>
      </w:r>
      <w:r>
        <w:rPr>
          <w:spacing w:val="-8"/>
        </w:rPr>
        <w:t>F</w:t>
      </w:r>
      <w:r>
        <w:t xml:space="preserve">und </w:t>
      </w:r>
      <w:r>
        <w:rPr>
          <w:spacing w:val="-3"/>
        </w:rPr>
        <w:t>A</w:t>
      </w:r>
      <w:r>
        <w:rPr>
          <w:spacing w:val="2"/>
        </w:rPr>
        <w:t>c</w:t>
      </w:r>
      <w:r>
        <w:t xml:space="preserve">t 1980 (the </w:t>
      </w:r>
      <w:r>
        <w:rPr>
          <w:spacing w:val="-3"/>
        </w:rPr>
        <w:t>A</w:t>
      </w:r>
      <w:r>
        <w:rPr>
          <w:spacing w:val="2"/>
        </w:rPr>
        <w:t>c</w:t>
      </w:r>
      <w:r>
        <w:t xml:space="preserve">t) </w:t>
      </w:r>
      <w:r>
        <w:rPr>
          <w:spacing w:val="-2"/>
        </w:rPr>
        <w:t>t</w:t>
      </w:r>
      <w:r>
        <w:t>o p</w:t>
      </w:r>
      <w:r>
        <w:rPr>
          <w:spacing w:val="-3"/>
        </w:rPr>
        <w:t>r</w:t>
      </w:r>
      <w:r>
        <w:rPr>
          <w:spacing w:val="-2"/>
        </w:rPr>
        <w:t>o</w:t>
      </w:r>
      <w:r>
        <w:t xml:space="preserve">vide </w:t>
      </w:r>
      <w:r>
        <w:rPr>
          <w:spacing w:val="-3"/>
        </w:rPr>
        <w:t>f</w:t>
      </w:r>
      <w:r>
        <w:t>or p</w:t>
      </w:r>
      <w:r>
        <w:rPr>
          <w:spacing w:val="-2"/>
        </w:rPr>
        <w:t>a</w:t>
      </w:r>
      <w:r>
        <w:t>yme</w:t>
      </w:r>
      <w:r>
        <w:rPr>
          <w:spacing w:val="-1"/>
        </w:rPr>
        <w:t>n</w:t>
      </w:r>
      <w:r>
        <w:t xml:space="preserve">t of </w:t>
      </w:r>
      <w:r>
        <w:rPr>
          <w:spacing w:val="-3"/>
        </w:rPr>
        <w:t>w</w:t>
      </w:r>
      <w:r>
        <w:t xml:space="preserve">orkers' </w:t>
      </w:r>
      <w:r>
        <w:rPr>
          <w:spacing w:val="-2"/>
        </w:rPr>
        <w:t>c</w:t>
      </w:r>
      <w:r>
        <w:t>ompens</w:t>
      </w:r>
      <w:r>
        <w:rPr>
          <w:spacing w:val="-1"/>
        </w:rPr>
        <w:t>a</w:t>
      </w:r>
      <w:r>
        <w:t>tion claims in</w:t>
      </w:r>
      <w:r>
        <w:rPr>
          <w:spacing w:val="-8"/>
        </w:rPr>
        <w:t xml:space="preserve"> W</w:t>
      </w:r>
      <w:r>
        <w:t>es</w:t>
      </w:r>
      <w:r>
        <w:rPr>
          <w:spacing w:val="-2"/>
        </w:rPr>
        <w:t>t</w:t>
      </w:r>
      <w:r>
        <w:t xml:space="preserve">ern </w:t>
      </w:r>
      <w:r>
        <w:rPr>
          <w:spacing w:val="-3"/>
        </w:rPr>
        <w:t>A</w:t>
      </w:r>
      <w:r>
        <w:t>ust</w:t>
      </w:r>
      <w:r>
        <w:rPr>
          <w:spacing w:val="-2"/>
        </w:rPr>
        <w:t>r</w:t>
      </w:r>
      <w:r>
        <w:t xml:space="preserve">alia. </w:t>
      </w:r>
      <w:r>
        <w:rPr>
          <w:spacing w:val="-4"/>
        </w:rPr>
        <w:t>P</w:t>
      </w:r>
      <w:r>
        <w:rPr>
          <w:spacing w:val="-3"/>
        </w:rPr>
        <w:t>r</w:t>
      </w:r>
      <w:r>
        <w:rPr>
          <w:spacing w:val="-2"/>
        </w:rPr>
        <w:t>o</w:t>
      </w:r>
      <w:r>
        <w:t xml:space="preserve">vision is made </w:t>
      </w:r>
      <w:r>
        <w:rPr>
          <w:spacing w:val="-2"/>
        </w:rPr>
        <w:t>t</w:t>
      </w:r>
      <w:r>
        <w:t xml:space="preserve">o meet the claim </w:t>
      </w:r>
      <w:r>
        <w:rPr>
          <w:spacing w:val="-2"/>
        </w:rPr>
        <w:t>c</w:t>
      </w:r>
      <w:r>
        <w:t>osts in the e</w:t>
      </w:r>
      <w:r>
        <w:rPr>
          <w:spacing w:val="-3"/>
        </w:rPr>
        <w:t>v</w:t>
      </w:r>
      <w:r>
        <w:t>e</w:t>
      </w:r>
      <w:r>
        <w:rPr>
          <w:spacing w:val="-1"/>
        </w:rPr>
        <w:t>n</w:t>
      </w:r>
      <w:r>
        <w:t>t an app</w:t>
      </w:r>
      <w:r>
        <w:rPr>
          <w:spacing w:val="-3"/>
        </w:rPr>
        <w:t>r</w:t>
      </w:r>
      <w:r>
        <w:rPr>
          <w:spacing w:val="-2"/>
        </w:rPr>
        <w:t>o</w:t>
      </w:r>
      <w:r>
        <w:rPr>
          <w:spacing w:val="-3"/>
        </w:rPr>
        <w:t>v</w:t>
      </w:r>
      <w:r>
        <w:t>ed insu</w:t>
      </w:r>
      <w:r>
        <w:rPr>
          <w:spacing w:val="-3"/>
        </w:rPr>
        <w:t>r</w:t>
      </w:r>
      <w:r>
        <w:t>er</w:t>
      </w:r>
      <w:r>
        <w:rPr>
          <w:spacing w:val="-1"/>
        </w:rPr>
        <w:t xml:space="preserve"> </w:t>
      </w:r>
      <w:r>
        <w:rPr>
          <w:spacing w:val="-2"/>
        </w:rPr>
        <w:t>c</w:t>
      </w:r>
      <w:r>
        <w:t>ollapses and</w:t>
      </w:r>
      <w:r>
        <w:rPr>
          <w:spacing w:val="-1"/>
        </w:rPr>
        <w:t xml:space="preserve"> </w:t>
      </w:r>
      <w:r>
        <w:rPr>
          <w:spacing w:val="-2"/>
        </w:rPr>
        <w:t>t</w:t>
      </w:r>
      <w:r>
        <w:t xml:space="preserve">o </w:t>
      </w:r>
      <w:r>
        <w:rPr>
          <w:spacing w:val="-1"/>
        </w:rPr>
        <w:t>wa</w:t>
      </w:r>
      <w:r>
        <w:rPr>
          <w:spacing w:val="-2"/>
        </w:rPr>
        <w:t>t</w:t>
      </w:r>
      <w:r>
        <w:t>e</w:t>
      </w:r>
      <w:r>
        <w:rPr>
          <w:spacing w:val="6"/>
        </w:rPr>
        <w:t>r</w:t>
      </w:r>
      <w:r>
        <w:t>f</w:t>
      </w:r>
      <w:r>
        <w:rPr>
          <w:spacing w:val="-3"/>
        </w:rPr>
        <w:t>r</w:t>
      </w:r>
      <w:r>
        <w:t>o</w:t>
      </w:r>
      <w:r>
        <w:rPr>
          <w:spacing w:val="-1"/>
        </w:rPr>
        <w:t>n</w:t>
      </w:r>
      <w:r>
        <w:t xml:space="preserve">t </w:t>
      </w:r>
      <w:r>
        <w:rPr>
          <w:spacing w:val="-3"/>
        </w:rPr>
        <w:t>w</w:t>
      </w:r>
      <w:r>
        <w:t>orkers</w:t>
      </w:r>
      <w:r>
        <w:rPr>
          <w:spacing w:val="-1"/>
        </w:rPr>
        <w:t xml:space="preserve"> </w:t>
      </w:r>
      <w:r>
        <w:t>suf</w:t>
      </w:r>
      <w:r>
        <w:rPr>
          <w:spacing w:val="-3"/>
        </w:rPr>
        <w:t>f</w:t>
      </w:r>
      <w:r>
        <w:t>ering f</w:t>
      </w:r>
      <w:r>
        <w:rPr>
          <w:spacing w:val="-3"/>
        </w:rPr>
        <w:t>r</w:t>
      </w:r>
      <w:r>
        <w:t>om asbes</w:t>
      </w:r>
      <w:r>
        <w:rPr>
          <w:spacing w:val="-2"/>
        </w:rPr>
        <w:t>t</w:t>
      </w:r>
      <w:r>
        <w:t>os</w:t>
      </w:r>
      <w:r>
        <w:rPr>
          <w:spacing w:val="-1"/>
        </w:rPr>
        <w:t xml:space="preserve"> </w:t>
      </w:r>
      <w:r>
        <w:rPr>
          <w:spacing w:val="-3"/>
        </w:rPr>
        <w:t>r</w:t>
      </w:r>
      <w:r>
        <w:t>el</w:t>
      </w:r>
      <w:r>
        <w:rPr>
          <w:spacing w:val="-1"/>
        </w:rPr>
        <w:t>a</w:t>
      </w:r>
      <w:r>
        <w:rPr>
          <w:spacing w:val="-2"/>
        </w:rPr>
        <w:t>t</w:t>
      </w:r>
      <w:r>
        <w:t>ed diseases under the</w:t>
      </w:r>
      <w:r>
        <w:rPr>
          <w:spacing w:val="-8"/>
        </w:rPr>
        <w:t xml:space="preserve"> W</w:t>
      </w:r>
      <w:r>
        <w:rPr>
          <w:spacing w:val="-1"/>
        </w:rPr>
        <w:t>a</w:t>
      </w:r>
      <w:r>
        <w:rPr>
          <w:spacing w:val="-2"/>
        </w:rPr>
        <w:t>t</w:t>
      </w:r>
      <w:r>
        <w:t>e</w:t>
      </w:r>
      <w:r>
        <w:rPr>
          <w:spacing w:val="6"/>
        </w:rPr>
        <w:t>r</w:t>
      </w:r>
      <w:r>
        <w:t>f</w:t>
      </w:r>
      <w:r>
        <w:rPr>
          <w:spacing w:val="-3"/>
        </w:rPr>
        <w:t>r</w:t>
      </w:r>
      <w:r>
        <w:t>o</w:t>
      </w:r>
      <w:r>
        <w:rPr>
          <w:spacing w:val="-1"/>
        </w:rPr>
        <w:t>n</w:t>
      </w:r>
      <w:r>
        <w:t>t</w:t>
      </w:r>
      <w:r>
        <w:rPr>
          <w:spacing w:val="-8"/>
        </w:rPr>
        <w:t xml:space="preserve"> W</w:t>
      </w:r>
      <w:r>
        <w:t xml:space="preserve">orkers' </w:t>
      </w:r>
      <w:r>
        <w:rPr>
          <w:spacing w:val="-3"/>
        </w:rPr>
        <w:t>(C</w:t>
      </w:r>
      <w:r>
        <w:t>ompens</w:t>
      </w:r>
      <w:r>
        <w:rPr>
          <w:spacing w:val="-1"/>
        </w:rPr>
        <w:t>a</w:t>
      </w:r>
      <w:r>
        <w:t xml:space="preserve">tion </w:t>
      </w:r>
      <w:r>
        <w:rPr>
          <w:spacing w:val="-3"/>
        </w:rPr>
        <w:t>f</w:t>
      </w:r>
      <w:r>
        <w:t xml:space="preserve">or </w:t>
      </w:r>
      <w:r>
        <w:rPr>
          <w:spacing w:val="-2"/>
        </w:rPr>
        <w:t>A</w:t>
      </w:r>
      <w:r>
        <w:t>sbes</w:t>
      </w:r>
      <w:r>
        <w:rPr>
          <w:spacing w:val="-2"/>
        </w:rPr>
        <w:t>t</w:t>
      </w:r>
      <w:r>
        <w:t>os Rel</w:t>
      </w:r>
      <w:r>
        <w:rPr>
          <w:spacing w:val="-1"/>
        </w:rPr>
        <w:t>a</w:t>
      </w:r>
      <w:r>
        <w:rPr>
          <w:spacing w:val="-2"/>
        </w:rPr>
        <w:t>t</w:t>
      </w:r>
      <w:r>
        <w:t xml:space="preserve">ed Diseases) </w:t>
      </w:r>
      <w:r>
        <w:rPr>
          <w:spacing w:val="-3"/>
        </w:rPr>
        <w:t>A</w:t>
      </w:r>
      <w:r>
        <w:rPr>
          <w:spacing w:val="2"/>
        </w:rPr>
        <w:t>c</w:t>
      </w:r>
      <w:r>
        <w:rPr>
          <w:spacing w:val="-1"/>
        </w:rPr>
        <w:t>t</w:t>
      </w:r>
      <w:r>
        <w:t>.</w:t>
      </w:r>
    </w:p>
    <w:p w14:paraId="12492A73" w14:textId="5BC8A2CF" w:rsidR="007D77B6" w:rsidRPr="007D77B6" w:rsidRDefault="007D77B6" w:rsidP="00A16123">
      <w:pPr>
        <w:pStyle w:val="Heading2nonumber"/>
        <w:numPr>
          <w:ilvl w:val="0"/>
          <w:numId w:val="15"/>
        </w:numPr>
      </w:pPr>
      <w:bookmarkStart w:id="682" w:name="_Toc430091360"/>
      <w:r w:rsidRPr="007D77B6">
        <w:t>Segment information</w:t>
      </w:r>
      <w:bookmarkEnd w:id="682"/>
    </w:p>
    <w:p w14:paraId="01DF4058" w14:textId="3B1AC554" w:rsidR="007D77B6" w:rsidRPr="007D77B6" w:rsidRDefault="007D77B6" w:rsidP="007D77B6">
      <w:pPr>
        <w:rPr>
          <w:color w:val="000000"/>
        </w:rPr>
      </w:pPr>
      <w:r>
        <w:rPr>
          <w:spacing w:val="2"/>
        </w:rPr>
        <w:t>I</w:t>
      </w:r>
      <w:r>
        <w:t>n a</w:t>
      </w:r>
      <w:r>
        <w:rPr>
          <w:spacing w:val="-2"/>
        </w:rPr>
        <w:t>cc</w:t>
      </w:r>
      <w:r>
        <w:t>o</w:t>
      </w:r>
      <w:r>
        <w:rPr>
          <w:spacing w:val="-3"/>
        </w:rPr>
        <w:t>r</w:t>
      </w:r>
      <w:r>
        <w:t>dan</w:t>
      </w:r>
      <w:r>
        <w:rPr>
          <w:spacing w:val="-2"/>
        </w:rPr>
        <w:t>c</w:t>
      </w:r>
      <w:r>
        <w:t>e with AASB 8 and</w:t>
      </w:r>
      <w:r>
        <w:rPr>
          <w:spacing w:val="-10"/>
        </w:rPr>
        <w:t xml:space="preserve"> </w:t>
      </w:r>
      <w:r>
        <w:t xml:space="preserve">TI 1101, the </w:t>
      </w:r>
      <w:r>
        <w:rPr>
          <w:spacing w:val="-3"/>
        </w:rPr>
        <w:t>A</w:t>
      </w:r>
      <w:r>
        <w:t>uthori</w:t>
      </w:r>
      <w:r>
        <w:rPr>
          <w:spacing w:val="2"/>
        </w:rPr>
        <w:t>t</w:t>
      </w:r>
      <w:r>
        <w:t>y has p</w:t>
      </w:r>
      <w:r>
        <w:rPr>
          <w:spacing w:val="-3"/>
        </w:rPr>
        <w:t>r</w:t>
      </w:r>
      <w:r>
        <w:rPr>
          <w:spacing w:val="-2"/>
        </w:rPr>
        <w:t>o</w:t>
      </w:r>
      <w:r>
        <w:t>vided summa</w:t>
      </w:r>
      <w:r>
        <w:rPr>
          <w:spacing w:val="5"/>
        </w:rPr>
        <w:t>r</w:t>
      </w:r>
      <w:r>
        <w:t>y in</w:t>
      </w:r>
      <w:r>
        <w:rPr>
          <w:spacing w:val="-3"/>
        </w:rPr>
        <w:t>f</w:t>
      </w:r>
      <w:r>
        <w:t>orm</w:t>
      </w:r>
      <w:r>
        <w:rPr>
          <w:spacing w:val="-1"/>
        </w:rPr>
        <w:t>a</w:t>
      </w:r>
      <w:r>
        <w:t xml:space="preserve">tion </w:t>
      </w:r>
      <w:r>
        <w:rPr>
          <w:spacing w:val="-1"/>
        </w:rPr>
        <w:t>a</w:t>
      </w:r>
      <w:r>
        <w:t>t no</w:t>
      </w:r>
      <w:r>
        <w:rPr>
          <w:spacing w:val="-2"/>
        </w:rPr>
        <w:t>t</w:t>
      </w:r>
      <w:r>
        <w:t xml:space="preserve">e 43 </w:t>
      </w:r>
      <w:r>
        <w:rPr>
          <w:spacing w:val="-3"/>
        </w:rPr>
        <w:t>f</w:t>
      </w:r>
      <w:r>
        <w:t xml:space="preserve">or each of the </w:t>
      </w:r>
      <w:r>
        <w:rPr>
          <w:spacing w:val="-3"/>
        </w:rPr>
        <w:t>A</w:t>
      </w:r>
      <w:r>
        <w:t>uthori</w:t>
      </w:r>
      <w:r>
        <w:rPr>
          <w:spacing w:val="2"/>
        </w:rPr>
        <w:t>t</w:t>
      </w:r>
      <w:r>
        <w:rPr>
          <w:spacing w:val="6"/>
        </w:rPr>
        <w:t>y</w:t>
      </w:r>
      <w:r>
        <w:rPr>
          <w:spacing w:val="-16"/>
        </w:rPr>
        <w:t>’</w:t>
      </w:r>
      <w:r>
        <w:t>s se</w:t>
      </w:r>
      <w:r>
        <w:rPr>
          <w:spacing w:val="5"/>
        </w:rPr>
        <w:t>r</w:t>
      </w:r>
      <w:r>
        <w:t>vi</w:t>
      </w:r>
      <w:r>
        <w:rPr>
          <w:spacing w:val="-2"/>
        </w:rPr>
        <w:t>c</w:t>
      </w:r>
      <w:r>
        <w:t>es inclusi</w:t>
      </w:r>
      <w:r>
        <w:rPr>
          <w:spacing w:val="-3"/>
        </w:rPr>
        <w:t>v</w:t>
      </w:r>
      <w:r>
        <w:t xml:space="preserve">e of the </w:t>
      </w:r>
      <w:r>
        <w:rPr>
          <w:spacing w:val="1"/>
        </w:rPr>
        <w:t>G</w:t>
      </w:r>
      <w:r>
        <w:t>ene</w:t>
      </w:r>
      <w:r>
        <w:rPr>
          <w:spacing w:val="-2"/>
        </w:rPr>
        <w:t>r</w:t>
      </w:r>
      <w:r>
        <w:t>al and Suppleme</w:t>
      </w:r>
      <w:r>
        <w:rPr>
          <w:spacing w:val="-1"/>
        </w:rPr>
        <w:t>n</w:t>
      </w:r>
      <w:r>
        <w:t>t</w:t>
      </w:r>
      <w:r>
        <w:rPr>
          <w:spacing w:val="-1"/>
        </w:rPr>
        <w:t>a</w:t>
      </w:r>
      <w:r>
        <w:t xml:space="preserve">tion </w:t>
      </w:r>
      <w:r>
        <w:rPr>
          <w:spacing w:val="-8"/>
        </w:rPr>
        <w:t>F</w:t>
      </w:r>
      <w:r>
        <w:t>un</w:t>
      </w:r>
      <w:r>
        <w:rPr>
          <w:spacing w:val="-3"/>
        </w:rPr>
        <w:t>d</w:t>
      </w:r>
      <w:r>
        <w:t>.</w:t>
      </w:r>
    </w:p>
    <w:p w14:paraId="55730194" w14:textId="1B473380" w:rsidR="007D77B6" w:rsidRPr="007D77B6" w:rsidRDefault="007D77B6" w:rsidP="00A16123">
      <w:pPr>
        <w:pStyle w:val="Heading2nonumber"/>
        <w:numPr>
          <w:ilvl w:val="0"/>
          <w:numId w:val="15"/>
        </w:numPr>
        <w:rPr>
          <w:color w:val="000000"/>
        </w:rPr>
      </w:pPr>
      <w:bookmarkStart w:id="683" w:name="_Toc430091361"/>
      <w:r>
        <w:t>Judgements</w:t>
      </w:r>
      <w:r>
        <w:rPr>
          <w:spacing w:val="-20"/>
        </w:rPr>
        <w:t xml:space="preserve"> </w:t>
      </w:r>
      <w:r>
        <w:t>made</w:t>
      </w:r>
      <w:r>
        <w:rPr>
          <w:spacing w:val="-19"/>
        </w:rPr>
        <w:t xml:space="preserve"> </w:t>
      </w:r>
      <w:r>
        <w:t>by</w:t>
      </w:r>
      <w:r>
        <w:rPr>
          <w:spacing w:val="-19"/>
        </w:rPr>
        <w:t xml:space="preserve"> </w:t>
      </w:r>
      <w:r>
        <w:t>management</w:t>
      </w:r>
      <w:r>
        <w:rPr>
          <w:spacing w:val="-20"/>
        </w:rPr>
        <w:t xml:space="preserve"> </w:t>
      </w:r>
      <w:r>
        <w:rPr>
          <w:spacing w:val="-10"/>
        </w:rPr>
        <w:t>in</w:t>
      </w:r>
      <w:r>
        <w:rPr>
          <w:w w:val="99"/>
        </w:rPr>
        <w:t xml:space="preserve"> </w:t>
      </w:r>
      <w:r>
        <w:t>applying</w:t>
      </w:r>
      <w:r>
        <w:rPr>
          <w:spacing w:val="-22"/>
        </w:rPr>
        <w:t xml:space="preserve"> </w:t>
      </w:r>
      <w:r>
        <w:t>accounting</w:t>
      </w:r>
      <w:r>
        <w:rPr>
          <w:spacing w:val="-22"/>
        </w:rPr>
        <w:t xml:space="preserve"> </w:t>
      </w:r>
      <w:r>
        <w:rPr>
          <w:spacing w:val="-10"/>
        </w:rPr>
        <w:t>policies</w:t>
      </w:r>
      <w:bookmarkEnd w:id="683"/>
    </w:p>
    <w:p w14:paraId="1D8424B0" w14:textId="77777777" w:rsidR="00E74D24" w:rsidRDefault="007D77B6" w:rsidP="007D77B6">
      <w:pPr>
        <w:rPr>
          <w:rFonts w:ascii="Myriad Pro" w:hAnsi="Myriad Pro" w:cs="Myriad Pro"/>
          <w:color w:val="231F20"/>
          <w:spacing w:val="-2"/>
          <w:sz w:val="22"/>
          <w:szCs w:val="22"/>
        </w:rPr>
      </w:pPr>
      <w:r>
        <w:rPr>
          <w:spacing w:val="-2"/>
        </w:rPr>
        <w:t>T</w:t>
      </w:r>
      <w:r>
        <w:t>he</w:t>
      </w:r>
      <w:r>
        <w:rPr>
          <w:spacing w:val="-1"/>
        </w:rPr>
        <w:t xml:space="preserve"> </w:t>
      </w:r>
      <w:r>
        <w:t>p</w:t>
      </w:r>
      <w:r>
        <w:rPr>
          <w:spacing w:val="-3"/>
        </w:rPr>
        <w:t>r</w:t>
      </w:r>
      <w:r>
        <w:t>epa</w:t>
      </w:r>
      <w:r>
        <w:rPr>
          <w:spacing w:val="-2"/>
        </w:rPr>
        <w:t>r</w:t>
      </w:r>
      <w:r>
        <w:rPr>
          <w:spacing w:val="-1"/>
        </w:rPr>
        <w:t>a</w:t>
      </w:r>
      <w:r>
        <w:t>tion</w:t>
      </w:r>
      <w:r>
        <w:rPr>
          <w:spacing w:val="-1"/>
        </w:rPr>
        <w:t xml:space="preserve"> </w:t>
      </w:r>
      <w:r>
        <w:t>of</w:t>
      </w:r>
      <w:r>
        <w:rPr>
          <w:spacing w:val="-1"/>
        </w:rPr>
        <w:t xml:space="preserve"> </w:t>
      </w:r>
      <w:r>
        <w:t>financial</w:t>
      </w:r>
      <w:r>
        <w:rPr>
          <w:spacing w:val="-1"/>
        </w:rPr>
        <w:t xml:space="preserve"> </w:t>
      </w:r>
      <w:r>
        <w:t>st</w:t>
      </w:r>
      <w:r>
        <w:rPr>
          <w:spacing w:val="-1"/>
        </w:rPr>
        <w:t>a</w:t>
      </w:r>
      <w:r>
        <w:rPr>
          <w:spacing w:val="-2"/>
        </w:rPr>
        <w:t>t</w:t>
      </w:r>
      <w:r>
        <w:t>eme</w:t>
      </w:r>
      <w:r>
        <w:rPr>
          <w:spacing w:val="-1"/>
        </w:rPr>
        <w:t>n</w:t>
      </w:r>
      <w:r>
        <w:t>ts</w:t>
      </w:r>
      <w:r>
        <w:rPr>
          <w:spacing w:val="-1"/>
        </w:rPr>
        <w:t xml:space="preserve"> </w:t>
      </w:r>
      <w:r>
        <w:rPr>
          <w:spacing w:val="-3"/>
        </w:rPr>
        <w:t>r</w:t>
      </w:r>
      <w:r>
        <w:t>equi</w:t>
      </w:r>
      <w:r>
        <w:rPr>
          <w:spacing w:val="-3"/>
        </w:rPr>
        <w:t>r</w:t>
      </w:r>
      <w:r>
        <w:t>es</w:t>
      </w:r>
      <w:r>
        <w:rPr>
          <w:spacing w:val="-1"/>
        </w:rPr>
        <w:t xml:space="preserve"> </w:t>
      </w:r>
      <w:r>
        <w:t>manageme</w:t>
      </w:r>
      <w:r>
        <w:rPr>
          <w:spacing w:val="-1"/>
        </w:rPr>
        <w:t>n</w:t>
      </w:r>
      <w:r>
        <w:t>t</w:t>
      </w:r>
      <w:r>
        <w:rPr>
          <w:spacing w:val="-1"/>
        </w:rPr>
        <w:t xml:space="preserve"> </w:t>
      </w:r>
      <w:r>
        <w:rPr>
          <w:spacing w:val="-2"/>
        </w:rPr>
        <w:t>t</w:t>
      </w:r>
      <w:r>
        <w:t>o</w:t>
      </w:r>
      <w:r>
        <w:rPr>
          <w:spacing w:val="-1"/>
        </w:rPr>
        <w:t xml:space="preserve"> </w:t>
      </w:r>
      <w:r>
        <w:t>make judgeme</w:t>
      </w:r>
      <w:r>
        <w:rPr>
          <w:spacing w:val="-1"/>
        </w:rPr>
        <w:t>n</w:t>
      </w:r>
      <w:r>
        <w:t>ts</w:t>
      </w:r>
      <w:r>
        <w:rPr>
          <w:spacing w:val="-1"/>
        </w:rPr>
        <w:t xml:space="preserve"> </w:t>
      </w:r>
      <w:r>
        <w:t>about</w:t>
      </w:r>
      <w:r>
        <w:rPr>
          <w:spacing w:val="-1"/>
        </w:rPr>
        <w:t xml:space="preserve"> </w:t>
      </w:r>
      <w:r>
        <w:t>the applic</w:t>
      </w:r>
      <w:r>
        <w:rPr>
          <w:spacing w:val="-1"/>
        </w:rPr>
        <w:t>a</w:t>
      </w:r>
      <w:r>
        <w:t>tion</w:t>
      </w:r>
      <w:r>
        <w:rPr>
          <w:spacing w:val="-1"/>
        </w:rPr>
        <w:t xml:space="preserve"> </w:t>
      </w:r>
      <w:r>
        <w:t>of</w:t>
      </w:r>
      <w:r>
        <w:rPr>
          <w:spacing w:val="-1"/>
        </w:rPr>
        <w:t xml:space="preserve"> </w:t>
      </w:r>
      <w:r>
        <w:t>a</w:t>
      </w:r>
      <w:r>
        <w:rPr>
          <w:spacing w:val="-2"/>
        </w:rPr>
        <w:t>cc</w:t>
      </w:r>
      <w:r>
        <w:t>ou</w:t>
      </w:r>
      <w:r>
        <w:rPr>
          <w:spacing w:val="-1"/>
        </w:rPr>
        <w:t>n</w:t>
      </w:r>
      <w:r>
        <w:t>ting policies</w:t>
      </w:r>
      <w:r>
        <w:rPr>
          <w:spacing w:val="-1"/>
        </w:rPr>
        <w:t xml:space="preserve"> </w:t>
      </w:r>
      <w:r>
        <w:t>th</w:t>
      </w:r>
      <w:r>
        <w:rPr>
          <w:spacing w:val="-1"/>
        </w:rPr>
        <w:t>a</w:t>
      </w:r>
      <w:r>
        <w:t>t h</w:t>
      </w:r>
      <w:r>
        <w:rPr>
          <w:spacing w:val="-2"/>
        </w:rPr>
        <w:t>a</w:t>
      </w:r>
      <w:r>
        <w:rPr>
          <w:spacing w:val="-3"/>
        </w:rPr>
        <w:t>v</w:t>
      </w:r>
      <w:r>
        <w:t>e</w:t>
      </w:r>
      <w:r>
        <w:rPr>
          <w:spacing w:val="-1"/>
        </w:rPr>
        <w:t xml:space="preserve"> </w:t>
      </w:r>
      <w:r>
        <w:t>a</w:t>
      </w:r>
      <w:r>
        <w:rPr>
          <w:spacing w:val="-1"/>
        </w:rPr>
        <w:t xml:space="preserve"> </w:t>
      </w:r>
      <w:r>
        <w:t>si</w:t>
      </w:r>
      <w:r>
        <w:rPr>
          <w:spacing w:val="-2"/>
        </w:rPr>
        <w:t>g</w:t>
      </w:r>
      <w:r>
        <w:t>nifica</w:t>
      </w:r>
      <w:r>
        <w:rPr>
          <w:spacing w:val="-1"/>
        </w:rPr>
        <w:t>n</w:t>
      </w:r>
      <w:r>
        <w:t>t ef</w:t>
      </w:r>
      <w:r>
        <w:rPr>
          <w:spacing w:val="-3"/>
        </w:rPr>
        <w:t>f</w:t>
      </w:r>
      <w:r>
        <w:t>e</w:t>
      </w:r>
      <w:r>
        <w:rPr>
          <w:spacing w:val="2"/>
        </w:rPr>
        <w:t>c</w:t>
      </w:r>
      <w:r>
        <w:t>t</w:t>
      </w:r>
      <w:r>
        <w:rPr>
          <w:spacing w:val="-2"/>
        </w:rPr>
        <w:t xml:space="preserve"> </w:t>
      </w:r>
      <w:r>
        <w:t>on</w:t>
      </w:r>
      <w:r>
        <w:rPr>
          <w:spacing w:val="-1"/>
        </w:rPr>
        <w:t xml:space="preserve"> </w:t>
      </w:r>
      <w:r>
        <w:t>the</w:t>
      </w:r>
      <w:r>
        <w:rPr>
          <w:spacing w:val="-1"/>
        </w:rPr>
        <w:t xml:space="preserve"> </w:t>
      </w:r>
      <w:r>
        <w:t>amou</w:t>
      </w:r>
      <w:r>
        <w:rPr>
          <w:spacing w:val="-1"/>
        </w:rPr>
        <w:t>n</w:t>
      </w:r>
      <w:r>
        <w:t>ts</w:t>
      </w:r>
      <w:r>
        <w:rPr>
          <w:spacing w:val="-1"/>
        </w:rPr>
        <w:t xml:space="preserve"> </w:t>
      </w:r>
      <w:r>
        <w:rPr>
          <w:spacing w:val="-3"/>
        </w:rPr>
        <w:t>r</w:t>
      </w:r>
      <w:r>
        <w:t>e</w:t>
      </w:r>
      <w:r>
        <w:rPr>
          <w:spacing w:val="-2"/>
        </w:rPr>
        <w:t>c</w:t>
      </w:r>
      <w:r>
        <w:t>o</w:t>
      </w:r>
      <w:r>
        <w:rPr>
          <w:spacing w:val="-2"/>
        </w:rPr>
        <w:t>g</w:t>
      </w:r>
      <w:r>
        <w:t>nised</w:t>
      </w:r>
      <w:r>
        <w:rPr>
          <w:spacing w:val="-1"/>
        </w:rPr>
        <w:t xml:space="preserve"> </w:t>
      </w:r>
      <w:r>
        <w:t>in</w:t>
      </w:r>
      <w:r>
        <w:rPr>
          <w:spacing w:val="-1"/>
        </w:rPr>
        <w:t xml:space="preserve"> </w:t>
      </w:r>
      <w:r>
        <w:t>the</w:t>
      </w:r>
      <w:r>
        <w:rPr>
          <w:spacing w:val="-1"/>
        </w:rPr>
        <w:t xml:space="preserve"> </w:t>
      </w:r>
      <w:r>
        <w:t>financial</w:t>
      </w:r>
      <w:r>
        <w:rPr>
          <w:spacing w:val="-1"/>
        </w:rPr>
        <w:t xml:space="preserve"> </w:t>
      </w:r>
      <w:r>
        <w:t>st</w:t>
      </w:r>
      <w:r>
        <w:rPr>
          <w:spacing w:val="-1"/>
        </w:rPr>
        <w:t>a</w:t>
      </w:r>
      <w:r>
        <w:rPr>
          <w:spacing w:val="-2"/>
        </w:rPr>
        <w:t>t</w:t>
      </w:r>
      <w:r>
        <w:t>eme</w:t>
      </w:r>
      <w:r>
        <w:rPr>
          <w:spacing w:val="-1"/>
        </w:rPr>
        <w:t>n</w:t>
      </w:r>
      <w:r>
        <w:t>t</w:t>
      </w:r>
      <w:r>
        <w:rPr>
          <w:spacing w:val="-3"/>
        </w:rPr>
        <w:t>s</w:t>
      </w:r>
      <w:r>
        <w:t>.</w:t>
      </w:r>
      <w:r>
        <w:rPr>
          <w:spacing w:val="-10"/>
        </w:rPr>
        <w:t xml:space="preserve"> </w:t>
      </w:r>
      <w:r>
        <w:rPr>
          <w:spacing w:val="-2"/>
        </w:rPr>
        <w:t>T</w:t>
      </w:r>
      <w:r>
        <w:t>he</w:t>
      </w:r>
      <w:r>
        <w:rPr>
          <w:spacing w:val="-1"/>
        </w:rPr>
        <w:t xml:space="preserve"> </w:t>
      </w:r>
      <w:r>
        <w:rPr>
          <w:spacing w:val="-3"/>
        </w:rPr>
        <w:t>A</w:t>
      </w:r>
      <w:r>
        <w:t>uthori</w:t>
      </w:r>
      <w:r>
        <w:rPr>
          <w:spacing w:val="2"/>
        </w:rPr>
        <w:t>t</w:t>
      </w:r>
      <w:r>
        <w:t>y e</w:t>
      </w:r>
      <w:r>
        <w:rPr>
          <w:spacing w:val="-1"/>
        </w:rPr>
        <w:t>v</w:t>
      </w:r>
      <w:r>
        <w:t>alu</w:t>
      </w:r>
      <w:r>
        <w:rPr>
          <w:spacing w:val="-1"/>
        </w:rPr>
        <w:t>a</w:t>
      </w:r>
      <w:r>
        <w:rPr>
          <w:spacing w:val="-2"/>
        </w:rPr>
        <w:t>t</w:t>
      </w:r>
      <w:r>
        <w:t>es these judgeme</w:t>
      </w:r>
      <w:r>
        <w:rPr>
          <w:spacing w:val="-1"/>
        </w:rPr>
        <w:t>n</w:t>
      </w:r>
      <w:r>
        <w:t xml:space="preserve">ts </w:t>
      </w:r>
      <w:r>
        <w:rPr>
          <w:spacing w:val="-3"/>
        </w:rPr>
        <w:t>r</w:t>
      </w:r>
      <w:r>
        <w:t>egularl</w:t>
      </w:r>
      <w:r>
        <w:rPr>
          <w:spacing w:val="-9"/>
        </w:rPr>
        <w:t>y</w:t>
      </w:r>
      <w:r>
        <w:t>.</w:t>
      </w:r>
      <w:r w:rsidR="00E74D24" w:rsidRPr="00E74D24">
        <w:rPr>
          <w:rFonts w:ascii="Myriad Pro" w:hAnsi="Myriad Pro" w:cs="Myriad Pro"/>
          <w:color w:val="231F20"/>
          <w:spacing w:val="-2"/>
          <w:sz w:val="22"/>
          <w:szCs w:val="22"/>
        </w:rPr>
        <w:t xml:space="preserve"> </w:t>
      </w:r>
    </w:p>
    <w:p w14:paraId="38107756" w14:textId="33E9B6B2" w:rsidR="007D77B6" w:rsidRDefault="00E74D24" w:rsidP="00E74D24">
      <w:r>
        <w:rPr>
          <w:spacing w:val="-2"/>
        </w:rPr>
        <w:t>T</w:t>
      </w:r>
      <w:r>
        <w:t>he judgeme</w:t>
      </w:r>
      <w:r>
        <w:rPr>
          <w:spacing w:val="-1"/>
        </w:rPr>
        <w:t>n</w:t>
      </w:r>
      <w:r>
        <w:t>ts th</w:t>
      </w:r>
      <w:r>
        <w:rPr>
          <w:spacing w:val="-1"/>
        </w:rPr>
        <w:t>a</w:t>
      </w:r>
      <w:r>
        <w:t>t h</w:t>
      </w:r>
      <w:r>
        <w:rPr>
          <w:spacing w:val="-2"/>
        </w:rPr>
        <w:t>a</w:t>
      </w:r>
      <w:r>
        <w:rPr>
          <w:spacing w:val="-3"/>
        </w:rPr>
        <w:t>v</w:t>
      </w:r>
      <w:r>
        <w:t>e been made in the p</w:t>
      </w:r>
      <w:r>
        <w:rPr>
          <w:spacing w:val="-3"/>
        </w:rPr>
        <w:t>r</w:t>
      </w:r>
      <w:r>
        <w:t>o</w:t>
      </w:r>
      <w:r>
        <w:rPr>
          <w:spacing w:val="-2"/>
        </w:rPr>
        <w:t>c</w:t>
      </w:r>
      <w:r>
        <w:t>ess of applying a</w:t>
      </w:r>
      <w:r>
        <w:rPr>
          <w:spacing w:val="-2"/>
        </w:rPr>
        <w:t>cc</w:t>
      </w:r>
      <w:r>
        <w:t>ou</w:t>
      </w:r>
      <w:r>
        <w:rPr>
          <w:spacing w:val="-1"/>
        </w:rPr>
        <w:t>n</w:t>
      </w:r>
      <w:r>
        <w:t>ting policies</w:t>
      </w:r>
      <w:r>
        <w:rPr>
          <w:spacing w:val="-1"/>
        </w:rPr>
        <w:t xml:space="preserve"> </w:t>
      </w:r>
      <w:r>
        <w:t>th</w:t>
      </w:r>
      <w:r>
        <w:rPr>
          <w:spacing w:val="-1"/>
        </w:rPr>
        <w:t>a</w:t>
      </w:r>
      <w:r>
        <w:t>t</w:t>
      </w:r>
      <w:r>
        <w:rPr>
          <w:spacing w:val="-1"/>
        </w:rPr>
        <w:t xml:space="preserve"> </w:t>
      </w:r>
      <w:r>
        <w:t>h</w:t>
      </w:r>
      <w:r>
        <w:rPr>
          <w:spacing w:val="-2"/>
        </w:rPr>
        <w:t>a</w:t>
      </w:r>
      <w:r>
        <w:rPr>
          <w:spacing w:val="-3"/>
        </w:rPr>
        <w:t>v</w:t>
      </w:r>
      <w:r>
        <w:t>e</w:t>
      </w:r>
      <w:r>
        <w:rPr>
          <w:spacing w:val="-1"/>
        </w:rPr>
        <w:t xml:space="preserve"> </w:t>
      </w:r>
      <w:r>
        <w:t>the most</w:t>
      </w:r>
      <w:r>
        <w:rPr>
          <w:spacing w:val="-1"/>
        </w:rPr>
        <w:t xml:space="preserve"> </w:t>
      </w:r>
      <w:r>
        <w:t>si</w:t>
      </w:r>
      <w:r>
        <w:rPr>
          <w:spacing w:val="-2"/>
        </w:rPr>
        <w:t>g</w:t>
      </w:r>
      <w:r>
        <w:t>nifica</w:t>
      </w:r>
      <w:r>
        <w:rPr>
          <w:spacing w:val="-1"/>
        </w:rPr>
        <w:t>n</w:t>
      </w:r>
      <w:r>
        <w:t>t</w:t>
      </w:r>
      <w:r>
        <w:rPr>
          <w:spacing w:val="-1"/>
        </w:rPr>
        <w:t xml:space="preserve"> </w:t>
      </w:r>
      <w:r>
        <w:t>ef</w:t>
      </w:r>
      <w:r>
        <w:rPr>
          <w:spacing w:val="-3"/>
        </w:rPr>
        <w:t>f</w:t>
      </w:r>
      <w:r>
        <w:t>e</w:t>
      </w:r>
      <w:r>
        <w:rPr>
          <w:spacing w:val="2"/>
        </w:rPr>
        <w:t>c</w:t>
      </w:r>
      <w:r>
        <w:t>t on</w:t>
      </w:r>
      <w:r>
        <w:rPr>
          <w:spacing w:val="-1"/>
        </w:rPr>
        <w:t xml:space="preserve"> </w:t>
      </w:r>
      <w:r>
        <w:t>the</w:t>
      </w:r>
      <w:r>
        <w:rPr>
          <w:spacing w:val="-1"/>
        </w:rPr>
        <w:t xml:space="preserve"> </w:t>
      </w:r>
      <w:r>
        <w:t>amou</w:t>
      </w:r>
      <w:r>
        <w:rPr>
          <w:spacing w:val="-1"/>
        </w:rPr>
        <w:t>n</w:t>
      </w:r>
      <w:r>
        <w:t>ts</w:t>
      </w:r>
      <w:r>
        <w:rPr>
          <w:spacing w:val="-1"/>
        </w:rPr>
        <w:t xml:space="preserve"> </w:t>
      </w:r>
      <w:r>
        <w:rPr>
          <w:spacing w:val="-3"/>
        </w:rPr>
        <w:t>r</w:t>
      </w:r>
      <w:r>
        <w:t>e</w:t>
      </w:r>
      <w:r>
        <w:rPr>
          <w:spacing w:val="-2"/>
        </w:rPr>
        <w:t>c</w:t>
      </w:r>
      <w:r>
        <w:t>o</w:t>
      </w:r>
      <w:r>
        <w:rPr>
          <w:spacing w:val="-2"/>
        </w:rPr>
        <w:t>g</w:t>
      </w:r>
      <w:r>
        <w:t>nised in</w:t>
      </w:r>
      <w:r>
        <w:rPr>
          <w:spacing w:val="-1"/>
        </w:rPr>
        <w:t xml:space="preserve"> </w:t>
      </w:r>
      <w:r>
        <w:t>the financial</w:t>
      </w:r>
      <w:r>
        <w:rPr>
          <w:spacing w:val="-4"/>
        </w:rPr>
        <w:t xml:space="preserve"> </w:t>
      </w:r>
      <w:r>
        <w:rPr>
          <w:spacing w:val="-3"/>
        </w:rPr>
        <w:t>r</w:t>
      </w:r>
      <w:r>
        <w:t>epo</w:t>
      </w:r>
      <w:r>
        <w:rPr>
          <w:spacing w:val="5"/>
        </w:rPr>
        <w:t>r</w:t>
      </w:r>
      <w:r>
        <w:t>t</w:t>
      </w:r>
      <w:r>
        <w:rPr>
          <w:spacing w:val="-4"/>
        </w:rPr>
        <w:t xml:space="preserve"> </w:t>
      </w:r>
      <w:r>
        <w:t>include:</w:t>
      </w:r>
    </w:p>
    <w:p w14:paraId="7E792D28" w14:textId="6B22D619" w:rsidR="00E74D24" w:rsidRPr="00E74D24" w:rsidRDefault="00E74D24" w:rsidP="00A16123">
      <w:pPr>
        <w:pStyle w:val="ListParagraph"/>
        <w:numPr>
          <w:ilvl w:val="0"/>
          <w:numId w:val="16"/>
        </w:numPr>
      </w:pPr>
      <w:r w:rsidRPr="00E74D24">
        <w:t>The Authority uses the services of an actuary for the purpose of determining the liability for workers’ compensation claims for asbestos and non-asbestos claims for the General Account and Supplementation Fund.</w:t>
      </w:r>
    </w:p>
    <w:p w14:paraId="52C73B2A" w14:textId="3335420D" w:rsidR="00E74D24" w:rsidRPr="00E74D24" w:rsidRDefault="00E74D24" w:rsidP="00A16123">
      <w:pPr>
        <w:pStyle w:val="ListParagraph"/>
        <w:numPr>
          <w:ilvl w:val="0"/>
          <w:numId w:val="16"/>
        </w:numPr>
      </w:pPr>
      <w:r w:rsidRPr="00E74D24">
        <w:t>The Authority has adopted a policy of obtaining actuarial assessment of employee entitlements.</w:t>
      </w:r>
    </w:p>
    <w:p w14:paraId="2761B3F6" w14:textId="0F509A67" w:rsidR="00E74D24" w:rsidRDefault="00E74D24" w:rsidP="00E74D24">
      <w:pPr>
        <w:pStyle w:val="ListParagraph"/>
        <w:ind w:left="1080"/>
      </w:pPr>
    </w:p>
    <w:p w14:paraId="5CEAB9E0" w14:textId="77777777" w:rsidR="00E74D24" w:rsidRDefault="00E74D24" w:rsidP="007D77B6">
      <w:pPr>
        <w:rPr>
          <w:color w:val="000000"/>
        </w:rPr>
      </w:pPr>
    </w:p>
    <w:p w14:paraId="12CB675F" w14:textId="77777777" w:rsidR="00E74D24" w:rsidRDefault="00E74D24" w:rsidP="007D77B6">
      <w:pPr>
        <w:rPr>
          <w:color w:val="000000"/>
        </w:rPr>
      </w:pPr>
    </w:p>
    <w:p w14:paraId="204975BD" w14:textId="5093CBAD" w:rsidR="00E74D24" w:rsidRDefault="00E74D24" w:rsidP="00A16123">
      <w:pPr>
        <w:pStyle w:val="Heading2nonumber"/>
        <w:numPr>
          <w:ilvl w:val="0"/>
          <w:numId w:val="15"/>
        </w:numPr>
      </w:pPr>
      <w:bookmarkStart w:id="684" w:name="_Toc430091362"/>
      <w:r>
        <w:lastRenderedPageBreak/>
        <w:t>Key sources of estimation uncertainty</w:t>
      </w:r>
      <w:bookmarkEnd w:id="684"/>
    </w:p>
    <w:p w14:paraId="20AE0F75" w14:textId="61374FDF" w:rsidR="00E74D24" w:rsidRDefault="00E74D24" w:rsidP="00E74D24">
      <w:r w:rsidRPr="00E74D24">
        <w:t>Key estimates and assumptions concerning the future are based on historical experience and various other factors that have a significant risk of causing a material adjustment to the carrying amount of assets and liabilities within the next financial year.</w:t>
      </w:r>
    </w:p>
    <w:p w14:paraId="06D96830" w14:textId="77777777" w:rsidR="00E74D24" w:rsidRPr="00DA1E18" w:rsidRDefault="00E74D24" w:rsidP="00E74D24">
      <w:pPr>
        <w:rPr>
          <w:rStyle w:val="Strong"/>
          <w:i/>
        </w:rPr>
      </w:pPr>
      <w:r w:rsidRPr="00DA1E18">
        <w:rPr>
          <w:rStyle w:val="Strong"/>
          <w:i/>
        </w:rPr>
        <w:t>Long Service Leave</w:t>
      </w:r>
    </w:p>
    <w:p w14:paraId="21FFF634" w14:textId="42E1FFC3" w:rsidR="00E74D24" w:rsidRDefault="00E74D24" w:rsidP="00E74D24">
      <w:r>
        <w:t>Several estim</w:t>
      </w:r>
      <w:r>
        <w:rPr>
          <w:spacing w:val="-1"/>
        </w:rPr>
        <w:t>a</w:t>
      </w:r>
      <w:r>
        <w:t>tions and assumptions used in calcul</w:t>
      </w:r>
      <w:r>
        <w:rPr>
          <w:spacing w:val="-1"/>
        </w:rPr>
        <w:t>a</w:t>
      </w:r>
      <w:r>
        <w:t xml:space="preserve">ting the </w:t>
      </w:r>
      <w:r>
        <w:rPr>
          <w:spacing w:val="-3"/>
        </w:rPr>
        <w:t>A</w:t>
      </w:r>
      <w:r>
        <w:t>uthori</w:t>
      </w:r>
      <w:r>
        <w:rPr>
          <w:spacing w:val="1"/>
        </w:rPr>
        <w:t>t</w:t>
      </w:r>
      <w:r>
        <w:rPr>
          <w:spacing w:val="6"/>
        </w:rPr>
        <w:t>y</w:t>
      </w:r>
      <w:r>
        <w:rPr>
          <w:spacing w:val="-16"/>
        </w:rPr>
        <w:t>’</w:t>
      </w:r>
      <w:r>
        <w:t>s long se</w:t>
      </w:r>
      <w:r>
        <w:rPr>
          <w:spacing w:val="5"/>
        </w:rPr>
        <w:t>r</w:t>
      </w:r>
      <w:r>
        <w:t>vi</w:t>
      </w:r>
      <w:r>
        <w:rPr>
          <w:spacing w:val="-2"/>
        </w:rPr>
        <w:t>c</w:t>
      </w:r>
      <w:r>
        <w:t>e le</w:t>
      </w:r>
      <w:r>
        <w:rPr>
          <w:spacing w:val="-2"/>
        </w:rPr>
        <w:t>a</w:t>
      </w:r>
      <w:r>
        <w:rPr>
          <w:spacing w:val="-3"/>
        </w:rPr>
        <w:t>v</w:t>
      </w:r>
      <w:r>
        <w:t>e p</w:t>
      </w:r>
      <w:r>
        <w:rPr>
          <w:spacing w:val="-3"/>
        </w:rPr>
        <w:t>r</w:t>
      </w:r>
      <w:r>
        <w:rPr>
          <w:spacing w:val="-2"/>
        </w:rPr>
        <w:t>o</w:t>
      </w:r>
      <w:r>
        <w:t xml:space="preserve">vision include </w:t>
      </w:r>
      <w:r>
        <w:rPr>
          <w:spacing w:val="-1"/>
        </w:rPr>
        <w:t>e</w:t>
      </w:r>
      <w:r>
        <w:t>xpe</w:t>
      </w:r>
      <w:r>
        <w:rPr>
          <w:spacing w:val="2"/>
        </w:rPr>
        <w:t>c</w:t>
      </w:r>
      <w:r>
        <w:rPr>
          <w:spacing w:val="-2"/>
        </w:rPr>
        <w:t>t</w:t>
      </w:r>
      <w:r>
        <w:t>ed futu</w:t>
      </w:r>
      <w:r>
        <w:rPr>
          <w:spacing w:val="-3"/>
        </w:rPr>
        <w:t>r</w:t>
      </w:r>
      <w:r>
        <w:t>e sala</w:t>
      </w:r>
      <w:r>
        <w:rPr>
          <w:spacing w:val="5"/>
        </w:rPr>
        <w:t>r</w:t>
      </w:r>
      <w:r>
        <w:t xml:space="preserve">y </w:t>
      </w:r>
      <w:r>
        <w:rPr>
          <w:spacing w:val="-2"/>
        </w:rPr>
        <w:t>r</w:t>
      </w:r>
      <w:r>
        <w:rPr>
          <w:spacing w:val="-1"/>
        </w:rPr>
        <w:t>a</w:t>
      </w:r>
      <w:r>
        <w:rPr>
          <w:spacing w:val="-2"/>
        </w:rPr>
        <w:t>t</w:t>
      </w:r>
      <w:r>
        <w:t>e</w:t>
      </w:r>
      <w:r>
        <w:rPr>
          <w:spacing w:val="-3"/>
        </w:rPr>
        <w:t>s</w:t>
      </w:r>
      <w:r>
        <w:t>, dis</w:t>
      </w:r>
      <w:r>
        <w:rPr>
          <w:spacing w:val="-2"/>
        </w:rPr>
        <w:t>c</w:t>
      </w:r>
      <w:r>
        <w:t>ou</w:t>
      </w:r>
      <w:r>
        <w:rPr>
          <w:spacing w:val="-1"/>
        </w:rPr>
        <w:t>n</w:t>
      </w:r>
      <w:r>
        <w:t xml:space="preserve">t </w:t>
      </w:r>
      <w:r>
        <w:rPr>
          <w:spacing w:val="-2"/>
        </w:rPr>
        <w:t>r</w:t>
      </w:r>
      <w:r>
        <w:rPr>
          <w:spacing w:val="-1"/>
        </w:rPr>
        <w:t>a</w:t>
      </w:r>
      <w:r>
        <w:rPr>
          <w:spacing w:val="-2"/>
        </w:rPr>
        <w:t>t</w:t>
      </w:r>
      <w:r>
        <w:t>e</w:t>
      </w:r>
      <w:r>
        <w:rPr>
          <w:spacing w:val="-3"/>
        </w:rPr>
        <w:t>s</w:t>
      </w:r>
      <w:r>
        <w:t>, empl</w:t>
      </w:r>
      <w:r>
        <w:rPr>
          <w:spacing w:val="-2"/>
        </w:rPr>
        <w:t>o</w:t>
      </w:r>
      <w:r>
        <w:rPr>
          <w:spacing w:val="-3"/>
        </w:rPr>
        <w:t>y</w:t>
      </w:r>
      <w:r>
        <w:t xml:space="preserve">ee </w:t>
      </w:r>
      <w:r>
        <w:rPr>
          <w:spacing w:val="-3"/>
        </w:rPr>
        <w:t>r</w:t>
      </w:r>
      <w:r>
        <w:t>e</w:t>
      </w:r>
      <w:r>
        <w:rPr>
          <w:spacing w:val="-2"/>
        </w:rPr>
        <w:t>t</w:t>
      </w:r>
      <w:r>
        <w:t>e</w:t>
      </w:r>
      <w:r>
        <w:rPr>
          <w:spacing w:val="-1"/>
        </w:rPr>
        <w:t>n</w:t>
      </w:r>
      <w:r>
        <w:t xml:space="preserve">tion </w:t>
      </w:r>
      <w:r>
        <w:rPr>
          <w:spacing w:val="-2"/>
        </w:rPr>
        <w:t>r</w:t>
      </w:r>
      <w:r>
        <w:rPr>
          <w:spacing w:val="-1"/>
        </w:rPr>
        <w:t>a</w:t>
      </w:r>
      <w:r>
        <w:rPr>
          <w:spacing w:val="-2"/>
        </w:rPr>
        <w:t>t</w:t>
      </w:r>
      <w:r>
        <w:t xml:space="preserve">es and </w:t>
      </w:r>
      <w:r>
        <w:rPr>
          <w:spacing w:val="-1"/>
        </w:rPr>
        <w:t>e</w:t>
      </w:r>
      <w:r>
        <w:t>xpe</w:t>
      </w:r>
      <w:r>
        <w:rPr>
          <w:spacing w:val="2"/>
        </w:rPr>
        <w:t>c</w:t>
      </w:r>
      <w:r>
        <w:rPr>
          <w:spacing w:val="-2"/>
        </w:rPr>
        <w:t>t</w:t>
      </w:r>
      <w:r>
        <w:t>ed futu</w:t>
      </w:r>
      <w:r>
        <w:rPr>
          <w:spacing w:val="-3"/>
        </w:rPr>
        <w:t>r</w:t>
      </w:r>
      <w:r>
        <w:t>e p</w:t>
      </w:r>
      <w:r>
        <w:rPr>
          <w:spacing w:val="-2"/>
        </w:rPr>
        <w:t>a</w:t>
      </w:r>
      <w:r>
        <w:t>yme</w:t>
      </w:r>
      <w:r>
        <w:rPr>
          <w:spacing w:val="-1"/>
        </w:rPr>
        <w:t>n</w:t>
      </w:r>
      <w:r>
        <w:t>t</w:t>
      </w:r>
      <w:r>
        <w:rPr>
          <w:spacing w:val="-3"/>
        </w:rPr>
        <w:t>s</w:t>
      </w:r>
      <w:r>
        <w:t>. Changes in these estim</w:t>
      </w:r>
      <w:r>
        <w:rPr>
          <w:spacing w:val="-1"/>
        </w:rPr>
        <w:t>a</w:t>
      </w:r>
      <w:r>
        <w:t>tions and assumptions m</w:t>
      </w:r>
      <w:r>
        <w:rPr>
          <w:spacing w:val="-2"/>
        </w:rPr>
        <w:t>a</w:t>
      </w:r>
      <w:r>
        <w:t>y impa</w:t>
      </w:r>
      <w:r>
        <w:rPr>
          <w:spacing w:val="2"/>
        </w:rPr>
        <w:t>c</w:t>
      </w:r>
      <w:r>
        <w:t>t on the car</w:t>
      </w:r>
      <w:r>
        <w:rPr>
          <w:spacing w:val="5"/>
        </w:rPr>
        <w:t>r</w:t>
      </w:r>
      <w:r>
        <w:t>ying amou</w:t>
      </w:r>
      <w:r>
        <w:rPr>
          <w:spacing w:val="-1"/>
        </w:rPr>
        <w:t>n</w:t>
      </w:r>
      <w:r>
        <w:t>t of the long se</w:t>
      </w:r>
      <w:r>
        <w:rPr>
          <w:spacing w:val="5"/>
        </w:rPr>
        <w:t>r</w:t>
      </w:r>
      <w:r>
        <w:t>vi</w:t>
      </w:r>
      <w:r>
        <w:rPr>
          <w:spacing w:val="-2"/>
        </w:rPr>
        <w:t>c</w:t>
      </w:r>
      <w:r>
        <w:t>e le</w:t>
      </w:r>
      <w:r>
        <w:rPr>
          <w:spacing w:val="-2"/>
        </w:rPr>
        <w:t>a</w:t>
      </w:r>
      <w:r>
        <w:rPr>
          <w:spacing w:val="-3"/>
        </w:rPr>
        <w:t>v</w:t>
      </w:r>
      <w:r>
        <w:t>e provision.</w:t>
      </w:r>
    </w:p>
    <w:p w14:paraId="20D2B66A" w14:textId="5778230E" w:rsidR="00E74D24" w:rsidRPr="00DA1E18" w:rsidRDefault="00E74D24" w:rsidP="00E74D24">
      <w:pPr>
        <w:rPr>
          <w:rStyle w:val="Strong"/>
          <w:i/>
        </w:rPr>
      </w:pPr>
      <w:r w:rsidRPr="00DA1E18">
        <w:rPr>
          <w:rStyle w:val="Strong"/>
          <w:i/>
        </w:rPr>
        <w:t>Defined benefit superannuation plans</w:t>
      </w:r>
    </w:p>
    <w:p w14:paraId="0C94C8A4" w14:textId="05E40C86" w:rsidR="00E74D24" w:rsidRDefault="00E74D24" w:rsidP="00E74D24">
      <w:r>
        <w:rPr>
          <w:spacing w:val="2"/>
        </w:rPr>
        <w:t>I</w:t>
      </w:r>
      <w:r>
        <w:t>n</w:t>
      </w:r>
      <w:r>
        <w:rPr>
          <w:spacing w:val="-1"/>
        </w:rPr>
        <w:t xml:space="preserve"> </w:t>
      </w:r>
      <w:r>
        <w:t>de</w:t>
      </w:r>
      <w:r>
        <w:rPr>
          <w:spacing w:val="-2"/>
        </w:rPr>
        <w:t>t</w:t>
      </w:r>
      <w:r>
        <w:t>ermining</w:t>
      </w:r>
      <w:r>
        <w:rPr>
          <w:spacing w:val="-1"/>
        </w:rPr>
        <w:t xml:space="preserve"> </w:t>
      </w:r>
      <w:r>
        <w:t>the</w:t>
      </w:r>
      <w:r>
        <w:rPr>
          <w:spacing w:val="-1"/>
        </w:rPr>
        <w:t xml:space="preserve"> </w:t>
      </w:r>
      <w:r>
        <w:rPr>
          <w:spacing w:val="-3"/>
        </w:rPr>
        <w:t>A</w:t>
      </w:r>
      <w:r>
        <w:t>uthori</w:t>
      </w:r>
      <w:r>
        <w:rPr>
          <w:spacing w:val="1"/>
        </w:rPr>
        <w:t>t</w:t>
      </w:r>
      <w:r>
        <w:rPr>
          <w:spacing w:val="6"/>
        </w:rPr>
        <w:t>y</w:t>
      </w:r>
      <w:r>
        <w:rPr>
          <w:spacing w:val="-16"/>
        </w:rPr>
        <w:t>’</w:t>
      </w:r>
      <w:r>
        <w:t>s</w:t>
      </w:r>
      <w:r>
        <w:rPr>
          <w:spacing w:val="-1"/>
        </w:rPr>
        <w:t xml:space="preserve"> </w:t>
      </w:r>
      <w:r>
        <w:t>ultim</w:t>
      </w:r>
      <w:r>
        <w:rPr>
          <w:spacing w:val="-1"/>
        </w:rPr>
        <w:t>a</w:t>
      </w:r>
      <w:r>
        <w:rPr>
          <w:spacing w:val="-2"/>
        </w:rPr>
        <w:t>t</w:t>
      </w:r>
      <w:r>
        <w:t xml:space="preserve">e </w:t>
      </w:r>
      <w:r>
        <w:rPr>
          <w:spacing w:val="-2"/>
        </w:rPr>
        <w:t>c</w:t>
      </w:r>
      <w:r>
        <w:t>ost</w:t>
      </w:r>
      <w:r>
        <w:rPr>
          <w:spacing w:val="-1"/>
        </w:rPr>
        <w:t xml:space="preserve"> </w:t>
      </w:r>
      <w:r>
        <w:t>of</w:t>
      </w:r>
      <w:r>
        <w:rPr>
          <w:spacing w:val="-1"/>
        </w:rPr>
        <w:t xml:space="preserve"> </w:t>
      </w:r>
      <w:r>
        <w:t>its</w:t>
      </w:r>
      <w:r>
        <w:rPr>
          <w:spacing w:val="-1"/>
        </w:rPr>
        <w:t xml:space="preserve"> </w:t>
      </w:r>
      <w:r>
        <w:t>defined</w:t>
      </w:r>
      <w:r>
        <w:rPr>
          <w:spacing w:val="-1"/>
        </w:rPr>
        <w:t xml:space="preserve"> </w:t>
      </w:r>
      <w:r>
        <w:t>supe</w:t>
      </w:r>
      <w:r>
        <w:rPr>
          <w:spacing w:val="-2"/>
        </w:rPr>
        <w:t>r</w:t>
      </w:r>
      <w:r>
        <w:t>annu</w:t>
      </w:r>
      <w:r>
        <w:rPr>
          <w:spacing w:val="-1"/>
        </w:rPr>
        <w:t>a</w:t>
      </w:r>
      <w:r>
        <w:t>tion plan</w:t>
      </w:r>
      <w:r>
        <w:rPr>
          <w:spacing w:val="-3"/>
        </w:rPr>
        <w:t>s</w:t>
      </w:r>
      <w:r>
        <w:t>, a</w:t>
      </w:r>
      <w:r>
        <w:rPr>
          <w:spacing w:val="2"/>
        </w:rPr>
        <w:t>c</w:t>
      </w:r>
      <w:r>
        <w:t>tuarial assumptions a</w:t>
      </w:r>
      <w:r>
        <w:rPr>
          <w:spacing w:val="-3"/>
        </w:rPr>
        <w:t>r</w:t>
      </w:r>
      <w:r>
        <w:t xml:space="preserve">e </w:t>
      </w:r>
      <w:r>
        <w:rPr>
          <w:spacing w:val="-3"/>
        </w:rPr>
        <w:t>r</w:t>
      </w:r>
      <w:r>
        <w:t>equi</w:t>
      </w:r>
      <w:r>
        <w:rPr>
          <w:spacing w:val="-3"/>
        </w:rPr>
        <w:t>r</w:t>
      </w:r>
      <w:r>
        <w:t xml:space="preserve">ed </w:t>
      </w:r>
      <w:r>
        <w:rPr>
          <w:spacing w:val="-2"/>
        </w:rPr>
        <w:t>t</w:t>
      </w:r>
      <w:r>
        <w:t>o be mad</w:t>
      </w:r>
      <w:r>
        <w:rPr>
          <w:spacing w:val="-3"/>
        </w:rPr>
        <w:t>e</w:t>
      </w:r>
      <w:r>
        <w:t>.</w:t>
      </w:r>
      <w:r>
        <w:rPr>
          <w:spacing w:val="36"/>
        </w:rPr>
        <w:t xml:space="preserve"> </w:t>
      </w:r>
      <w:r>
        <w:rPr>
          <w:spacing w:val="-2"/>
        </w:rPr>
        <w:t>T</w:t>
      </w:r>
      <w:r>
        <w:t>he principal a</w:t>
      </w:r>
      <w:r>
        <w:rPr>
          <w:spacing w:val="2"/>
        </w:rPr>
        <w:t>c</w:t>
      </w:r>
      <w:r>
        <w:t>tuarial assumptions used a</w:t>
      </w:r>
      <w:r>
        <w:rPr>
          <w:spacing w:val="-3"/>
        </w:rPr>
        <w:t>r</w:t>
      </w:r>
      <w:r>
        <w:t>e disclosed in no</w:t>
      </w:r>
      <w:r>
        <w:rPr>
          <w:spacing w:val="-2"/>
        </w:rPr>
        <w:t>t</w:t>
      </w:r>
      <w:r>
        <w:t>e 27 ‘Provisions’.</w:t>
      </w:r>
    </w:p>
    <w:p w14:paraId="18C124C2" w14:textId="77777777" w:rsidR="00E74D24" w:rsidRPr="00DA1E18" w:rsidRDefault="00E74D24" w:rsidP="00E74D24">
      <w:pPr>
        <w:rPr>
          <w:rStyle w:val="Strong"/>
          <w:i/>
        </w:rPr>
      </w:pPr>
      <w:r w:rsidRPr="00DA1E18">
        <w:rPr>
          <w:rStyle w:val="Strong"/>
          <w:i/>
        </w:rPr>
        <w:t xml:space="preserve">Assessment of Supplementation Fund and General Account future claims liability </w:t>
      </w:r>
    </w:p>
    <w:p w14:paraId="4785588D" w14:textId="44ABE32B" w:rsidR="00E74D24" w:rsidRDefault="00E74D24" w:rsidP="00E74D24">
      <w:r>
        <w:rPr>
          <w:spacing w:val="-2"/>
        </w:rPr>
        <w:t>T</w:t>
      </w:r>
      <w:r>
        <w:t xml:space="preserve">he </w:t>
      </w:r>
      <w:r>
        <w:rPr>
          <w:spacing w:val="-3"/>
        </w:rPr>
        <w:t>A</w:t>
      </w:r>
      <w:r>
        <w:t>uthori</w:t>
      </w:r>
      <w:r>
        <w:rPr>
          <w:spacing w:val="1"/>
        </w:rPr>
        <w:t>t</w:t>
      </w:r>
      <w:r>
        <w:rPr>
          <w:spacing w:val="6"/>
        </w:rPr>
        <w:t>y</w:t>
      </w:r>
      <w:r>
        <w:rPr>
          <w:spacing w:val="-16"/>
        </w:rPr>
        <w:t>’</w:t>
      </w:r>
      <w:r>
        <w:t xml:space="preserve">s risk in </w:t>
      </w:r>
      <w:r>
        <w:rPr>
          <w:spacing w:val="-3"/>
        </w:rPr>
        <w:t>r</w:t>
      </w:r>
      <w:r>
        <w:t>el</w:t>
      </w:r>
      <w:r>
        <w:rPr>
          <w:spacing w:val="-1"/>
        </w:rPr>
        <w:t>a</w:t>
      </w:r>
      <w:r>
        <w:t xml:space="preserve">tion </w:t>
      </w:r>
      <w:r>
        <w:rPr>
          <w:spacing w:val="-2"/>
        </w:rPr>
        <w:t>t</w:t>
      </w:r>
      <w:r>
        <w:t>o outstanding claims liabili</w:t>
      </w:r>
      <w:r>
        <w:rPr>
          <w:spacing w:val="1"/>
        </w:rPr>
        <w:t>t</w:t>
      </w:r>
      <w:r>
        <w:t>y arising f</w:t>
      </w:r>
      <w:r>
        <w:rPr>
          <w:spacing w:val="-3"/>
        </w:rPr>
        <w:t>r</w:t>
      </w:r>
      <w:r>
        <w:t>om futu</w:t>
      </w:r>
      <w:r>
        <w:rPr>
          <w:spacing w:val="-3"/>
        </w:rPr>
        <w:t>r</w:t>
      </w:r>
      <w:r>
        <w:t>e claims liabili</w:t>
      </w:r>
      <w:r>
        <w:rPr>
          <w:spacing w:val="1"/>
        </w:rPr>
        <w:t>t</w:t>
      </w:r>
      <w:r>
        <w:t xml:space="preserve">y in </w:t>
      </w:r>
      <w:r>
        <w:rPr>
          <w:spacing w:val="-3"/>
        </w:rPr>
        <w:t>r</w:t>
      </w:r>
      <w:r>
        <w:t>espe</w:t>
      </w:r>
      <w:r>
        <w:rPr>
          <w:spacing w:val="2"/>
        </w:rPr>
        <w:t>c</w:t>
      </w:r>
      <w:r>
        <w:t xml:space="preserve">t </w:t>
      </w:r>
      <w:r>
        <w:rPr>
          <w:spacing w:val="-2"/>
        </w:rPr>
        <w:t>t</w:t>
      </w:r>
      <w:r>
        <w:t>o the Suppleme</w:t>
      </w:r>
      <w:r>
        <w:rPr>
          <w:spacing w:val="-1"/>
        </w:rPr>
        <w:t>n</w:t>
      </w:r>
      <w:r>
        <w:t>t</w:t>
      </w:r>
      <w:r>
        <w:rPr>
          <w:spacing w:val="-1"/>
        </w:rPr>
        <w:t>a</w:t>
      </w:r>
      <w:r>
        <w:t xml:space="preserve">tion </w:t>
      </w:r>
      <w:r>
        <w:rPr>
          <w:spacing w:val="-8"/>
        </w:rPr>
        <w:t>F</w:t>
      </w:r>
      <w:r>
        <w:t xml:space="preserve">und and </w:t>
      </w:r>
      <w:r>
        <w:rPr>
          <w:spacing w:val="1"/>
        </w:rPr>
        <w:t>G</w:t>
      </w:r>
      <w:r>
        <w:t>ene</w:t>
      </w:r>
      <w:r>
        <w:rPr>
          <w:spacing w:val="-2"/>
        </w:rPr>
        <w:t>r</w:t>
      </w:r>
      <w:r>
        <w:t xml:space="preserve">al </w:t>
      </w:r>
      <w:r>
        <w:rPr>
          <w:spacing w:val="-3"/>
        </w:rPr>
        <w:t>A</w:t>
      </w:r>
      <w:r>
        <w:rPr>
          <w:spacing w:val="-2"/>
        </w:rPr>
        <w:t>cc</w:t>
      </w:r>
      <w:r>
        <w:t>ou</w:t>
      </w:r>
      <w:r>
        <w:rPr>
          <w:spacing w:val="-1"/>
        </w:rPr>
        <w:t>n</w:t>
      </w:r>
      <w:r>
        <w:t>t has been de</w:t>
      </w:r>
      <w:r>
        <w:rPr>
          <w:spacing w:val="-2"/>
        </w:rPr>
        <w:t>t</w:t>
      </w:r>
      <w:r>
        <w:t xml:space="preserve">ermined </w:t>
      </w:r>
      <w:r>
        <w:rPr>
          <w:spacing w:val="-2"/>
        </w:rPr>
        <w:t>b</w:t>
      </w:r>
      <w:r>
        <w:t>y a</w:t>
      </w:r>
      <w:r>
        <w:rPr>
          <w:spacing w:val="2"/>
        </w:rPr>
        <w:t>c</w:t>
      </w:r>
      <w:r>
        <w:t>tuarial assessme</w:t>
      </w:r>
      <w:r>
        <w:rPr>
          <w:spacing w:val="-1"/>
        </w:rPr>
        <w:t>nt</w:t>
      </w:r>
      <w:r>
        <w:t>.</w:t>
      </w:r>
      <w:r>
        <w:rPr>
          <w:spacing w:val="37"/>
        </w:rPr>
        <w:t xml:space="preserve"> </w:t>
      </w:r>
      <w:r>
        <w:rPr>
          <w:spacing w:val="-2"/>
        </w:rPr>
        <w:t>T</w:t>
      </w:r>
      <w:r>
        <w:t>he principal a</w:t>
      </w:r>
      <w:r>
        <w:rPr>
          <w:spacing w:val="2"/>
        </w:rPr>
        <w:t>c</w:t>
      </w:r>
      <w:r>
        <w:t>tuarial assumptions used a</w:t>
      </w:r>
      <w:r>
        <w:rPr>
          <w:spacing w:val="-3"/>
        </w:rPr>
        <w:t>r</w:t>
      </w:r>
      <w:r>
        <w:t>e disclosed in no</w:t>
      </w:r>
      <w:r>
        <w:rPr>
          <w:spacing w:val="-2"/>
        </w:rPr>
        <w:t>t</w:t>
      </w:r>
      <w:r>
        <w:t>e 27 ‘Provisions’.</w:t>
      </w:r>
    </w:p>
    <w:p w14:paraId="5B933595" w14:textId="77777777" w:rsidR="00AC1B30" w:rsidRDefault="00AC1B30">
      <w:pPr>
        <w:keepLines w:val="0"/>
        <w:spacing w:after="0" w:line="240" w:lineRule="auto"/>
      </w:pPr>
      <w:r>
        <w:br w:type="page"/>
      </w:r>
    </w:p>
    <w:p w14:paraId="6993D010" w14:textId="353395D1" w:rsidR="00AC1B30" w:rsidRPr="00AC1B30" w:rsidRDefault="00AC1B30" w:rsidP="00A16123">
      <w:pPr>
        <w:pStyle w:val="Heading2nonumber"/>
        <w:numPr>
          <w:ilvl w:val="0"/>
          <w:numId w:val="15"/>
        </w:numPr>
        <w:rPr>
          <w:color w:val="000000"/>
        </w:rPr>
      </w:pPr>
      <w:bookmarkStart w:id="685" w:name="_Toc430091363"/>
      <w:r w:rsidRPr="00AC1B30">
        <w:rPr>
          <w:spacing w:val="-4"/>
          <w:w w:val="95"/>
        </w:rPr>
        <w:lastRenderedPageBreak/>
        <w:t>D</w:t>
      </w:r>
      <w:r w:rsidRPr="00AC1B30">
        <w:rPr>
          <w:spacing w:val="-6"/>
          <w:w w:val="95"/>
        </w:rPr>
        <w:t>i</w:t>
      </w:r>
      <w:r w:rsidRPr="00AC1B30">
        <w:rPr>
          <w:spacing w:val="-11"/>
          <w:w w:val="95"/>
        </w:rPr>
        <w:t>s</w:t>
      </w:r>
      <w:r w:rsidRPr="00AC1B30">
        <w:rPr>
          <w:spacing w:val="-12"/>
          <w:w w:val="95"/>
        </w:rPr>
        <w:t>c</w:t>
      </w:r>
      <w:r w:rsidRPr="00AC1B30">
        <w:rPr>
          <w:spacing w:val="-6"/>
          <w:w w:val="95"/>
        </w:rPr>
        <w:t>l</w:t>
      </w:r>
      <w:r w:rsidRPr="00AC1B30">
        <w:rPr>
          <w:spacing w:val="-12"/>
          <w:w w:val="95"/>
        </w:rPr>
        <w:t>o</w:t>
      </w:r>
      <w:r w:rsidRPr="00AC1B30">
        <w:rPr>
          <w:spacing w:val="-10"/>
          <w:w w:val="95"/>
        </w:rPr>
        <w:t>s</w:t>
      </w:r>
      <w:r w:rsidRPr="00AC1B30">
        <w:rPr>
          <w:spacing w:val="-3"/>
          <w:w w:val="95"/>
        </w:rPr>
        <w:t>u</w:t>
      </w:r>
      <w:r w:rsidRPr="00AC1B30">
        <w:rPr>
          <w:spacing w:val="-15"/>
          <w:w w:val="95"/>
        </w:rPr>
        <w:t>r</w:t>
      </w:r>
      <w:r w:rsidRPr="00AC1B30">
        <w:rPr>
          <w:w w:val="95"/>
        </w:rPr>
        <w:t>e</w:t>
      </w:r>
      <w:r w:rsidRPr="00AC1B30">
        <w:rPr>
          <w:spacing w:val="-4"/>
          <w:w w:val="95"/>
        </w:rPr>
        <w:t xml:space="preserve"> </w:t>
      </w:r>
      <w:r w:rsidRPr="00AC1B30">
        <w:rPr>
          <w:spacing w:val="-6"/>
          <w:w w:val="95"/>
        </w:rPr>
        <w:t>o</w:t>
      </w:r>
      <w:r w:rsidRPr="00AC1B30">
        <w:rPr>
          <w:w w:val="95"/>
        </w:rPr>
        <w:t>f</w:t>
      </w:r>
      <w:r w:rsidRPr="00AC1B30">
        <w:rPr>
          <w:spacing w:val="-4"/>
          <w:w w:val="95"/>
        </w:rPr>
        <w:t xml:space="preserve"> </w:t>
      </w:r>
      <w:r w:rsidRPr="00AC1B30">
        <w:rPr>
          <w:spacing w:val="-15"/>
          <w:w w:val="95"/>
        </w:rPr>
        <w:t>c</w:t>
      </w:r>
      <w:r w:rsidRPr="00AC1B30">
        <w:rPr>
          <w:spacing w:val="-8"/>
          <w:w w:val="95"/>
        </w:rPr>
        <w:t>ha</w:t>
      </w:r>
      <w:r w:rsidRPr="00AC1B30">
        <w:rPr>
          <w:spacing w:val="-9"/>
          <w:w w:val="95"/>
        </w:rPr>
        <w:t>ng</w:t>
      </w:r>
      <w:r w:rsidRPr="00AC1B30">
        <w:rPr>
          <w:spacing w:val="-11"/>
          <w:w w:val="95"/>
        </w:rPr>
        <w:t>e</w:t>
      </w:r>
      <w:r w:rsidRPr="00AC1B30">
        <w:rPr>
          <w:w w:val="95"/>
        </w:rPr>
        <w:t>s</w:t>
      </w:r>
      <w:r w:rsidRPr="00AC1B30">
        <w:rPr>
          <w:spacing w:val="-3"/>
          <w:w w:val="95"/>
        </w:rPr>
        <w:t xml:space="preserve"> </w:t>
      </w:r>
      <w:r w:rsidRPr="00AC1B30">
        <w:rPr>
          <w:spacing w:val="-5"/>
          <w:w w:val="95"/>
        </w:rPr>
        <w:t>i</w:t>
      </w:r>
      <w:r w:rsidRPr="00AC1B30">
        <w:rPr>
          <w:w w:val="95"/>
        </w:rPr>
        <w:t>n</w:t>
      </w:r>
      <w:r w:rsidRPr="00AC1B30">
        <w:rPr>
          <w:spacing w:val="-4"/>
          <w:w w:val="95"/>
        </w:rPr>
        <w:t xml:space="preserve"> </w:t>
      </w:r>
      <w:r w:rsidRPr="00AC1B30">
        <w:rPr>
          <w:spacing w:val="-9"/>
          <w:w w:val="95"/>
        </w:rPr>
        <w:t>a</w:t>
      </w:r>
      <w:r w:rsidRPr="00AC1B30">
        <w:rPr>
          <w:spacing w:val="-19"/>
          <w:w w:val="95"/>
        </w:rPr>
        <w:t>c</w:t>
      </w:r>
      <w:r w:rsidRPr="00AC1B30">
        <w:rPr>
          <w:spacing w:val="-18"/>
          <w:w w:val="95"/>
        </w:rPr>
        <w:t>c</w:t>
      </w:r>
      <w:r w:rsidRPr="00AC1B30">
        <w:rPr>
          <w:spacing w:val="-11"/>
          <w:w w:val="95"/>
        </w:rPr>
        <w:t>o</w:t>
      </w:r>
      <w:r w:rsidRPr="00AC1B30">
        <w:rPr>
          <w:spacing w:val="-9"/>
          <w:w w:val="95"/>
        </w:rPr>
        <w:t>u</w:t>
      </w:r>
      <w:r w:rsidRPr="00AC1B30">
        <w:rPr>
          <w:spacing w:val="-8"/>
          <w:w w:val="95"/>
        </w:rPr>
        <w:t>n</w:t>
      </w:r>
      <w:r w:rsidRPr="00AC1B30">
        <w:rPr>
          <w:spacing w:val="-4"/>
          <w:w w:val="95"/>
        </w:rPr>
        <w:t>t</w:t>
      </w:r>
      <w:r w:rsidRPr="00AC1B30">
        <w:rPr>
          <w:spacing w:val="-5"/>
          <w:w w:val="95"/>
        </w:rPr>
        <w:t>i</w:t>
      </w:r>
      <w:r w:rsidRPr="00AC1B30">
        <w:rPr>
          <w:spacing w:val="-9"/>
          <w:w w:val="95"/>
        </w:rPr>
        <w:t>n</w:t>
      </w:r>
      <w:r w:rsidRPr="00AC1B30">
        <w:rPr>
          <w:w w:val="95"/>
        </w:rPr>
        <w:t>g</w:t>
      </w:r>
      <w:r w:rsidRPr="00AC1B30">
        <w:rPr>
          <w:spacing w:val="-3"/>
          <w:w w:val="95"/>
        </w:rPr>
        <w:t xml:space="preserve"> </w:t>
      </w:r>
      <w:r w:rsidRPr="00AC1B30">
        <w:rPr>
          <w:spacing w:val="-9"/>
          <w:w w:val="95"/>
        </w:rPr>
        <w:t>p</w:t>
      </w:r>
      <w:r w:rsidRPr="00AC1B30">
        <w:rPr>
          <w:spacing w:val="-6"/>
          <w:w w:val="95"/>
        </w:rPr>
        <w:t>o</w:t>
      </w:r>
      <w:r w:rsidRPr="00AC1B30">
        <w:rPr>
          <w:spacing w:val="-3"/>
          <w:w w:val="95"/>
        </w:rPr>
        <w:t>l</w:t>
      </w:r>
      <w:r w:rsidRPr="00AC1B30">
        <w:rPr>
          <w:spacing w:val="-7"/>
          <w:w w:val="95"/>
        </w:rPr>
        <w:t>i</w:t>
      </w:r>
      <w:r w:rsidRPr="00AC1B30">
        <w:rPr>
          <w:spacing w:val="-12"/>
          <w:w w:val="95"/>
        </w:rPr>
        <w:t>c</w:t>
      </w:r>
      <w:r w:rsidRPr="00AC1B30">
        <w:rPr>
          <w:w w:val="95"/>
        </w:rPr>
        <w:t>y</w:t>
      </w:r>
      <w:r w:rsidRPr="00AC1B30">
        <w:rPr>
          <w:spacing w:val="-4"/>
          <w:w w:val="95"/>
        </w:rPr>
        <w:t xml:space="preserve"> </w:t>
      </w:r>
      <w:r w:rsidRPr="00AC1B30">
        <w:rPr>
          <w:spacing w:val="-8"/>
          <w:w w:val="95"/>
        </w:rPr>
        <w:t>an</w:t>
      </w:r>
      <w:r w:rsidRPr="00AC1B30">
        <w:rPr>
          <w:w w:val="95"/>
        </w:rPr>
        <w:t>d</w:t>
      </w:r>
      <w:r w:rsidRPr="00AC1B30">
        <w:rPr>
          <w:spacing w:val="-4"/>
          <w:w w:val="95"/>
        </w:rPr>
        <w:t xml:space="preserve"> </w:t>
      </w:r>
      <w:r w:rsidRPr="00AC1B30">
        <w:rPr>
          <w:spacing w:val="-11"/>
          <w:w w:val="95"/>
        </w:rPr>
        <w:t>e</w:t>
      </w:r>
      <w:r w:rsidRPr="00AC1B30">
        <w:rPr>
          <w:spacing w:val="-6"/>
          <w:w w:val="95"/>
        </w:rPr>
        <w:t>s</w:t>
      </w:r>
      <w:r w:rsidRPr="00AC1B30">
        <w:rPr>
          <w:spacing w:val="-4"/>
          <w:w w:val="95"/>
        </w:rPr>
        <w:t>t</w:t>
      </w:r>
      <w:r w:rsidRPr="00AC1B30">
        <w:rPr>
          <w:spacing w:val="-5"/>
          <w:w w:val="95"/>
        </w:rPr>
        <w:t>i</w:t>
      </w:r>
      <w:r w:rsidRPr="00AC1B30">
        <w:rPr>
          <w:spacing w:val="-8"/>
          <w:w w:val="95"/>
        </w:rPr>
        <w:t>m</w:t>
      </w:r>
      <w:r w:rsidRPr="00AC1B30">
        <w:rPr>
          <w:spacing w:val="-6"/>
          <w:w w:val="95"/>
        </w:rPr>
        <w:t>a</w:t>
      </w:r>
      <w:r w:rsidRPr="00AC1B30">
        <w:rPr>
          <w:spacing w:val="-9"/>
          <w:w w:val="95"/>
        </w:rPr>
        <w:t>t</w:t>
      </w:r>
      <w:r w:rsidRPr="00AC1B30">
        <w:rPr>
          <w:spacing w:val="-11"/>
          <w:w w:val="95"/>
        </w:rPr>
        <w:t>e</w:t>
      </w:r>
      <w:r w:rsidRPr="00AC1B30">
        <w:rPr>
          <w:w w:val="95"/>
        </w:rPr>
        <w:t>s</w:t>
      </w:r>
      <w:bookmarkEnd w:id="685"/>
    </w:p>
    <w:p w14:paraId="23A3F423" w14:textId="2F7970C3" w:rsidR="00AC1B30" w:rsidRPr="00DA1E18" w:rsidRDefault="00AC1B30" w:rsidP="00AC1B30">
      <w:pPr>
        <w:rPr>
          <w:rStyle w:val="Strong"/>
        </w:rPr>
      </w:pPr>
      <w:r w:rsidRPr="00DA1E18">
        <w:rPr>
          <w:rStyle w:val="Strong"/>
        </w:rPr>
        <w:t>Initial application of an Australian Accounting Standard</w:t>
      </w:r>
    </w:p>
    <w:p w14:paraId="3811B5EB" w14:textId="77777777" w:rsidR="000262F8" w:rsidRDefault="00AC1B30" w:rsidP="00AC1B30">
      <w:r>
        <w:t>The Authority has applied the following Australian Accounting Standards effective, or adopted, for annual reporting periods beginning on or after 1 July 2014 that impacted on the Authority.</w:t>
      </w:r>
    </w:p>
    <w:tbl>
      <w:tblPr>
        <w:tblW w:w="8354" w:type="dxa"/>
        <w:tblInd w:w="5" w:type="dxa"/>
        <w:tblLayout w:type="fixed"/>
        <w:tblCellMar>
          <w:left w:w="0" w:type="dxa"/>
          <w:right w:w="0" w:type="dxa"/>
        </w:tblCellMar>
        <w:tblLook w:val="0000" w:firstRow="0" w:lastRow="0" w:firstColumn="0" w:lastColumn="0" w:noHBand="0" w:noVBand="0"/>
      </w:tblPr>
      <w:tblGrid>
        <w:gridCol w:w="1276"/>
        <w:gridCol w:w="7078"/>
      </w:tblGrid>
      <w:tr w:rsidR="000262F8" w:rsidRPr="000262F8" w14:paraId="2E8ED1E1" w14:textId="77777777" w:rsidTr="00E1659F">
        <w:trPr>
          <w:trHeight w:hRule="exact" w:val="1750"/>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0EA66786" w14:textId="77777777" w:rsidR="000262F8" w:rsidRPr="000262F8" w:rsidRDefault="000262F8" w:rsidP="000C5C83">
            <w:pPr>
              <w:rPr>
                <w:rFonts w:ascii="Times New Roman" w:eastAsiaTheme="minorEastAsia" w:hAnsi="Times New Roman"/>
                <w:lang w:eastAsia="en-AU"/>
              </w:rPr>
            </w:pPr>
            <w:r w:rsidRPr="000262F8">
              <w:rPr>
                <w:rFonts w:eastAsiaTheme="minorEastAsia"/>
                <w:lang w:eastAsia="en-AU"/>
              </w:rPr>
              <w:t>I</w:t>
            </w:r>
            <w:r w:rsidRPr="000262F8">
              <w:rPr>
                <w:rFonts w:eastAsiaTheme="minorEastAsia"/>
                <w:spacing w:val="-2"/>
                <w:lang w:eastAsia="en-AU"/>
              </w:rPr>
              <w:t>n</w:t>
            </w:r>
            <w:r w:rsidRPr="000262F8">
              <w:rPr>
                <w:rFonts w:eastAsiaTheme="minorEastAsia"/>
                <w:lang w:eastAsia="en-AU"/>
              </w:rPr>
              <w:t>t 21</w:t>
            </w:r>
          </w:p>
        </w:tc>
        <w:tc>
          <w:tcPr>
            <w:tcW w:w="7078" w:type="dxa"/>
            <w:tcBorders>
              <w:top w:val="single" w:sz="4" w:space="0" w:color="99B0AB"/>
              <w:left w:val="single" w:sz="4" w:space="0" w:color="99B0AB"/>
              <w:bottom w:val="single" w:sz="4" w:space="0" w:color="99B0AB"/>
              <w:right w:val="single" w:sz="4" w:space="0" w:color="99B0AB"/>
            </w:tcBorders>
          </w:tcPr>
          <w:p w14:paraId="20DE399A" w14:textId="77777777" w:rsidR="000262F8" w:rsidRPr="000262F8" w:rsidRDefault="000262F8" w:rsidP="00E1659F">
            <w:pPr>
              <w:ind w:left="142"/>
              <w:rPr>
                <w:rFonts w:eastAsiaTheme="minorEastAsia"/>
                <w:b/>
                <w:i/>
                <w:color w:val="000000"/>
                <w:lang w:eastAsia="en-AU"/>
              </w:rPr>
            </w:pPr>
            <w:r w:rsidRPr="000262F8">
              <w:rPr>
                <w:rFonts w:eastAsiaTheme="minorEastAsia"/>
                <w:b/>
                <w:i/>
                <w:spacing w:val="-3"/>
                <w:lang w:eastAsia="en-AU"/>
              </w:rPr>
              <w:t>L</w:t>
            </w:r>
            <w:r w:rsidRPr="000262F8">
              <w:rPr>
                <w:rFonts w:eastAsiaTheme="minorEastAsia"/>
                <w:b/>
                <w:i/>
                <w:spacing w:val="-2"/>
                <w:lang w:eastAsia="en-AU"/>
              </w:rPr>
              <w:t>e</w:t>
            </w:r>
            <w:r w:rsidRPr="000262F8">
              <w:rPr>
                <w:rFonts w:eastAsiaTheme="minorEastAsia"/>
                <w:b/>
                <w:i/>
                <w:lang w:eastAsia="en-AU"/>
              </w:rPr>
              <w:t>vies</w:t>
            </w:r>
          </w:p>
          <w:p w14:paraId="08548C16" w14:textId="77777777" w:rsidR="000262F8" w:rsidRPr="000262F8" w:rsidRDefault="000262F8" w:rsidP="00E1659F">
            <w:pPr>
              <w:ind w:left="142"/>
              <w:rPr>
                <w:rFonts w:eastAsiaTheme="minorEastAsia" w:cs="Arial"/>
                <w:color w:val="000000"/>
                <w:lang w:eastAsia="en-AU"/>
              </w:rPr>
            </w:pPr>
            <w:r w:rsidRPr="002265C8">
              <w:rPr>
                <w:rFonts w:eastAsiaTheme="minorEastAsia"/>
              </w:rPr>
              <w:t>This Interpretation clarifies the circumstances under which a liability to pay a government levy imposed should be recognised. There is no financial impact for the Authority at reporting date</w:t>
            </w:r>
            <w:r w:rsidRPr="000262F8">
              <w:rPr>
                <w:rFonts w:eastAsiaTheme="minorEastAsia" w:cs="Arial"/>
                <w:w w:val="90"/>
                <w:lang w:eastAsia="en-AU"/>
              </w:rPr>
              <w:t>.</w:t>
            </w:r>
          </w:p>
        </w:tc>
      </w:tr>
      <w:tr w:rsidR="000262F8" w:rsidRPr="000262F8" w14:paraId="5137CF13" w14:textId="77777777" w:rsidTr="00E1659F">
        <w:trPr>
          <w:trHeight w:hRule="exact" w:val="3262"/>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38166CD2" w14:textId="77777777" w:rsidR="000262F8" w:rsidRPr="000262F8" w:rsidRDefault="000262F8" w:rsidP="000C5C83">
            <w:pPr>
              <w:rPr>
                <w:rFonts w:ascii="Times New Roman" w:eastAsiaTheme="minorEastAsia" w:hAnsi="Times New Roman"/>
                <w:lang w:eastAsia="en-AU"/>
              </w:rPr>
            </w:pPr>
            <w:r w:rsidRPr="000262F8">
              <w:rPr>
                <w:rFonts w:eastAsiaTheme="minorEastAsia"/>
                <w:lang w:eastAsia="en-AU"/>
              </w:rPr>
              <w:t>AASB 10</w:t>
            </w:r>
          </w:p>
        </w:tc>
        <w:tc>
          <w:tcPr>
            <w:tcW w:w="7078" w:type="dxa"/>
            <w:tcBorders>
              <w:top w:val="single" w:sz="4" w:space="0" w:color="99B0AB"/>
              <w:left w:val="single" w:sz="4" w:space="0" w:color="99B0AB"/>
              <w:bottom w:val="single" w:sz="4" w:space="0" w:color="99B0AB"/>
              <w:right w:val="single" w:sz="4" w:space="0" w:color="99B0AB"/>
            </w:tcBorders>
          </w:tcPr>
          <w:p w14:paraId="4F598416" w14:textId="77777777" w:rsidR="000262F8" w:rsidRPr="000262F8" w:rsidRDefault="000262F8" w:rsidP="00E1659F">
            <w:pPr>
              <w:ind w:left="142"/>
              <w:rPr>
                <w:rFonts w:eastAsiaTheme="minorEastAsia"/>
                <w:b/>
                <w:i/>
                <w:color w:val="000000"/>
                <w:lang w:eastAsia="en-AU"/>
              </w:rPr>
            </w:pPr>
            <w:r w:rsidRPr="000262F8">
              <w:rPr>
                <w:rFonts w:eastAsiaTheme="minorEastAsia"/>
                <w:b/>
                <w:i/>
                <w:spacing w:val="-2"/>
                <w:lang w:eastAsia="en-AU"/>
              </w:rPr>
              <w:t>C</w:t>
            </w:r>
            <w:r w:rsidRPr="000262F8">
              <w:rPr>
                <w:rFonts w:eastAsiaTheme="minorEastAsia"/>
                <w:b/>
                <w:i/>
                <w:lang w:eastAsia="en-AU"/>
              </w:rPr>
              <w:t>onsolida</w:t>
            </w:r>
            <w:r w:rsidRPr="000262F8">
              <w:rPr>
                <w:rFonts w:eastAsiaTheme="minorEastAsia"/>
                <w:b/>
                <w:i/>
                <w:spacing w:val="-1"/>
                <w:lang w:eastAsia="en-AU"/>
              </w:rPr>
              <w:t>t</w:t>
            </w:r>
            <w:r w:rsidRPr="000262F8">
              <w:rPr>
                <w:rFonts w:eastAsiaTheme="minorEastAsia"/>
                <w:b/>
                <w:i/>
                <w:lang w:eastAsia="en-AU"/>
              </w:rPr>
              <w:t xml:space="preserve">ed </w:t>
            </w:r>
            <w:r w:rsidRPr="000262F8">
              <w:rPr>
                <w:rFonts w:eastAsiaTheme="minorEastAsia"/>
                <w:b/>
                <w:i/>
                <w:spacing w:val="-3"/>
                <w:lang w:eastAsia="en-AU"/>
              </w:rPr>
              <w:t>F</w:t>
            </w:r>
            <w:r w:rsidRPr="000262F8">
              <w:rPr>
                <w:rFonts w:eastAsiaTheme="minorEastAsia"/>
                <w:b/>
                <w:i/>
                <w:lang w:eastAsia="en-AU"/>
              </w:rPr>
              <w:t>in</w:t>
            </w:r>
            <w:r w:rsidRPr="000262F8">
              <w:rPr>
                <w:rFonts w:eastAsiaTheme="minorEastAsia"/>
                <w:b/>
                <w:i/>
                <w:spacing w:val="1"/>
                <w:lang w:eastAsia="en-AU"/>
              </w:rPr>
              <w:t>a</w:t>
            </w:r>
            <w:r w:rsidRPr="000262F8">
              <w:rPr>
                <w:rFonts w:eastAsiaTheme="minorEastAsia"/>
                <w:b/>
                <w:i/>
                <w:lang w:eastAsia="en-AU"/>
              </w:rPr>
              <w:t>ncial S</w:t>
            </w:r>
            <w:r w:rsidRPr="000262F8">
              <w:rPr>
                <w:rFonts w:eastAsiaTheme="minorEastAsia"/>
                <w:b/>
                <w:i/>
                <w:spacing w:val="-1"/>
                <w:lang w:eastAsia="en-AU"/>
              </w:rPr>
              <w:t>t</w:t>
            </w:r>
            <w:r w:rsidRPr="000262F8">
              <w:rPr>
                <w:rFonts w:eastAsiaTheme="minorEastAsia"/>
                <w:b/>
                <w:i/>
                <w:lang w:eastAsia="en-AU"/>
              </w:rPr>
              <w:t>a</w:t>
            </w:r>
            <w:r w:rsidRPr="000262F8">
              <w:rPr>
                <w:rFonts w:eastAsiaTheme="minorEastAsia"/>
                <w:b/>
                <w:i/>
                <w:spacing w:val="-1"/>
                <w:lang w:eastAsia="en-AU"/>
              </w:rPr>
              <w:t>t</w:t>
            </w:r>
            <w:r w:rsidRPr="000262F8">
              <w:rPr>
                <w:rFonts w:eastAsiaTheme="minorEastAsia"/>
                <w:b/>
                <w:i/>
                <w:lang w:eastAsia="en-AU"/>
              </w:rPr>
              <w:t>ements</w:t>
            </w:r>
          </w:p>
          <w:p w14:paraId="382D2AFE" w14:textId="77777777" w:rsidR="000262F8" w:rsidRPr="000262F8" w:rsidRDefault="000262F8" w:rsidP="00E1659F">
            <w:pPr>
              <w:ind w:left="142"/>
              <w:rPr>
                <w:rFonts w:eastAsiaTheme="minorEastAsia"/>
                <w:color w:val="000000"/>
                <w:lang w:eastAsia="en-AU"/>
              </w:rPr>
            </w:pPr>
            <w:r w:rsidRPr="002265C8">
              <w:rPr>
                <w:rFonts w:eastAsiaTheme="minorEastAsia"/>
              </w:rPr>
              <w:t>This Standard, issued in August 2011, supersedes AASB 127 Consolidated and Separate Financial Statements and Int 112 Consolidation – Special Purpose Entities, introducing a number of changes to accounting treatments</w:t>
            </w:r>
            <w:r w:rsidRPr="000262F8">
              <w:rPr>
                <w:rFonts w:eastAsiaTheme="minorEastAsia"/>
                <w:w w:val="90"/>
                <w:lang w:eastAsia="en-AU"/>
              </w:rPr>
              <w:t>.</w:t>
            </w:r>
          </w:p>
          <w:p w14:paraId="37D71470" w14:textId="77777777" w:rsidR="000262F8" w:rsidRPr="000262F8" w:rsidRDefault="000262F8" w:rsidP="00E1659F">
            <w:pPr>
              <w:ind w:left="142"/>
              <w:rPr>
                <w:rFonts w:ascii="Times New Roman" w:eastAsiaTheme="minorEastAsia" w:hAnsi="Times New Roman"/>
                <w:lang w:eastAsia="en-AU"/>
              </w:rPr>
            </w:pPr>
            <w:r w:rsidRPr="002265C8">
              <w:rPr>
                <w:rFonts w:eastAsiaTheme="minorEastAsia"/>
              </w:rPr>
              <w:t>The adoption of the new Standard has no financial impact for the Authority as it does not impact accounting for related bodies and the Authority has no interests in other entities</w:t>
            </w:r>
            <w:r w:rsidRPr="000262F8">
              <w:rPr>
                <w:rFonts w:eastAsiaTheme="minorEastAsia"/>
                <w:w w:val="90"/>
                <w:lang w:eastAsia="en-AU"/>
              </w:rPr>
              <w:t>.</w:t>
            </w:r>
          </w:p>
        </w:tc>
      </w:tr>
      <w:tr w:rsidR="000262F8" w:rsidRPr="000262F8" w14:paraId="5FFF528C" w14:textId="77777777" w:rsidTr="00E1659F">
        <w:trPr>
          <w:trHeight w:hRule="exact" w:val="3972"/>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650FE331" w14:textId="77777777" w:rsidR="000262F8" w:rsidRPr="000262F8" w:rsidRDefault="000262F8" w:rsidP="000C5C83">
            <w:pPr>
              <w:rPr>
                <w:rFonts w:ascii="Times New Roman" w:eastAsiaTheme="minorEastAsia" w:hAnsi="Times New Roman"/>
                <w:lang w:eastAsia="en-AU"/>
              </w:rPr>
            </w:pPr>
            <w:r w:rsidRPr="000262F8">
              <w:rPr>
                <w:rFonts w:eastAsiaTheme="minorEastAsia"/>
                <w:lang w:eastAsia="en-AU"/>
              </w:rPr>
              <w:t>AASB 11</w:t>
            </w:r>
          </w:p>
        </w:tc>
        <w:tc>
          <w:tcPr>
            <w:tcW w:w="7078" w:type="dxa"/>
            <w:tcBorders>
              <w:top w:val="single" w:sz="4" w:space="0" w:color="99B0AB"/>
              <w:left w:val="single" w:sz="4" w:space="0" w:color="99B0AB"/>
              <w:bottom w:val="single" w:sz="4" w:space="0" w:color="99B0AB"/>
              <w:right w:val="single" w:sz="4" w:space="0" w:color="99B0AB"/>
            </w:tcBorders>
          </w:tcPr>
          <w:p w14:paraId="655524C5" w14:textId="5E94F67D" w:rsidR="000262F8" w:rsidRPr="000262F8" w:rsidRDefault="000262F8" w:rsidP="00E1659F">
            <w:pPr>
              <w:ind w:left="142"/>
              <w:rPr>
                <w:rFonts w:eastAsiaTheme="minorEastAsia"/>
                <w:b/>
                <w:i/>
                <w:color w:val="000000"/>
                <w:lang w:eastAsia="en-AU"/>
              </w:rPr>
            </w:pPr>
            <w:r w:rsidRPr="000262F8">
              <w:rPr>
                <w:rFonts w:eastAsiaTheme="minorEastAsia"/>
                <w:b/>
                <w:i/>
                <w:lang w:eastAsia="en-AU"/>
              </w:rPr>
              <w:t xml:space="preserve">Joint </w:t>
            </w:r>
            <w:r w:rsidRPr="000262F8">
              <w:rPr>
                <w:rFonts w:eastAsiaTheme="minorEastAsia"/>
                <w:b/>
                <w:i/>
                <w:spacing w:val="1"/>
                <w:lang w:eastAsia="en-AU"/>
              </w:rPr>
              <w:t>A</w:t>
            </w:r>
            <w:r w:rsidRPr="000262F8">
              <w:rPr>
                <w:rFonts w:eastAsiaTheme="minorEastAsia"/>
                <w:b/>
                <w:i/>
                <w:lang w:eastAsia="en-AU"/>
              </w:rPr>
              <w:t>r</w:t>
            </w:r>
            <w:r w:rsidRPr="000262F8">
              <w:rPr>
                <w:rFonts w:eastAsiaTheme="minorEastAsia"/>
                <w:b/>
                <w:i/>
                <w:spacing w:val="-2"/>
                <w:lang w:eastAsia="en-AU"/>
              </w:rPr>
              <w:t>r</w:t>
            </w:r>
            <w:r w:rsidRPr="000262F8">
              <w:rPr>
                <w:rFonts w:eastAsiaTheme="minorEastAsia"/>
                <w:b/>
                <w:i/>
                <w:spacing w:val="1"/>
                <w:lang w:eastAsia="en-AU"/>
              </w:rPr>
              <w:t>a</w:t>
            </w:r>
            <w:r w:rsidRPr="000262F8">
              <w:rPr>
                <w:rFonts w:eastAsiaTheme="minorEastAsia"/>
                <w:b/>
                <w:i/>
                <w:lang w:eastAsia="en-AU"/>
              </w:rPr>
              <w:t>ngements</w:t>
            </w:r>
          </w:p>
          <w:p w14:paraId="0D21B646" w14:textId="13C0FCD8" w:rsidR="000262F8" w:rsidRPr="000262F8" w:rsidRDefault="000262F8" w:rsidP="00E1659F">
            <w:pPr>
              <w:ind w:left="142"/>
              <w:rPr>
                <w:rFonts w:eastAsiaTheme="minorEastAsia"/>
                <w:color w:val="000000"/>
                <w:lang w:eastAsia="en-AU"/>
              </w:rPr>
            </w:pPr>
            <w:r w:rsidRPr="000262F8">
              <w:rPr>
                <w:rFonts w:eastAsiaTheme="minorEastAsia"/>
              </w:rPr>
              <w:t>This Standard, issued in August 2011, supersedes AASB 131 Interests in Joint Ventures, introduces new principles for determining the type of joint arrangement that exists, which are more aligned to the actual rights and obligations of the parties to the arrangement</w:t>
            </w:r>
            <w:r w:rsidRPr="000262F8">
              <w:rPr>
                <w:rFonts w:eastAsiaTheme="minorEastAsia"/>
                <w:w w:val="90"/>
                <w:lang w:eastAsia="en-AU"/>
              </w:rPr>
              <w:t>.</w:t>
            </w:r>
          </w:p>
          <w:p w14:paraId="615A4B15" w14:textId="707E17EE" w:rsidR="000262F8" w:rsidRPr="000262F8" w:rsidRDefault="000262F8" w:rsidP="00E1659F">
            <w:pPr>
              <w:ind w:left="142"/>
              <w:rPr>
                <w:rFonts w:ascii="Times New Roman" w:eastAsiaTheme="minorEastAsia" w:hAnsi="Times New Roman"/>
                <w:lang w:eastAsia="en-AU"/>
              </w:rPr>
            </w:pPr>
            <w:r w:rsidRPr="000262F8">
              <w:rPr>
                <w:rFonts w:eastAsiaTheme="minorEastAsia"/>
              </w:rPr>
              <w:t>There is no financial impact for the Authority as the new standard continues to require the recognition of the Authority’s share of assets and share of liabilities for the unincorporated joint</w:t>
            </w:r>
            <w:r>
              <w:rPr>
                <w:rFonts w:eastAsiaTheme="minorEastAsia"/>
              </w:rPr>
              <w:t xml:space="preserve"> operation.</w:t>
            </w:r>
            <w:r w:rsidRPr="000262F8">
              <w:rPr>
                <w:rFonts w:eastAsiaTheme="minorEastAsia"/>
                <w:spacing w:val="15"/>
                <w:w w:val="90"/>
                <w:lang w:eastAsia="en-AU"/>
              </w:rPr>
              <w:t xml:space="preserve"> </w:t>
            </w:r>
          </w:p>
        </w:tc>
      </w:tr>
      <w:tr w:rsidR="000262F8" w:rsidRPr="000262F8" w14:paraId="6726F506" w14:textId="77777777" w:rsidTr="00A16123">
        <w:trPr>
          <w:trHeight w:hRule="exact" w:val="2136"/>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610EB09B" w14:textId="77777777" w:rsidR="000262F8" w:rsidRPr="000262F8" w:rsidRDefault="000262F8" w:rsidP="000C5C83">
            <w:pPr>
              <w:rPr>
                <w:rFonts w:ascii="Times New Roman" w:eastAsiaTheme="minorEastAsia" w:hAnsi="Times New Roman"/>
                <w:lang w:eastAsia="en-AU"/>
              </w:rPr>
            </w:pPr>
            <w:r w:rsidRPr="000262F8">
              <w:rPr>
                <w:rFonts w:eastAsiaTheme="minorEastAsia"/>
                <w:lang w:eastAsia="en-AU"/>
              </w:rPr>
              <w:t>AASB 12</w:t>
            </w:r>
          </w:p>
        </w:tc>
        <w:tc>
          <w:tcPr>
            <w:tcW w:w="7078" w:type="dxa"/>
            <w:tcBorders>
              <w:top w:val="single" w:sz="4" w:space="0" w:color="99B0AB"/>
              <w:left w:val="single" w:sz="4" w:space="0" w:color="99B0AB"/>
              <w:bottom w:val="single" w:sz="4" w:space="0" w:color="99B0AB"/>
              <w:right w:val="single" w:sz="4" w:space="0" w:color="99B0AB"/>
            </w:tcBorders>
          </w:tcPr>
          <w:p w14:paraId="2FC32A49" w14:textId="6DB09F5E" w:rsidR="000262F8" w:rsidRPr="000262F8" w:rsidRDefault="000262F8" w:rsidP="00E1659F">
            <w:pPr>
              <w:ind w:left="142"/>
              <w:rPr>
                <w:rFonts w:eastAsiaTheme="minorEastAsia"/>
                <w:b/>
                <w:i/>
                <w:color w:val="000000"/>
                <w:lang w:eastAsia="en-AU"/>
              </w:rPr>
            </w:pPr>
            <w:r w:rsidRPr="000262F8">
              <w:rPr>
                <w:rFonts w:eastAsiaTheme="minorEastAsia"/>
                <w:b/>
                <w:i/>
                <w:lang w:eastAsia="en-AU"/>
              </w:rPr>
              <w:t>Disclosure of In</w:t>
            </w:r>
            <w:r w:rsidRPr="000262F8">
              <w:rPr>
                <w:rFonts w:eastAsiaTheme="minorEastAsia"/>
                <w:b/>
                <w:i/>
                <w:spacing w:val="-1"/>
                <w:lang w:eastAsia="en-AU"/>
              </w:rPr>
              <w:t>t</w:t>
            </w:r>
            <w:r w:rsidRPr="000262F8">
              <w:rPr>
                <w:rFonts w:eastAsiaTheme="minorEastAsia"/>
                <w:b/>
                <w:i/>
                <w:lang w:eastAsia="en-AU"/>
              </w:rPr>
              <w:t xml:space="preserve">erests in </w:t>
            </w:r>
            <w:r w:rsidRPr="000262F8">
              <w:rPr>
                <w:rFonts w:eastAsiaTheme="minorEastAsia"/>
                <w:b/>
                <w:i/>
                <w:spacing w:val="2"/>
                <w:lang w:eastAsia="en-AU"/>
              </w:rPr>
              <w:t>O</w:t>
            </w:r>
            <w:r w:rsidRPr="000262F8">
              <w:rPr>
                <w:rFonts w:eastAsiaTheme="minorEastAsia"/>
                <w:b/>
                <w:i/>
                <w:lang w:eastAsia="en-AU"/>
              </w:rPr>
              <w:t>ther Entities</w:t>
            </w:r>
          </w:p>
          <w:p w14:paraId="6D3A0D8E" w14:textId="77777777" w:rsidR="000262F8" w:rsidRPr="000262F8" w:rsidRDefault="000262F8" w:rsidP="00E1659F">
            <w:pPr>
              <w:ind w:left="142"/>
              <w:rPr>
                <w:rFonts w:ascii="Times New Roman" w:eastAsiaTheme="minorEastAsia" w:hAnsi="Times New Roman"/>
                <w:lang w:eastAsia="en-AU"/>
              </w:rPr>
            </w:pPr>
            <w:r w:rsidRPr="000262F8">
              <w:rPr>
                <w:rFonts w:eastAsiaTheme="minorEastAsia"/>
              </w:rPr>
              <w:t>This Standard, issued in August 2011, supersedes disclosure requirements in AASB 127 Consolidated and Separate Financial Statements, AASB 128 Investments in Associates and AASB 131 Interests in Joint Ventures. There is no financial impact</w:t>
            </w:r>
            <w:r w:rsidRPr="000262F8">
              <w:rPr>
                <w:rFonts w:ascii="Myriad Pro Light" w:eastAsiaTheme="minorEastAsia" w:hAnsi="Myriad Pro Light" w:cs="Myriad Pro Light"/>
                <w:w w:val="90"/>
                <w:lang w:eastAsia="en-AU"/>
              </w:rPr>
              <w:t>.</w:t>
            </w:r>
          </w:p>
        </w:tc>
      </w:tr>
      <w:tr w:rsidR="000262F8" w:rsidRPr="000262F8" w14:paraId="6DA0FFB3" w14:textId="77777777" w:rsidTr="00A16123">
        <w:trPr>
          <w:trHeight w:hRule="exact" w:val="2282"/>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5C92CB5B" w14:textId="77777777" w:rsidR="000262F8" w:rsidRPr="000262F8" w:rsidRDefault="000262F8" w:rsidP="000C5C83">
            <w:pPr>
              <w:rPr>
                <w:rFonts w:ascii="Times New Roman" w:eastAsiaTheme="minorEastAsia" w:hAnsi="Times New Roman"/>
                <w:lang w:eastAsia="en-AU"/>
              </w:rPr>
            </w:pPr>
            <w:r w:rsidRPr="000262F8">
              <w:rPr>
                <w:rFonts w:eastAsiaTheme="minorEastAsia"/>
                <w:lang w:eastAsia="en-AU"/>
              </w:rPr>
              <w:lastRenderedPageBreak/>
              <w:t>AASB 127</w:t>
            </w:r>
          </w:p>
        </w:tc>
        <w:tc>
          <w:tcPr>
            <w:tcW w:w="7078" w:type="dxa"/>
            <w:tcBorders>
              <w:top w:val="single" w:sz="4" w:space="0" w:color="99B0AB"/>
              <w:left w:val="single" w:sz="4" w:space="0" w:color="99B0AB"/>
              <w:bottom w:val="single" w:sz="4" w:space="0" w:color="99B0AB"/>
              <w:right w:val="single" w:sz="4" w:space="0" w:color="99B0AB"/>
            </w:tcBorders>
          </w:tcPr>
          <w:p w14:paraId="6B3EDFB5" w14:textId="004933A9" w:rsidR="000262F8" w:rsidRPr="00CE10FA" w:rsidRDefault="000262F8" w:rsidP="00E1659F">
            <w:pPr>
              <w:ind w:left="142"/>
              <w:rPr>
                <w:rFonts w:eastAsiaTheme="minorEastAsia"/>
                <w:b/>
                <w:i/>
                <w:color w:val="000000"/>
                <w:lang w:eastAsia="en-AU"/>
              </w:rPr>
            </w:pPr>
            <w:r w:rsidRPr="00CE10FA">
              <w:rPr>
                <w:rFonts w:eastAsiaTheme="minorEastAsia"/>
                <w:b/>
                <w:i/>
                <w:spacing w:val="1"/>
                <w:lang w:eastAsia="en-AU"/>
              </w:rPr>
              <w:t>S</w:t>
            </w:r>
            <w:r w:rsidRPr="00CE10FA">
              <w:rPr>
                <w:rFonts w:eastAsiaTheme="minorEastAsia"/>
                <w:b/>
                <w:i/>
                <w:lang w:eastAsia="en-AU"/>
              </w:rPr>
              <w:t>ep</w:t>
            </w:r>
            <w:r w:rsidRPr="00CE10FA">
              <w:rPr>
                <w:rFonts w:eastAsiaTheme="minorEastAsia"/>
                <w:b/>
                <w:i/>
                <w:spacing w:val="1"/>
                <w:lang w:eastAsia="en-AU"/>
              </w:rPr>
              <w:t>a</w:t>
            </w:r>
            <w:r w:rsidRPr="00CE10FA">
              <w:rPr>
                <w:rFonts w:eastAsiaTheme="minorEastAsia"/>
                <w:b/>
                <w:i/>
                <w:spacing w:val="-2"/>
                <w:lang w:eastAsia="en-AU"/>
              </w:rPr>
              <w:t>r</w:t>
            </w:r>
            <w:r w:rsidRPr="00CE10FA">
              <w:rPr>
                <w:rFonts w:eastAsiaTheme="minorEastAsia"/>
                <w:b/>
                <w:i/>
                <w:lang w:eastAsia="en-AU"/>
              </w:rPr>
              <w:t>a</w:t>
            </w:r>
            <w:r w:rsidRPr="00CE10FA">
              <w:rPr>
                <w:rFonts w:eastAsiaTheme="minorEastAsia"/>
                <w:b/>
                <w:i/>
                <w:spacing w:val="-1"/>
                <w:lang w:eastAsia="en-AU"/>
              </w:rPr>
              <w:t>t</w:t>
            </w:r>
            <w:r w:rsidRPr="00CE10FA">
              <w:rPr>
                <w:rFonts w:eastAsiaTheme="minorEastAsia"/>
                <w:b/>
                <w:i/>
                <w:lang w:eastAsia="en-AU"/>
              </w:rPr>
              <w:t xml:space="preserve">e </w:t>
            </w:r>
            <w:r w:rsidRPr="00CE10FA">
              <w:rPr>
                <w:rFonts w:eastAsiaTheme="minorEastAsia"/>
                <w:b/>
                <w:i/>
                <w:spacing w:val="-3"/>
                <w:lang w:eastAsia="en-AU"/>
              </w:rPr>
              <w:t>F</w:t>
            </w:r>
            <w:r w:rsidRPr="00CE10FA">
              <w:rPr>
                <w:rFonts w:eastAsiaTheme="minorEastAsia"/>
                <w:b/>
                <w:i/>
                <w:lang w:eastAsia="en-AU"/>
              </w:rPr>
              <w:t>in</w:t>
            </w:r>
            <w:r w:rsidRPr="00CE10FA">
              <w:rPr>
                <w:rFonts w:eastAsiaTheme="minorEastAsia"/>
                <w:b/>
                <w:i/>
                <w:spacing w:val="1"/>
                <w:lang w:eastAsia="en-AU"/>
              </w:rPr>
              <w:t>a</w:t>
            </w:r>
            <w:r w:rsidRPr="00CE10FA">
              <w:rPr>
                <w:rFonts w:eastAsiaTheme="minorEastAsia"/>
                <w:b/>
                <w:i/>
                <w:lang w:eastAsia="en-AU"/>
              </w:rPr>
              <w:t>ncial S</w:t>
            </w:r>
            <w:r w:rsidRPr="00CE10FA">
              <w:rPr>
                <w:rFonts w:eastAsiaTheme="minorEastAsia"/>
                <w:b/>
                <w:i/>
                <w:spacing w:val="-1"/>
                <w:lang w:eastAsia="en-AU"/>
              </w:rPr>
              <w:t>t</w:t>
            </w:r>
            <w:r w:rsidRPr="00CE10FA">
              <w:rPr>
                <w:rFonts w:eastAsiaTheme="minorEastAsia"/>
                <w:b/>
                <w:i/>
                <w:lang w:eastAsia="en-AU"/>
              </w:rPr>
              <w:t>a</w:t>
            </w:r>
            <w:r w:rsidRPr="00CE10FA">
              <w:rPr>
                <w:rFonts w:eastAsiaTheme="minorEastAsia"/>
                <w:b/>
                <w:i/>
                <w:spacing w:val="-1"/>
                <w:lang w:eastAsia="en-AU"/>
              </w:rPr>
              <w:t>t</w:t>
            </w:r>
            <w:r w:rsidRPr="00CE10FA">
              <w:rPr>
                <w:rFonts w:eastAsiaTheme="minorEastAsia"/>
                <w:b/>
                <w:i/>
                <w:lang w:eastAsia="en-AU"/>
              </w:rPr>
              <w:t>ements</w:t>
            </w:r>
          </w:p>
          <w:p w14:paraId="661924AD" w14:textId="77777777" w:rsidR="000262F8" w:rsidRPr="000262F8" w:rsidRDefault="000262F8" w:rsidP="00E1659F">
            <w:pPr>
              <w:ind w:left="142"/>
              <w:rPr>
                <w:rFonts w:ascii="Times New Roman" w:eastAsiaTheme="minorEastAsia" w:hAnsi="Times New Roman"/>
                <w:lang w:eastAsia="en-AU"/>
              </w:rPr>
            </w:pPr>
            <w:r w:rsidRPr="00CE10FA">
              <w:rPr>
                <w:rFonts w:eastAsiaTheme="minorEastAsia"/>
              </w:rPr>
              <w:t>This Standard, issued in August 2011, supersedes AASB 127 Consolidated and Separate Financial Statements removing the consolidation requirements of the earlier standard whilst retaining accounting and disclosure requirements for the preparation of separate financial statements. There is no financial impact</w:t>
            </w:r>
            <w:r w:rsidRPr="000262F8">
              <w:rPr>
                <w:rFonts w:ascii="Myriad Pro Light" w:eastAsiaTheme="minorEastAsia" w:hAnsi="Myriad Pro Light" w:cs="Myriad Pro Light"/>
                <w:w w:val="90"/>
                <w:lang w:eastAsia="en-AU"/>
              </w:rPr>
              <w:t>.</w:t>
            </w:r>
          </w:p>
        </w:tc>
      </w:tr>
      <w:tr w:rsidR="000262F8" w:rsidRPr="000262F8" w14:paraId="04D4C5BB" w14:textId="77777777" w:rsidTr="00A16123">
        <w:trPr>
          <w:trHeight w:hRule="exact" w:val="2413"/>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547E63B9" w14:textId="77777777" w:rsidR="000262F8" w:rsidRPr="000262F8" w:rsidRDefault="000262F8" w:rsidP="000C5C83">
            <w:pPr>
              <w:rPr>
                <w:rFonts w:eastAsiaTheme="minorEastAsia"/>
                <w:lang w:eastAsia="en-AU"/>
              </w:rPr>
            </w:pPr>
            <w:r w:rsidRPr="000262F8">
              <w:rPr>
                <w:rFonts w:eastAsiaTheme="minorEastAsia"/>
                <w:lang w:eastAsia="en-AU"/>
              </w:rPr>
              <w:t>AASB 128</w:t>
            </w:r>
          </w:p>
        </w:tc>
        <w:tc>
          <w:tcPr>
            <w:tcW w:w="7078" w:type="dxa"/>
            <w:tcBorders>
              <w:top w:val="single" w:sz="4" w:space="0" w:color="99B0AB"/>
              <w:left w:val="single" w:sz="4" w:space="0" w:color="99B0AB"/>
              <w:bottom w:val="single" w:sz="4" w:space="0" w:color="99B0AB"/>
              <w:right w:val="single" w:sz="4" w:space="0" w:color="99B0AB"/>
            </w:tcBorders>
          </w:tcPr>
          <w:p w14:paraId="0FC4870D" w14:textId="77777777" w:rsidR="000262F8" w:rsidRPr="00CE10FA" w:rsidRDefault="000262F8" w:rsidP="00E1659F">
            <w:pPr>
              <w:ind w:left="142"/>
              <w:rPr>
                <w:rFonts w:eastAsiaTheme="minorEastAsia"/>
                <w:b/>
                <w:i/>
                <w:lang w:eastAsia="en-AU"/>
              </w:rPr>
            </w:pPr>
            <w:r w:rsidRPr="00CE10FA">
              <w:rPr>
                <w:rFonts w:eastAsiaTheme="minorEastAsia"/>
                <w:b/>
                <w:i/>
                <w:lang w:eastAsia="en-AU"/>
              </w:rPr>
              <w:t>Investments in Associates and Joint Ventures</w:t>
            </w:r>
          </w:p>
          <w:p w14:paraId="510340AB" w14:textId="77777777" w:rsidR="000262F8" w:rsidRPr="000262F8" w:rsidRDefault="000262F8" w:rsidP="00E1659F">
            <w:pPr>
              <w:ind w:left="142"/>
              <w:rPr>
                <w:rFonts w:eastAsiaTheme="minorEastAsia"/>
                <w:i/>
                <w:iCs/>
                <w:spacing w:val="1"/>
                <w:lang w:eastAsia="en-AU"/>
              </w:rPr>
            </w:pPr>
            <w:r w:rsidRPr="00CE10FA">
              <w:rPr>
                <w:rFonts w:eastAsiaTheme="minorEastAsia"/>
              </w:rPr>
              <w:t>This Standard supersedes AASB 128 Investments in Associates, introducing a number of clarifications for the accounting treatments of changed ownership interest. The adoption of the new Standard has no financial impact for the Authority as it does not hold investments in associates and joint ventures</w:t>
            </w:r>
            <w:r w:rsidRPr="000262F8">
              <w:rPr>
                <w:rFonts w:eastAsiaTheme="minorEastAsia"/>
                <w:i/>
                <w:iCs/>
                <w:spacing w:val="1"/>
                <w:lang w:eastAsia="en-AU"/>
              </w:rPr>
              <w:t>.</w:t>
            </w:r>
          </w:p>
        </w:tc>
      </w:tr>
      <w:tr w:rsidR="000262F8" w:rsidRPr="000262F8" w14:paraId="352EEF68" w14:textId="77777777" w:rsidTr="00A16123">
        <w:trPr>
          <w:trHeight w:hRule="exact" w:val="2110"/>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71B23B32" w14:textId="77777777" w:rsidR="000262F8" w:rsidRPr="000262F8" w:rsidRDefault="000262F8" w:rsidP="000C5C83">
            <w:pPr>
              <w:rPr>
                <w:rFonts w:eastAsiaTheme="minorEastAsia"/>
                <w:lang w:eastAsia="en-AU"/>
              </w:rPr>
            </w:pPr>
            <w:r w:rsidRPr="000262F8">
              <w:rPr>
                <w:rFonts w:eastAsiaTheme="minorEastAsia"/>
                <w:lang w:eastAsia="en-AU"/>
              </w:rPr>
              <w:t>AASB 1031</w:t>
            </w:r>
          </w:p>
        </w:tc>
        <w:tc>
          <w:tcPr>
            <w:tcW w:w="7078" w:type="dxa"/>
            <w:tcBorders>
              <w:top w:val="single" w:sz="4" w:space="0" w:color="99B0AB"/>
              <w:left w:val="single" w:sz="4" w:space="0" w:color="99B0AB"/>
              <w:bottom w:val="single" w:sz="4" w:space="0" w:color="99B0AB"/>
              <w:right w:val="single" w:sz="4" w:space="0" w:color="99B0AB"/>
            </w:tcBorders>
          </w:tcPr>
          <w:p w14:paraId="5B418696" w14:textId="496452E1" w:rsidR="000262F8" w:rsidRPr="00F90EE3" w:rsidRDefault="000262F8" w:rsidP="00E1659F">
            <w:pPr>
              <w:ind w:left="142"/>
              <w:rPr>
                <w:rFonts w:eastAsiaTheme="minorEastAsia"/>
                <w:b/>
                <w:i/>
                <w:lang w:eastAsia="en-AU"/>
              </w:rPr>
            </w:pPr>
            <w:r w:rsidRPr="00F90EE3">
              <w:rPr>
                <w:rFonts w:eastAsiaTheme="minorEastAsia"/>
                <w:b/>
                <w:i/>
                <w:lang w:eastAsia="en-AU"/>
              </w:rPr>
              <w:t>Materiality</w:t>
            </w:r>
          </w:p>
          <w:p w14:paraId="7BD4FE5B" w14:textId="77777777" w:rsidR="000262F8" w:rsidRPr="000262F8" w:rsidRDefault="000262F8" w:rsidP="00E1659F">
            <w:pPr>
              <w:ind w:left="142"/>
              <w:rPr>
                <w:rFonts w:eastAsiaTheme="minorEastAsia"/>
                <w:i/>
                <w:iCs/>
                <w:spacing w:val="1"/>
                <w:lang w:eastAsia="en-AU"/>
              </w:rPr>
            </w:pPr>
            <w:r w:rsidRPr="00F90EE3">
              <w:rPr>
                <w:rFonts w:eastAsiaTheme="minorEastAsia"/>
              </w:rPr>
              <w:t>This Standard supersedes AASB 1031 (February 2010), removing Australian guidance on materiality not available in IFRSs and refers to guidance on materiality in other Australian pronouncements. There is no financial impact</w:t>
            </w:r>
            <w:r w:rsidRPr="000262F8">
              <w:rPr>
                <w:rFonts w:eastAsiaTheme="minorEastAsia"/>
                <w:i/>
                <w:iCs/>
                <w:spacing w:val="1"/>
                <w:lang w:eastAsia="en-AU"/>
              </w:rPr>
              <w:t>.</w:t>
            </w:r>
          </w:p>
        </w:tc>
      </w:tr>
      <w:tr w:rsidR="000262F8" w:rsidRPr="000262F8" w14:paraId="530361BA" w14:textId="77777777" w:rsidTr="00A16123">
        <w:trPr>
          <w:trHeight w:hRule="exact" w:val="2976"/>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64A3367B" w14:textId="77777777" w:rsidR="000262F8" w:rsidRPr="000262F8" w:rsidRDefault="000262F8" w:rsidP="000C5C83">
            <w:pPr>
              <w:rPr>
                <w:rFonts w:eastAsiaTheme="minorEastAsia"/>
                <w:lang w:eastAsia="en-AU"/>
              </w:rPr>
            </w:pPr>
            <w:r w:rsidRPr="000262F8">
              <w:rPr>
                <w:rFonts w:eastAsiaTheme="minorEastAsia"/>
                <w:lang w:eastAsia="en-AU"/>
              </w:rPr>
              <w:t>AASB 1055</w:t>
            </w:r>
          </w:p>
        </w:tc>
        <w:tc>
          <w:tcPr>
            <w:tcW w:w="7078" w:type="dxa"/>
            <w:tcBorders>
              <w:top w:val="single" w:sz="4" w:space="0" w:color="99B0AB"/>
              <w:left w:val="single" w:sz="4" w:space="0" w:color="99B0AB"/>
              <w:bottom w:val="single" w:sz="4" w:space="0" w:color="99B0AB"/>
              <w:right w:val="single" w:sz="4" w:space="0" w:color="99B0AB"/>
            </w:tcBorders>
          </w:tcPr>
          <w:p w14:paraId="646DF462" w14:textId="77777777" w:rsidR="000262F8" w:rsidRPr="00F90EE3" w:rsidRDefault="000262F8" w:rsidP="00E1659F">
            <w:pPr>
              <w:ind w:left="142"/>
              <w:rPr>
                <w:rFonts w:eastAsiaTheme="minorEastAsia"/>
                <w:b/>
                <w:i/>
                <w:lang w:eastAsia="en-AU"/>
              </w:rPr>
            </w:pPr>
            <w:r w:rsidRPr="00F90EE3">
              <w:rPr>
                <w:rFonts w:eastAsiaTheme="minorEastAsia"/>
                <w:b/>
                <w:i/>
                <w:lang w:eastAsia="en-AU"/>
              </w:rPr>
              <w:t>Budgetary Reporting</w:t>
            </w:r>
          </w:p>
          <w:p w14:paraId="202BFFDC" w14:textId="08AD78C8" w:rsidR="000262F8" w:rsidRPr="000262F8" w:rsidRDefault="00E1659F" w:rsidP="00E1659F">
            <w:pPr>
              <w:ind w:left="142"/>
              <w:rPr>
                <w:rFonts w:eastAsiaTheme="minorEastAsia"/>
                <w:i/>
                <w:iCs/>
                <w:spacing w:val="1"/>
                <w:lang w:eastAsia="en-AU"/>
              </w:rPr>
            </w:pPr>
            <w:r>
              <w:rPr>
                <w:rFonts w:eastAsiaTheme="minorEastAsia"/>
              </w:rPr>
              <w:t>This standard requires specific budgetary disclosures in the general purpose financial statement</w:t>
            </w:r>
            <w:r w:rsidR="00BC45DA">
              <w:rPr>
                <w:rFonts w:eastAsiaTheme="minorEastAsia"/>
              </w:rPr>
              <w:t>s</w:t>
            </w:r>
            <w:r>
              <w:rPr>
                <w:rFonts w:eastAsiaTheme="minorEastAsia"/>
              </w:rPr>
              <w:t xml:space="preserve"> of not-for-profit entities within the General Government Sector. The Authority has determined that it is not required to disclose additional budgetary information and explanations of major variances between actual and budgeted amounts. There is no financial impact.</w:t>
            </w:r>
          </w:p>
        </w:tc>
      </w:tr>
      <w:tr w:rsidR="000262F8" w:rsidRPr="000262F8" w14:paraId="04C0380F" w14:textId="77777777" w:rsidTr="00A16123">
        <w:trPr>
          <w:trHeight w:hRule="exact" w:val="3130"/>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43C90F5C" w14:textId="77777777" w:rsidR="000262F8" w:rsidRPr="000262F8" w:rsidRDefault="000262F8" w:rsidP="000C5C83">
            <w:pPr>
              <w:rPr>
                <w:rFonts w:eastAsiaTheme="minorEastAsia"/>
                <w:lang w:eastAsia="en-AU"/>
              </w:rPr>
            </w:pPr>
            <w:r w:rsidRPr="000262F8">
              <w:rPr>
                <w:rFonts w:eastAsiaTheme="minorEastAsia"/>
                <w:lang w:eastAsia="en-AU"/>
              </w:rPr>
              <w:t>AASB 2011-7</w:t>
            </w:r>
          </w:p>
        </w:tc>
        <w:tc>
          <w:tcPr>
            <w:tcW w:w="7078" w:type="dxa"/>
            <w:tcBorders>
              <w:top w:val="single" w:sz="4" w:space="0" w:color="99B0AB"/>
              <w:left w:val="single" w:sz="4" w:space="0" w:color="99B0AB"/>
              <w:bottom w:val="single" w:sz="4" w:space="0" w:color="99B0AB"/>
              <w:right w:val="single" w:sz="4" w:space="0" w:color="99B0AB"/>
            </w:tcBorders>
          </w:tcPr>
          <w:p w14:paraId="786B672B" w14:textId="4609CA19" w:rsidR="000262F8" w:rsidRPr="00F90EE3" w:rsidRDefault="000262F8" w:rsidP="00E1659F">
            <w:pPr>
              <w:ind w:left="142"/>
              <w:rPr>
                <w:rFonts w:eastAsiaTheme="minorEastAsia"/>
                <w:b/>
                <w:i/>
                <w:iCs/>
                <w:spacing w:val="1"/>
                <w:lang w:eastAsia="en-AU"/>
              </w:rPr>
            </w:pPr>
            <w:r w:rsidRPr="00F90EE3">
              <w:rPr>
                <w:rFonts w:eastAsiaTheme="minorEastAsia"/>
                <w:b/>
                <w:i/>
              </w:rPr>
              <w:t>Amendments to Australian Accounting Standards arising from the Consolidation and Joint Arrangements Standards [AASB 1, 2, 3, 5, 7, 101, 107, 112, 118, 121,124, 132, 133, 136, 138, 139, 1023 &amp; 1038 and Int 5, 9, 16 &amp; 17]</w:t>
            </w:r>
          </w:p>
          <w:p w14:paraId="4B61DF4C" w14:textId="77777777" w:rsidR="000262F8" w:rsidRPr="000262F8" w:rsidRDefault="000262F8" w:rsidP="00E1659F">
            <w:pPr>
              <w:ind w:left="142"/>
              <w:rPr>
                <w:rFonts w:eastAsiaTheme="minorEastAsia"/>
                <w:lang w:eastAsia="en-AU"/>
              </w:rPr>
            </w:pPr>
            <w:r w:rsidRPr="000262F8">
              <w:rPr>
                <w:rFonts w:eastAsiaTheme="minorEastAsia"/>
                <w:lang w:eastAsia="en-AU"/>
              </w:rPr>
              <w:t>This Standard gives effect to consequential changes arising from the issuance of AASB 10, AASB 11, AASB 127 Separate Financial Statements and AASB 128 Investments in Associates and Joint Ventures. There is no financial impact for the Authority.</w:t>
            </w:r>
          </w:p>
        </w:tc>
      </w:tr>
      <w:tr w:rsidR="000262F8" w:rsidRPr="000262F8" w14:paraId="4718CDF3" w14:textId="77777777" w:rsidTr="00A16123">
        <w:trPr>
          <w:trHeight w:hRule="exact" w:val="3558"/>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5D335BEF" w14:textId="77777777" w:rsidR="000262F8" w:rsidRPr="000262F8" w:rsidRDefault="000262F8" w:rsidP="000C5C83">
            <w:pPr>
              <w:rPr>
                <w:rFonts w:eastAsiaTheme="minorEastAsia"/>
                <w:lang w:eastAsia="en-AU"/>
              </w:rPr>
            </w:pPr>
            <w:r w:rsidRPr="000262F8">
              <w:rPr>
                <w:rFonts w:eastAsiaTheme="minorEastAsia"/>
                <w:lang w:eastAsia="en-AU"/>
              </w:rPr>
              <w:lastRenderedPageBreak/>
              <w:t>AASB 2012-3</w:t>
            </w:r>
          </w:p>
        </w:tc>
        <w:tc>
          <w:tcPr>
            <w:tcW w:w="7078" w:type="dxa"/>
            <w:tcBorders>
              <w:top w:val="single" w:sz="4" w:space="0" w:color="99B0AB"/>
              <w:left w:val="single" w:sz="4" w:space="0" w:color="99B0AB"/>
              <w:bottom w:val="single" w:sz="4" w:space="0" w:color="99B0AB"/>
              <w:right w:val="single" w:sz="4" w:space="0" w:color="99B0AB"/>
            </w:tcBorders>
          </w:tcPr>
          <w:p w14:paraId="31AE3F23" w14:textId="661B192D" w:rsidR="000262F8" w:rsidRPr="00712977" w:rsidRDefault="000262F8" w:rsidP="00E1659F">
            <w:pPr>
              <w:ind w:left="142"/>
              <w:rPr>
                <w:rFonts w:eastAsiaTheme="minorEastAsia"/>
                <w:b/>
                <w:i/>
                <w:lang w:eastAsia="en-AU"/>
              </w:rPr>
            </w:pPr>
            <w:r w:rsidRPr="00712977">
              <w:rPr>
                <w:rFonts w:eastAsiaTheme="minorEastAsia"/>
                <w:b/>
                <w:i/>
                <w:lang w:eastAsia="en-AU"/>
              </w:rPr>
              <w:t>Amendments to Australian Accounting Standards – Offsetting Financial Assets and Financial Liabilities [AASB 132]</w:t>
            </w:r>
          </w:p>
          <w:p w14:paraId="04B8F843" w14:textId="77777777" w:rsidR="000262F8" w:rsidRPr="000262F8" w:rsidRDefault="000262F8" w:rsidP="00E1659F">
            <w:pPr>
              <w:ind w:left="142"/>
              <w:rPr>
                <w:rFonts w:eastAsiaTheme="minorEastAsia"/>
                <w:i/>
                <w:iCs/>
                <w:spacing w:val="1"/>
                <w:lang w:eastAsia="en-AU"/>
              </w:rPr>
            </w:pPr>
            <w:r w:rsidRPr="00712977">
              <w:rPr>
                <w:rFonts w:eastAsiaTheme="minorEastAsia"/>
              </w:rPr>
              <w:t>This Standard adds application guidance to AASB 132 to address inconsistencies identified in applying some of the offsetting criteria, including clarifying the meaning of “currently has a legally enforceable right of set-off” and that some gross settlement systems may be considered equivalent to net settlement. There is no financial impact</w:t>
            </w:r>
            <w:r w:rsidRPr="000262F8">
              <w:rPr>
                <w:rFonts w:eastAsiaTheme="minorEastAsia"/>
                <w:i/>
                <w:iCs/>
                <w:spacing w:val="1"/>
                <w:lang w:eastAsia="en-AU"/>
              </w:rPr>
              <w:t>.</w:t>
            </w:r>
          </w:p>
        </w:tc>
      </w:tr>
      <w:tr w:rsidR="000262F8" w:rsidRPr="000262F8" w14:paraId="1F7BF252" w14:textId="77777777" w:rsidTr="00A16123">
        <w:trPr>
          <w:trHeight w:hRule="exact" w:val="1850"/>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1DA1B22E" w14:textId="77777777" w:rsidR="000262F8" w:rsidRPr="000262F8" w:rsidRDefault="000262F8" w:rsidP="000C5C83">
            <w:pPr>
              <w:rPr>
                <w:rFonts w:eastAsiaTheme="minorEastAsia"/>
                <w:lang w:eastAsia="en-AU"/>
              </w:rPr>
            </w:pPr>
            <w:r w:rsidRPr="000262F8">
              <w:rPr>
                <w:rFonts w:eastAsiaTheme="minorEastAsia"/>
                <w:lang w:eastAsia="en-AU"/>
              </w:rPr>
              <w:t>AASB 2013-3</w:t>
            </w:r>
          </w:p>
        </w:tc>
        <w:tc>
          <w:tcPr>
            <w:tcW w:w="7078" w:type="dxa"/>
            <w:tcBorders>
              <w:top w:val="single" w:sz="4" w:space="0" w:color="99B0AB"/>
              <w:left w:val="single" w:sz="4" w:space="0" w:color="99B0AB"/>
              <w:bottom w:val="single" w:sz="4" w:space="0" w:color="99B0AB"/>
              <w:right w:val="single" w:sz="4" w:space="0" w:color="99B0AB"/>
            </w:tcBorders>
          </w:tcPr>
          <w:p w14:paraId="4DAACB64" w14:textId="38A1B4D5" w:rsidR="000262F8" w:rsidRPr="00712977" w:rsidRDefault="000262F8" w:rsidP="00E1659F">
            <w:pPr>
              <w:ind w:left="142"/>
              <w:rPr>
                <w:rFonts w:eastAsiaTheme="minorEastAsia"/>
                <w:b/>
                <w:i/>
                <w:lang w:eastAsia="en-AU"/>
              </w:rPr>
            </w:pPr>
            <w:r w:rsidRPr="00712977">
              <w:rPr>
                <w:rFonts w:eastAsiaTheme="minorEastAsia"/>
                <w:b/>
                <w:i/>
                <w:lang w:eastAsia="en-AU"/>
              </w:rPr>
              <w:t>Amendments to AASB 136 – Recoverable Amount Disclosures for Non-Financial Assets</w:t>
            </w:r>
          </w:p>
          <w:p w14:paraId="2C499F95" w14:textId="77777777" w:rsidR="000262F8" w:rsidRPr="000262F8" w:rsidRDefault="000262F8" w:rsidP="00E1659F">
            <w:pPr>
              <w:ind w:left="142"/>
              <w:rPr>
                <w:rFonts w:eastAsiaTheme="minorEastAsia"/>
                <w:lang w:eastAsia="en-AU"/>
              </w:rPr>
            </w:pPr>
            <w:r w:rsidRPr="000262F8">
              <w:rPr>
                <w:rFonts w:eastAsiaTheme="minorEastAsia"/>
                <w:lang w:eastAsia="en-AU"/>
              </w:rPr>
              <w:t>This Standard introduces editorial and disclosure changes. There is no financial impact.</w:t>
            </w:r>
          </w:p>
        </w:tc>
      </w:tr>
      <w:tr w:rsidR="000262F8" w:rsidRPr="000262F8" w14:paraId="4E1A28AD" w14:textId="77777777" w:rsidTr="00A16123">
        <w:trPr>
          <w:trHeight w:hRule="exact" w:val="3393"/>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710BE96F" w14:textId="77777777" w:rsidR="000262F8" w:rsidRPr="000262F8" w:rsidRDefault="000262F8" w:rsidP="000C5C83">
            <w:pPr>
              <w:rPr>
                <w:rFonts w:eastAsiaTheme="minorEastAsia"/>
                <w:lang w:eastAsia="en-AU"/>
              </w:rPr>
            </w:pPr>
            <w:r w:rsidRPr="000262F8">
              <w:rPr>
                <w:rFonts w:eastAsiaTheme="minorEastAsia"/>
                <w:lang w:eastAsia="en-AU"/>
              </w:rPr>
              <w:t>AASB 2013-4</w:t>
            </w:r>
          </w:p>
        </w:tc>
        <w:tc>
          <w:tcPr>
            <w:tcW w:w="7078" w:type="dxa"/>
            <w:tcBorders>
              <w:top w:val="single" w:sz="4" w:space="0" w:color="99B0AB"/>
              <w:left w:val="single" w:sz="4" w:space="0" w:color="99B0AB"/>
              <w:bottom w:val="single" w:sz="4" w:space="0" w:color="99B0AB"/>
              <w:right w:val="single" w:sz="4" w:space="0" w:color="99B0AB"/>
            </w:tcBorders>
          </w:tcPr>
          <w:p w14:paraId="3FA0542B" w14:textId="2EA30EEB" w:rsidR="000262F8" w:rsidRPr="00712977" w:rsidRDefault="000262F8" w:rsidP="00E1659F">
            <w:pPr>
              <w:ind w:left="142"/>
              <w:rPr>
                <w:rFonts w:eastAsiaTheme="minorEastAsia"/>
                <w:b/>
                <w:i/>
                <w:lang w:eastAsia="en-AU"/>
              </w:rPr>
            </w:pPr>
            <w:r w:rsidRPr="00712977">
              <w:rPr>
                <w:rFonts w:eastAsiaTheme="minorEastAsia"/>
                <w:b/>
                <w:i/>
                <w:lang w:eastAsia="en-AU"/>
              </w:rPr>
              <w:t>Amendments to Australian Accounting Standards – Novation of Derivatives and Continuation of Hedge Accounting [AASB 139]</w:t>
            </w:r>
          </w:p>
          <w:p w14:paraId="04C9D5C2" w14:textId="77777777" w:rsidR="000262F8" w:rsidRPr="000262F8" w:rsidRDefault="000262F8" w:rsidP="00E1659F">
            <w:pPr>
              <w:ind w:left="142"/>
              <w:rPr>
                <w:rFonts w:eastAsiaTheme="minorEastAsia"/>
                <w:lang w:eastAsia="en-AU"/>
              </w:rPr>
            </w:pPr>
            <w:r w:rsidRPr="000262F8">
              <w:rPr>
                <w:rFonts w:eastAsiaTheme="minorEastAsia"/>
                <w:lang w:eastAsia="en-AU"/>
              </w:rPr>
              <w:t>This Standard permits the continuation of hedge accounting in circumstances where a derivative, which has been designated as a hedging instrument, is novated from one counterparty to a central counterparty as a consequence of laws or regulations. The Authority does not routinely enter into derivatives or hedges, therefore there is no financial impact.</w:t>
            </w:r>
          </w:p>
        </w:tc>
      </w:tr>
      <w:tr w:rsidR="000262F8" w:rsidRPr="000262F8" w14:paraId="4F3537BE" w14:textId="77777777" w:rsidTr="00A16123">
        <w:trPr>
          <w:trHeight w:hRule="exact" w:val="3385"/>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5C974D56" w14:textId="77777777" w:rsidR="000262F8" w:rsidRPr="000262F8" w:rsidRDefault="000262F8" w:rsidP="000C5C83">
            <w:pPr>
              <w:rPr>
                <w:rFonts w:eastAsiaTheme="minorEastAsia"/>
                <w:lang w:eastAsia="en-AU"/>
              </w:rPr>
            </w:pPr>
            <w:r w:rsidRPr="000262F8">
              <w:rPr>
                <w:rFonts w:eastAsiaTheme="minorEastAsia"/>
                <w:lang w:eastAsia="en-AU"/>
              </w:rPr>
              <w:t>AASB 2013-8</w:t>
            </w:r>
          </w:p>
        </w:tc>
        <w:tc>
          <w:tcPr>
            <w:tcW w:w="7078" w:type="dxa"/>
            <w:tcBorders>
              <w:top w:val="single" w:sz="4" w:space="0" w:color="99B0AB"/>
              <w:left w:val="single" w:sz="4" w:space="0" w:color="99B0AB"/>
              <w:bottom w:val="single" w:sz="4" w:space="0" w:color="99B0AB"/>
              <w:right w:val="single" w:sz="4" w:space="0" w:color="99B0AB"/>
            </w:tcBorders>
          </w:tcPr>
          <w:p w14:paraId="2215D308" w14:textId="40802869" w:rsidR="000262F8" w:rsidRPr="00712977" w:rsidRDefault="000262F8" w:rsidP="00E1659F">
            <w:pPr>
              <w:ind w:left="142"/>
              <w:rPr>
                <w:rFonts w:eastAsiaTheme="minorEastAsia"/>
                <w:b/>
                <w:i/>
                <w:lang w:eastAsia="en-AU"/>
              </w:rPr>
            </w:pPr>
            <w:r w:rsidRPr="00712977">
              <w:rPr>
                <w:rFonts w:eastAsiaTheme="minorEastAsia"/>
                <w:b/>
                <w:i/>
                <w:lang w:eastAsia="en-AU"/>
              </w:rPr>
              <w:t>Amendments to Australian Accounting Standards – Australian Implementation Guidance for Not-for-Profit Entities – Control and Structured Entities [AASB 10, 12 &amp; 1049]</w:t>
            </w:r>
          </w:p>
          <w:p w14:paraId="3A4DA163" w14:textId="77777777" w:rsidR="000262F8" w:rsidRPr="000262F8" w:rsidRDefault="000262F8" w:rsidP="00E1659F">
            <w:pPr>
              <w:ind w:left="142"/>
              <w:rPr>
                <w:rFonts w:eastAsiaTheme="minorEastAsia"/>
                <w:lang w:eastAsia="en-AU"/>
              </w:rPr>
            </w:pPr>
            <w:r w:rsidRPr="000262F8">
              <w:rPr>
                <w:rFonts w:eastAsiaTheme="minorEastAsia"/>
                <w:lang w:eastAsia="en-AU"/>
              </w:rPr>
              <w:t>The amendments, issued in October 2013, provide significant guidance in determining whether a not-for-profit entity controls another entity when financial returns are not a key attribute of the investor’s relationship. The Standard has no financial impact in its own right, rather the impact results from the adoption of the amended AASB 10.</w:t>
            </w:r>
          </w:p>
        </w:tc>
      </w:tr>
      <w:tr w:rsidR="000262F8" w:rsidRPr="000262F8" w14:paraId="4AD3E00E" w14:textId="77777777" w:rsidTr="00E1659F">
        <w:trPr>
          <w:trHeight w:hRule="exact" w:val="2707"/>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47A859A0" w14:textId="77777777" w:rsidR="000262F8" w:rsidRPr="000262F8" w:rsidRDefault="000262F8" w:rsidP="000C5C83">
            <w:pPr>
              <w:rPr>
                <w:rFonts w:eastAsiaTheme="minorEastAsia"/>
                <w:lang w:eastAsia="en-AU"/>
              </w:rPr>
            </w:pPr>
            <w:r w:rsidRPr="000262F8">
              <w:rPr>
                <w:rFonts w:eastAsiaTheme="minorEastAsia"/>
                <w:lang w:eastAsia="en-AU"/>
              </w:rPr>
              <w:lastRenderedPageBreak/>
              <w:t>AASB 2013-9</w:t>
            </w:r>
          </w:p>
        </w:tc>
        <w:tc>
          <w:tcPr>
            <w:tcW w:w="7078" w:type="dxa"/>
            <w:tcBorders>
              <w:top w:val="single" w:sz="4" w:space="0" w:color="99B0AB"/>
              <w:left w:val="single" w:sz="4" w:space="0" w:color="99B0AB"/>
              <w:bottom w:val="single" w:sz="4" w:space="0" w:color="99B0AB"/>
              <w:right w:val="single" w:sz="4" w:space="0" w:color="99B0AB"/>
            </w:tcBorders>
          </w:tcPr>
          <w:p w14:paraId="6487C93A" w14:textId="0F9B1239" w:rsidR="000262F8" w:rsidRPr="00712977" w:rsidRDefault="000262F8" w:rsidP="00E1659F">
            <w:pPr>
              <w:ind w:left="142"/>
              <w:rPr>
                <w:rFonts w:eastAsiaTheme="minorEastAsia"/>
                <w:b/>
                <w:i/>
                <w:lang w:eastAsia="en-AU"/>
              </w:rPr>
            </w:pPr>
            <w:r w:rsidRPr="00712977">
              <w:rPr>
                <w:rFonts w:eastAsiaTheme="minorEastAsia"/>
                <w:b/>
                <w:i/>
                <w:lang w:eastAsia="en-AU"/>
              </w:rPr>
              <w:t>Amendments to Australian Accounting Standards – Conceptual Framework, Materiality and Financial Instruments</w:t>
            </w:r>
          </w:p>
          <w:p w14:paraId="483F98C0" w14:textId="77777777" w:rsidR="000262F8" w:rsidRPr="000262F8" w:rsidRDefault="000262F8" w:rsidP="00E1659F">
            <w:pPr>
              <w:ind w:left="142"/>
              <w:rPr>
                <w:rFonts w:eastAsiaTheme="minorEastAsia"/>
                <w:lang w:eastAsia="en-AU"/>
              </w:rPr>
            </w:pPr>
            <w:r w:rsidRPr="000262F8">
              <w:rPr>
                <w:rFonts w:eastAsiaTheme="minorEastAsia"/>
                <w:lang w:eastAsia="en-AU"/>
              </w:rPr>
              <w:t>Part B of this omnibus Standard makes amendments to other Standards arising from the deletion of references to AASB 1031 in other Standards for periods beginning on or after 1 January 2014. It has no financial impact.</w:t>
            </w:r>
          </w:p>
        </w:tc>
      </w:tr>
      <w:tr w:rsidR="000262F8" w:rsidRPr="000262F8" w14:paraId="2FB8C61C" w14:textId="77777777" w:rsidTr="00A16123">
        <w:trPr>
          <w:trHeight w:hRule="exact" w:val="2129"/>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3D475EEA" w14:textId="77777777" w:rsidR="000262F8" w:rsidRPr="000262F8" w:rsidRDefault="000262F8" w:rsidP="000C5C83">
            <w:pPr>
              <w:rPr>
                <w:rFonts w:eastAsiaTheme="minorEastAsia"/>
                <w:lang w:eastAsia="en-AU"/>
              </w:rPr>
            </w:pPr>
            <w:r w:rsidRPr="000262F8">
              <w:rPr>
                <w:rFonts w:eastAsiaTheme="minorEastAsia"/>
                <w:lang w:eastAsia="en-AU"/>
              </w:rPr>
              <w:t>AASB 2014-1</w:t>
            </w:r>
          </w:p>
        </w:tc>
        <w:tc>
          <w:tcPr>
            <w:tcW w:w="7078" w:type="dxa"/>
            <w:tcBorders>
              <w:top w:val="single" w:sz="4" w:space="0" w:color="99B0AB"/>
              <w:left w:val="single" w:sz="4" w:space="0" w:color="99B0AB"/>
              <w:bottom w:val="single" w:sz="4" w:space="0" w:color="99B0AB"/>
              <w:right w:val="single" w:sz="4" w:space="0" w:color="99B0AB"/>
            </w:tcBorders>
          </w:tcPr>
          <w:p w14:paraId="06E2D077" w14:textId="4B16D286" w:rsidR="000262F8" w:rsidRPr="00712977" w:rsidRDefault="000262F8" w:rsidP="00E1659F">
            <w:pPr>
              <w:ind w:left="142"/>
              <w:rPr>
                <w:rFonts w:eastAsiaTheme="minorEastAsia"/>
                <w:b/>
                <w:i/>
                <w:lang w:eastAsia="en-AU"/>
              </w:rPr>
            </w:pPr>
            <w:r w:rsidRPr="00712977">
              <w:rPr>
                <w:rFonts w:eastAsiaTheme="minorEastAsia"/>
                <w:b/>
                <w:i/>
                <w:lang w:eastAsia="en-AU"/>
              </w:rPr>
              <w:t>Amendments to Australian Accounting Standards</w:t>
            </w:r>
          </w:p>
          <w:p w14:paraId="466422BF" w14:textId="77777777" w:rsidR="000262F8" w:rsidRPr="000262F8" w:rsidRDefault="000262F8" w:rsidP="00E1659F">
            <w:pPr>
              <w:ind w:left="142"/>
              <w:rPr>
                <w:rFonts w:eastAsiaTheme="minorEastAsia"/>
                <w:lang w:eastAsia="en-AU"/>
              </w:rPr>
            </w:pPr>
            <w:r w:rsidRPr="000262F8">
              <w:rPr>
                <w:rFonts w:eastAsiaTheme="minorEastAsia"/>
                <w:lang w:eastAsia="en-AU"/>
              </w:rPr>
              <w:t>Part A of this Standard consists primarily of clarifications to Accounting Standards and has no financial impact for the Authority.</w:t>
            </w:r>
          </w:p>
          <w:p w14:paraId="0A95D81A" w14:textId="77777777" w:rsidR="000262F8" w:rsidRPr="000262F8" w:rsidRDefault="000262F8" w:rsidP="00E1659F">
            <w:pPr>
              <w:ind w:left="142"/>
              <w:rPr>
                <w:rFonts w:eastAsiaTheme="minorEastAsia"/>
                <w:i/>
                <w:iCs/>
                <w:spacing w:val="1"/>
                <w:lang w:eastAsia="en-AU"/>
              </w:rPr>
            </w:pPr>
          </w:p>
          <w:p w14:paraId="31900156" w14:textId="77777777" w:rsidR="000262F8" w:rsidRPr="000262F8" w:rsidRDefault="000262F8" w:rsidP="00E1659F">
            <w:pPr>
              <w:ind w:left="142"/>
              <w:rPr>
                <w:rFonts w:eastAsiaTheme="minorEastAsia"/>
                <w:i/>
                <w:iCs/>
                <w:spacing w:val="1"/>
                <w:lang w:eastAsia="en-AU"/>
              </w:rPr>
            </w:pPr>
            <w:r w:rsidRPr="000262F8">
              <w:rPr>
                <w:rFonts w:eastAsiaTheme="minorEastAsia"/>
                <w:i/>
                <w:iCs/>
                <w:spacing w:val="1"/>
                <w:lang w:eastAsia="en-AU"/>
              </w:rPr>
              <w:t>Part B of this Standard has no financial impact as the Authority contributes to schemes that are either defined contribution plans, or deemed to be defined contribution plans.</w:t>
            </w:r>
          </w:p>
          <w:p w14:paraId="7C901A4D" w14:textId="77777777" w:rsidR="000262F8" w:rsidRPr="000262F8" w:rsidRDefault="000262F8" w:rsidP="00E1659F">
            <w:pPr>
              <w:ind w:left="142"/>
              <w:rPr>
                <w:rFonts w:eastAsiaTheme="minorEastAsia"/>
                <w:i/>
                <w:iCs/>
                <w:spacing w:val="1"/>
                <w:lang w:eastAsia="en-AU"/>
              </w:rPr>
            </w:pPr>
          </w:p>
          <w:p w14:paraId="3F4E08EA" w14:textId="77777777" w:rsidR="000262F8" w:rsidRPr="000262F8" w:rsidRDefault="000262F8" w:rsidP="00E1659F">
            <w:pPr>
              <w:ind w:left="142"/>
              <w:rPr>
                <w:rFonts w:eastAsiaTheme="minorEastAsia"/>
                <w:i/>
                <w:iCs/>
                <w:spacing w:val="1"/>
                <w:lang w:eastAsia="en-AU"/>
              </w:rPr>
            </w:pPr>
            <w:r w:rsidRPr="000262F8">
              <w:rPr>
                <w:rFonts w:eastAsiaTheme="minorEastAsia"/>
                <w:i/>
                <w:iCs/>
                <w:spacing w:val="1"/>
                <w:lang w:eastAsia="en-AU"/>
              </w:rPr>
              <w:t>Part C of this Standard has no financial impact as it removes references to AASB 1031 Materiality from a number of Accounting Standards.</w:t>
            </w:r>
          </w:p>
        </w:tc>
      </w:tr>
    </w:tbl>
    <w:p w14:paraId="3E3AA04C" w14:textId="0004CB01" w:rsidR="00A16123" w:rsidRDefault="00A16123" w:rsidP="00AC1B30"/>
    <w:p w14:paraId="52EC9444" w14:textId="77777777" w:rsidR="00A16123" w:rsidRDefault="00A16123">
      <w:pPr>
        <w:keepLines w:val="0"/>
        <w:spacing w:after="0" w:line="240" w:lineRule="auto"/>
      </w:pPr>
      <w:r>
        <w:br w:type="page"/>
      </w:r>
    </w:p>
    <w:p w14:paraId="04AE645F" w14:textId="7D19285D" w:rsidR="00860E05" w:rsidRPr="00DA1E18" w:rsidRDefault="00860E05" w:rsidP="00860E05">
      <w:pPr>
        <w:rPr>
          <w:rStyle w:val="Strong"/>
        </w:rPr>
      </w:pPr>
      <w:r w:rsidRPr="00DA1E18">
        <w:rPr>
          <w:rStyle w:val="Strong"/>
        </w:rPr>
        <w:lastRenderedPageBreak/>
        <w:t>Future Impact of Australian Accounting Standards not yet operative</w:t>
      </w:r>
    </w:p>
    <w:p w14:paraId="314D49E8" w14:textId="15E39B5B" w:rsidR="00860E05" w:rsidRDefault="00860E05" w:rsidP="00860E05">
      <w:r w:rsidRPr="00860E05">
        <w:t>The Authority cannot early adopt an Australian Accounting Standard unless specifically permitted by TI 1101 Application of Australian Accounting Standards and Other Pronouncements or by an exemption from TI 1101. Where applicable, the Authority plans to apply the following Australian Accounting Standards from their application date.</w:t>
      </w:r>
    </w:p>
    <w:tbl>
      <w:tblPr>
        <w:tblW w:w="9502" w:type="dxa"/>
        <w:tblInd w:w="142" w:type="dxa"/>
        <w:tblLayout w:type="fixed"/>
        <w:tblCellMar>
          <w:left w:w="0" w:type="dxa"/>
          <w:right w:w="0" w:type="dxa"/>
        </w:tblCellMar>
        <w:tblLook w:val="0000" w:firstRow="0" w:lastRow="0" w:firstColumn="0" w:lastColumn="0" w:noHBand="0" w:noVBand="0"/>
      </w:tblPr>
      <w:tblGrid>
        <w:gridCol w:w="1729"/>
        <w:gridCol w:w="6214"/>
        <w:gridCol w:w="1559"/>
      </w:tblGrid>
      <w:tr w:rsidR="00A16123" w:rsidRPr="002B1695" w14:paraId="3A3FE2E9" w14:textId="77777777" w:rsidTr="00B2782F">
        <w:trPr>
          <w:trHeight w:hRule="exact" w:val="1739"/>
        </w:trPr>
        <w:tc>
          <w:tcPr>
            <w:tcW w:w="1729" w:type="dxa"/>
            <w:tcBorders>
              <w:bottom w:val="single" w:sz="4" w:space="0" w:color="99B0AB"/>
            </w:tcBorders>
            <w:shd w:val="clear" w:color="auto" w:fill="FFFFFF" w:themeFill="background1"/>
          </w:tcPr>
          <w:p w14:paraId="2106111F" w14:textId="77777777" w:rsidR="00A16123" w:rsidRPr="00A16123" w:rsidRDefault="00A16123" w:rsidP="00A16123">
            <w:pPr>
              <w:rPr>
                <w:b/>
              </w:rPr>
            </w:pPr>
            <w:r w:rsidRPr="00A16123">
              <w:rPr>
                <w:b/>
              </w:rPr>
              <w:t>Title</w:t>
            </w:r>
          </w:p>
        </w:tc>
        <w:tc>
          <w:tcPr>
            <w:tcW w:w="6214" w:type="dxa"/>
            <w:tcBorders>
              <w:bottom w:val="single" w:sz="4" w:space="0" w:color="99B0AB"/>
            </w:tcBorders>
            <w:shd w:val="clear" w:color="auto" w:fill="FFFFFF" w:themeFill="background1"/>
          </w:tcPr>
          <w:p w14:paraId="00CB849E" w14:textId="77777777" w:rsidR="00A16123" w:rsidRPr="00A16123" w:rsidRDefault="00A16123" w:rsidP="000C5C83">
            <w:pPr>
              <w:kinsoku w:val="0"/>
              <w:overflowPunct w:val="0"/>
              <w:spacing w:before="70"/>
              <w:ind w:left="113"/>
              <w:rPr>
                <w:rFonts w:ascii="Myriad Pro" w:hAnsi="Myriad Pro" w:cs="Myriad Pro"/>
                <w:b/>
                <w:bCs/>
                <w:i/>
                <w:iCs/>
                <w:color w:val="231F20"/>
                <w:spacing w:val="-1"/>
                <w:w w:val="95"/>
                <w:sz w:val="16"/>
                <w:szCs w:val="16"/>
              </w:rPr>
            </w:pPr>
          </w:p>
        </w:tc>
        <w:tc>
          <w:tcPr>
            <w:tcW w:w="1559" w:type="dxa"/>
            <w:tcBorders>
              <w:bottom w:val="single" w:sz="4" w:space="0" w:color="99B0AB"/>
            </w:tcBorders>
            <w:shd w:val="clear" w:color="auto" w:fill="FFFFFF" w:themeFill="background1"/>
          </w:tcPr>
          <w:p w14:paraId="1AAB5746" w14:textId="2C9C3B73" w:rsidR="00A16123" w:rsidRPr="00BC0F34" w:rsidRDefault="00A16123" w:rsidP="00A16123">
            <w:pPr>
              <w:rPr>
                <w:rFonts w:cs="Arial"/>
                <w:b/>
                <w:w w:val="85"/>
              </w:rPr>
            </w:pPr>
            <w:r w:rsidRPr="00BC0F34">
              <w:rPr>
                <w:rFonts w:cs="Arial"/>
                <w:b/>
                <w:w w:val="85"/>
              </w:rPr>
              <w:t>Operative for reporting periods beginning on/after</w:t>
            </w:r>
          </w:p>
        </w:tc>
      </w:tr>
      <w:tr w:rsidR="00A16123" w:rsidRPr="002B1695" w14:paraId="04FC4EEF" w14:textId="77777777" w:rsidTr="00B2782F">
        <w:trPr>
          <w:trHeight w:hRule="exact" w:val="3979"/>
        </w:trPr>
        <w:tc>
          <w:tcPr>
            <w:tcW w:w="1729" w:type="dxa"/>
            <w:tcBorders>
              <w:top w:val="single" w:sz="4" w:space="0" w:color="99B0AB"/>
              <w:left w:val="single" w:sz="4" w:space="0" w:color="99B0AB"/>
              <w:bottom w:val="single" w:sz="4" w:space="0" w:color="99B0AB"/>
              <w:right w:val="nil"/>
            </w:tcBorders>
            <w:shd w:val="clear" w:color="auto" w:fill="B6C6C2"/>
          </w:tcPr>
          <w:p w14:paraId="3FF0D8C0" w14:textId="77777777" w:rsidR="00A16123" w:rsidRPr="002B1695" w:rsidRDefault="00A16123" w:rsidP="00A16123">
            <w:r w:rsidRPr="002B1695">
              <w:t>AASB 9</w:t>
            </w:r>
          </w:p>
        </w:tc>
        <w:tc>
          <w:tcPr>
            <w:tcW w:w="6214" w:type="dxa"/>
            <w:tcBorders>
              <w:top w:val="single" w:sz="4" w:space="0" w:color="99B0AB"/>
              <w:left w:val="nil"/>
              <w:bottom w:val="single" w:sz="4" w:space="0" w:color="99B0AB"/>
              <w:right w:val="single" w:sz="4" w:space="0" w:color="99B0AB"/>
            </w:tcBorders>
          </w:tcPr>
          <w:p w14:paraId="15B826A7" w14:textId="77777777" w:rsidR="00A16123" w:rsidRPr="00594E69" w:rsidRDefault="00A16123" w:rsidP="00594E69">
            <w:pPr>
              <w:rPr>
                <w:rFonts w:cs="Arial"/>
                <w:b/>
                <w:i/>
                <w:color w:val="000000"/>
              </w:rPr>
            </w:pPr>
            <w:r w:rsidRPr="00594E69">
              <w:rPr>
                <w:rFonts w:cs="Arial"/>
                <w:b/>
                <w:i/>
                <w:spacing w:val="-1"/>
                <w:w w:val="95"/>
              </w:rPr>
              <w:t>F</w:t>
            </w:r>
            <w:r w:rsidRPr="00594E69">
              <w:rPr>
                <w:rFonts w:cs="Arial"/>
                <w:b/>
                <w:i/>
                <w:w w:val="95"/>
              </w:rPr>
              <w:t>inancial</w:t>
            </w:r>
            <w:r w:rsidRPr="00594E69">
              <w:rPr>
                <w:rFonts w:cs="Arial"/>
                <w:b/>
                <w:i/>
                <w:spacing w:val="27"/>
                <w:w w:val="95"/>
              </w:rPr>
              <w:t xml:space="preserve"> </w:t>
            </w:r>
            <w:r w:rsidRPr="00594E69">
              <w:rPr>
                <w:rFonts w:cs="Arial"/>
                <w:b/>
                <w:i/>
                <w:w w:val="95"/>
              </w:rPr>
              <w:t>Instruments</w:t>
            </w:r>
          </w:p>
          <w:p w14:paraId="6EBBB174" w14:textId="77777777" w:rsidR="00A16123" w:rsidRPr="00594E69" w:rsidRDefault="00A16123" w:rsidP="00594E69">
            <w:pPr>
              <w:rPr>
                <w:rFonts w:cs="Arial"/>
                <w:color w:val="000000"/>
              </w:rPr>
            </w:pPr>
            <w:r w:rsidRPr="00594E69">
              <w:rPr>
                <w:rFonts w:cs="Arial"/>
                <w:spacing w:val="3"/>
                <w:w w:val="85"/>
              </w:rPr>
              <w:t>T</w:t>
            </w:r>
            <w:r w:rsidRPr="00594E69">
              <w:rPr>
                <w:rFonts w:cs="Arial"/>
                <w:w w:val="85"/>
              </w:rPr>
              <w:t>h</w:t>
            </w:r>
            <w:r w:rsidRPr="00594E69">
              <w:rPr>
                <w:rFonts w:cs="Arial"/>
                <w:spacing w:val="-2"/>
                <w:w w:val="85"/>
              </w:rPr>
              <w:t>i</w:t>
            </w:r>
            <w:r w:rsidRPr="00594E69">
              <w:rPr>
                <w:rFonts w:cs="Arial"/>
                <w:w w:val="85"/>
              </w:rPr>
              <w:t>s</w:t>
            </w:r>
            <w:r w:rsidRPr="00594E69">
              <w:rPr>
                <w:rFonts w:cs="Arial"/>
                <w:spacing w:val="20"/>
                <w:w w:val="85"/>
              </w:rPr>
              <w:t xml:space="preserve"> </w:t>
            </w:r>
            <w:r w:rsidRPr="00594E69">
              <w:rPr>
                <w:rFonts w:cs="Arial"/>
                <w:spacing w:val="-2"/>
                <w:w w:val="85"/>
              </w:rPr>
              <w:t>S</w:t>
            </w:r>
            <w:r w:rsidRPr="00594E69">
              <w:rPr>
                <w:rFonts w:cs="Arial"/>
                <w:spacing w:val="1"/>
                <w:w w:val="85"/>
              </w:rPr>
              <w:t>t</w:t>
            </w:r>
            <w:r w:rsidRPr="00594E69">
              <w:rPr>
                <w:rFonts w:cs="Arial"/>
                <w:w w:val="85"/>
              </w:rPr>
              <w:t>anda</w:t>
            </w:r>
            <w:r w:rsidRPr="00594E69">
              <w:rPr>
                <w:rFonts w:cs="Arial"/>
                <w:spacing w:val="-2"/>
                <w:w w:val="85"/>
              </w:rPr>
              <w:t>r</w:t>
            </w:r>
            <w:r w:rsidRPr="00594E69">
              <w:rPr>
                <w:rFonts w:cs="Arial"/>
                <w:w w:val="85"/>
              </w:rPr>
              <w:t>d</w:t>
            </w:r>
            <w:r w:rsidRPr="00594E69">
              <w:rPr>
                <w:rFonts w:cs="Arial"/>
                <w:spacing w:val="20"/>
                <w:w w:val="85"/>
              </w:rPr>
              <w:t xml:space="preserve"> </w:t>
            </w:r>
            <w:r w:rsidRPr="00594E69">
              <w:rPr>
                <w:rFonts w:cs="Arial"/>
                <w:spacing w:val="-1"/>
                <w:w w:val="85"/>
              </w:rPr>
              <w:t>s</w:t>
            </w:r>
            <w:r w:rsidRPr="00594E69">
              <w:rPr>
                <w:rFonts w:cs="Arial"/>
                <w:w w:val="85"/>
              </w:rPr>
              <w:t>u</w:t>
            </w:r>
            <w:r w:rsidRPr="00594E69">
              <w:rPr>
                <w:rFonts w:cs="Arial"/>
                <w:spacing w:val="1"/>
                <w:w w:val="85"/>
              </w:rPr>
              <w:t>p</w:t>
            </w:r>
            <w:r w:rsidRPr="00594E69">
              <w:rPr>
                <w:rFonts w:cs="Arial"/>
                <w:w w:val="85"/>
              </w:rPr>
              <w:t>e</w:t>
            </w:r>
            <w:r w:rsidRPr="00594E69">
              <w:rPr>
                <w:rFonts w:cs="Arial"/>
                <w:spacing w:val="1"/>
                <w:w w:val="85"/>
              </w:rPr>
              <w:t>rse</w:t>
            </w:r>
            <w:r w:rsidRPr="00594E69">
              <w:rPr>
                <w:rFonts w:cs="Arial"/>
                <w:w w:val="85"/>
              </w:rPr>
              <w:t>des</w:t>
            </w:r>
            <w:r w:rsidRPr="00594E69">
              <w:rPr>
                <w:rFonts w:cs="Arial"/>
                <w:spacing w:val="21"/>
                <w:w w:val="85"/>
              </w:rPr>
              <w:t xml:space="preserve"> </w:t>
            </w:r>
            <w:r w:rsidRPr="00594E69">
              <w:rPr>
                <w:rFonts w:cs="Arial"/>
                <w:spacing w:val="2"/>
                <w:w w:val="85"/>
              </w:rPr>
              <w:t>A</w:t>
            </w:r>
            <w:r w:rsidRPr="00594E69">
              <w:rPr>
                <w:rFonts w:cs="Arial"/>
                <w:spacing w:val="1"/>
                <w:w w:val="85"/>
              </w:rPr>
              <w:t>A</w:t>
            </w:r>
            <w:r w:rsidRPr="00594E69">
              <w:rPr>
                <w:rFonts w:cs="Arial"/>
                <w:spacing w:val="-2"/>
                <w:w w:val="85"/>
              </w:rPr>
              <w:t>S</w:t>
            </w:r>
            <w:r w:rsidRPr="00594E69">
              <w:rPr>
                <w:rFonts w:cs="Arial"/>
                <w:w w:val="85"/>
              </w:rPr>
              <w:t>B</w:t>
            </w:r>
            <w:r w:rsidRPr="00594E69">
              <w:rPr>
                <w:rFonts w:cs="Arial"/>
                <w:spacing w:val="20"/>
                <w:w w:val="85"/>
              </w:rPr>
              <w:t xml:space="preserve"> </w:t>
            </w:r>
            <w:r w:rsidRPr="00594E69">
              <w:rPr>
                <w:rFonts w:cs="Arial"/>
                <w:spacing w:val="-11"/>
                <w:w w:val="85"/>
              </w:rPr>
              <w:t>1</w:t>
            </w:r>
            <w:r w:rsidRPr="00594E69">
              <w:rPr>
                <w:rFonts w:cs="Arial"/>
                <w:spacing w:val="-3"/>
                <w:w w:val="85"/>
              </w:rPr>
              <w:t>3</w:t>
            </w:r>
            <w:r w:rsidRPr="00594E69">
              <w:rPr>
                <w:rFonts w:cs="Arial"/>
                <w:w w:val="85"/>
              </w:rPr>
              <w:t>9</w:t>
            </w:r>
            <w:r w:rsidRPr="00594E69">
              <w:rPr>
                <w:rFonts w:cs="Arial"/>
                <w:spacing w:val="21"/>
                <w:w w:val="85"/>
              </w:rPr>
              <w:t xml:space="preserve"> </w:t>
            </w:r>
            <w:r w:rsidRPr="00594E69">
              <w:rPr>
                <w:rFonts w:cs="Arial"/>
                <w:spacing w:val="-1"/>
                <w:w w:val="85"/>
              </w:rPr>
              <w:t>F</w:t>
            </w:r>
            <w:r w:rsidRPr="00594E69">
              <w:rPr>
                <w:rFonts w:cs="Arial"/>
                <w:w w:val="85"/>
              </w:rPr>
              <w:t>inancial</w:t>
            </w:r>
            <w:r w:rsidRPr="00594E69">
              <w:rPr>
                <w:rFonts w:cs="Arial"/>
                <w:spacing w:val="20"/>
                <w:w w:val="85"/>
              </w:rPr>
              <w:t xml:space="preserve"> </w:t>
            </w:r>
            <w:r w:rsidRPr="00594E69">
              <w:rPr>
                <w:rFonts w:cs="Arial"/>
                <w:w w:val="85"/>
              </w:rPr>
              <w:t>I</w:t>
            </w:r>
            <w:r w:rsidRPr="00594E69">
              <w:rPr>
                <w:rFonts w:cs="Arial"/>
                <w:spacing w:val="-1"/>
                <w:w w:val="85"/>
              </w:rPr>
              <w:t>n</w:t>
            </w:r>
            <w:r w:rsidRPr="00594E69">
              <w:rPr>
                <w:rFonts w:cs="Arial"/>
                <w:spacing w:val="2"/>
                <w:w w:val="85"/>
              </w:rPr>
              <w:t>s</w:t>
            </w:r>
            <w:r w:rsidRPr="00594E69">
              <w:rPr>
                <w:rFonts w:cs="Arial"/>
                <w:spacing w:val="1"/>
                <w:w w:val="85"/>
              </w:rPr>
              <w:t>tr</w:t>
            </w:r>
            <w:r w:rsidRPr="00594E69">
              <w:rPr>
                <w:rFonts w:cs="Arial"/>
                <w:w w:val="85"/>
              </w:rPr>
              <w:t>ume</w:t>
            </w:r>
            <w:r w:rsidRPr="00594E69">
              <w:rPr>
                <w:rFonts w:cs="Arial"/>
                <w:spacing w:val="-1"/>
                <w:w w:val="85"/>
              </w:rPr>
              <w:t>n</w:t>
            </w:r>
            <w:r w:rsidRPr="00594E69">
              <w:rPr>
                <w:rFonts w:cs="Arial"/>
                <w:spacing w:val="2"/>
                <w:w w:val="85"/>
              </w:rPr>
              <w:t>t</w:t>
            </w:r>
            <w:r w:rsidRPr="00594E69">
              <w:rPr>
                <w:rFonts w:cs="Arial"/>
                <w:spacing w:val="-1"/>
                <w:w w:val="85"/>
              </w:rPr>
              <w:t>s</w:t>
            </w:r>
            <w:r w:rsidRPr="00594E69">
              <w:rPr>
                <w:rFonts w:cs="Arial"/>
                <w:w w:val="85"/>
              </w:rPr>
              <w:t>:</w:t>
            </w:r>
            <w:r w:rsidRPr="00594E69">
              <w:rPr>
                <w:rFonts w:cs="Arial"/>
                <w:spacing w:val="21"/>
                <w:w w:val="85"/>
              </w:rPr>
              <w:t xml:space="preserve"> </w:t>
            </w:r>
            <w:r w:rsidRPr="00594E69">
              <w:rPr>
                <w:rFonts w:cs="Arial"/>
                <w:spacing w:val="1"/>
                <w:w w:val="85"/>
              </w:rPr>
              <w:t>Re</w:t>
            </w:r>
            <w:r w:rsidRPr="00594E69">
              <w:rPr>
                <w:rFonts w:cs="Arial"/>
                <w:spacing w:val="-2"/>
                <w:w w:val="85"/>
              </w:rPr>
              <w:t>c</w:t>
            </w:r>
            <w:r w:rsidRPr="00594E69">
              <w:rPr>
                <w:rFonts w:cs="Arial"/>
                <w:spacing w:val="1"/>
                <w:w w:val="85"/>
              </w:rPr>
              <w:t>o</w:t>
            </w:r>
            <w:r w:rsidRPr="00594E69">
              <w:rPr>
                <w:rFonts w:cs="Arial"/>
                <w:w w:val="85"/>
              </w:rPr>
              <w:t>gn</w:t>
            </w:r>
            <w:r w:rsidRPr="00594E69">
              <w:rPr>
                <w:rFonts w:cs="Arial"/>
                <w:spacing w:val="1"/>
                <w:w w:val="85"/>
              </w:rPr>
              <w:t>i</w:t>
            </w:r>
            <w:r w:rsidRPr="00594E69">
              <w:rPr>
                <w:rFonts w:cs="Arial"/>
                <w:w w:val="85"/>
              </w:rPr>
              <w:t>tion</w:t>
            </w:r>
            <w:r w:rsidRPr="00594E69">
              <w:rPr>
                <w:rFonts w:cs="Arial"/>
                <w:spacing w:val="20"/>
                <w:w w:val="85"/>
              </w:rPr>
              <w:t xml:space="preserve"> </w:t>
            </w:r>
            <w:r w:rsidRPr="00594E69">
              <w:rPr>
                <w:rFonts w:cs="Arial"/>
                <w:w w:val="85"/>
              </w:rPr>
              <w:t>and</w:t>
            </w:r>
            <w:r w:rsidRPr="00594E69">
              <w:rPr>
                <w:rFonts w:cs="Arial"/>
                <w:spacing w:val="21"/>
                <w:w w:val="85"/>
              </w:rPr>
              <w:t xml:space="preserve"> </w:t>
            </w:r>
            <w:r w:rsidRPr="00594E69">
              <w:rPr>
                <w:rFonts w:cs="Arial"/>
                <w:spacing w:val="1"/>
                <w:w w:val="85"/>
              </w:rPr>
              <w:t>M</w:t>
            </w:r>
            <w:r w:rsidRPr="00594E69">
              <w:rPr>
                <w:rFonts w:cs="Arial"/>
                <w:spacing w:val="-1"/>
                <w:w w:val="85"/>
              </w:rPr>
              <w:t>e</w:t>
            </w:r>
            <w:r w:rsidRPr="00594E69">
              <w:rPr>
                <w:rFonts w:cs="Arial"/>
                <w:w w:val="85"/>
              </w:rPr>
              <w:t>a</w:t>
            </w:r>
            <w:r w:rsidRPr="00594E69">
              <w:rPr>
                <w:rFonts w:cs="Arial"/>
                <w:spacing w:val="-1"/>
                <w:w w:val="85"/>
              </w:rPr>
              <w:t>s</w:t>
            </w:r>
            <w:r w:rsidRPr="00594E69">
              <w:rPr>
                <w:rFonts w:cs="Arial"/>
                <w:w w:val="85"/>
              </w:rPr>
              <w:t>u</w:t>
            </w:r>
            <w:r w:rsidRPr="00594E69">
              <w:rPr>
                <w:rFonts w:cs="Arial"/>
                <w:spacing w:val="-2"/>
                <w:w w:val="85"/>
              </w:rPr>
              <w:t>r</w:t>
            </w:r>
            <w:r w:rsidRPr="00594E69">
              <w:rPr>
                <w:rFonts w:cs="Arial"/>
                <w:w w:val="85"/>
              </w:rPr>
              <w:t>eme</w:t>
            </w:r>
            <w:r w:rsidRPr="00594E69">
              <w:rPr>
                <w:rFonts w:cs="Arial"/>
                <w:spacing w:val="-1"/>
                <w:w w:val="85"/>
              </w:rPr>
              <w:t>n</w:t>
            </w:r>
            <w:r w:rsidRPr="00594E69">
              <w:rPr>
                <w:rFonts w:cs="Arial"/>
                <w:spacing w:val="1"/>
                <w:w w:val="85"/>
              </w:rPr>
              <w:t>t</w:t>
            </w:r>
            <w:r w:rsidRPr="00594E69">
              <w:rPr>
                <w:rFonts w:cs="Arial"/>
                <w:w w:val="85"/>
              </w:rPr>
              <w:t>,</w:t>
            </w:r>
            <w:r w:rsidRPr="00594E69">
              <w:rPr>
                <w:rFonts w:cs="Arial"/>
                <w:spacing w:val="20"/>
                <w:w w:val="85"/>
              </w:rPr>
              <w:t xml:space="preserve"> </w:t>
            </w:r>
            <w:r w:rsidRPr="00594E69">
              <w:rPr>
                <w:rFonts w:cs="Arial"/>
                <w:w w:val="85"/>
              </w:rPr>
              <w:t>i</w:t>
            </w:r>
            <w:r w:rsidRPr="00594E69">
              <w:rPr>
                <w:rFonts w:cs="Arial"/>
                <w:spacing w:val="-1"/>
                <w:w w:val="85"/>
              </w:rPr>
              <w:t>n</w:t>
            </w:r>
            <w:r w:rsidRPr="00594E69">
              <w:rPr>
                <w:rFonts w:cs="Arial"/>
                <w:spacing w:val="1"/>
                <w:w w:val="85"/>
              </w:rPr>
              <w:t>t</w:t>
            </w:r>
            <w:r w:rsidRPr="00594E69">
              <w:rPr>
                <w:rFonts w:cs="Arial"/>
                <w:spacing w:val="-2"/>
                <w:w w:val="85"/>
              </w:rPr>
              <w:t>r</w:t>
            </w:r>
            <w:r w:rsidRPr="00594E69">
              <w:rPr>
                <w:rFonts w:cs="Arial"/>
                <w:spacing w:val="1"/>
                <w:w w:val="85"/>
              </w:rPr>
              <w:t>o</w:t>
            </w:r>
            <w:r w:rsidRPr="00594E69">
              <w:rPr>
                <w:rFonts w:cs="Arial"/>
                <w:w w:val="85"/>
              </w:rPr>
              <w:t>ducing</w:t>
            </w:r>
            <w:r w:rsidRPr="00594E69">
              <w:rPr>
                <w:rFonts w:cs="Arial"/>
                <w:spacing w:val="21"/>
                <w:w w:val="85"/>
              </w:rPr>
              <w:t xml:space="preserve"> </w:t>
            </w:r>
            <w:r w:rsidRPr="00594E69">
              <w:rPr>
                <w:rFonts w:cs="Arial"/>
                <w:w w:val="85"/>
              </w:rPr>
              <w:t>a</w:t>
            </w:r>
            <w:r w:rsidRPr="00594E69">
              <w:rPr>
                <w:rFonts w:cs="Arial"/>
                <w:spacing w:val="20"/>
                <w:w w:val="85"/>
              </w:rPr>
              <w:t xml:space="preserve"> </w:t>
            </w:r>
            <w:r w:rsidRPr="00594E69">
              <w:rPr>
                <w:rFonts w:cs="Arial"/>
                <w:w w:val="85"/>
              </w:rPr>
              <w:t>num</w:t>
            </w:r>
            <w:r w:rsidRPr="00594E69">
              <w:rPr>
                <w:rFonts w:cs="Arial"/>
                <w:spacing w:val="1"/>
                <w:w w:val="85"/>
              </w:rPr>
              <w:t>b</w:t>
            </w:r>
            <w:r w:rsidRPr="00594E69">
              <w:rPr>
                <w:rFonts w:cs="Arial"/>
                <w:w w:val="85"/>
              </w:rPr>
              <w:t>er</w:t>
            </w:r>
            <w:r w:rsidRPr="00594E69">
              <w:rPr>
                <w:rFonts w:cs="Arial"/>
                <w:spacing w:val="21"/>
                <w:w w:val="85"/>
              </w:rPr>
              <w:t xml:space="preserve"> </w:t>
            </w:r>
            <w:r w:rsidRPr="00594E69">
              <w:rPr>
                <w:rFonts w:cs="Arial"/>
                <w:w w:val="85"/>
              </w:rPr>
              <w:t>of</w:t>
            </w:r>
            <w:r w:rsidRPr="00594E69">
              <w:rPr>
                <w:rFonts w:cs="Arial"/>
                <w:spacing w:val="20"/>
                <w:w w:val="85"/>
              </w:rPr>
              <w:t xml:space="preserve"> </w:t>
            </w:r>
            <w:r w:rsidRPr="00594E69">
              <w:rPr>
                <w:rFonts w:cs="Arial"/>
                <w:w w:val="85"/>
              </w:rPr>
              <w:t>changes</w:t>
            </w:r>
            <w:r w:rsidRPr="00594E69">
              <w:rPr>
                <w:rFonts w:cs="Arial"/>
                <w:spacing w:val="21"/>
                <w:w w:val="85"/>
              </w:rPr>
              <w:t xml:space="preserve"> </w:t>
            </w:r>
            <w:r w:rsidRPr="00594E69">
              <w:rPr>
                <w:rFonts w:cs="Arial"/>
                <w:spacing w:val="-2"/>
                <w:w w:val="85"/>
              </w:rPr>
              <w:t>t</w:t>
            </w:r>
            <w:r w:rsidRPr="00594E69">
              <w:rPr>
                <w:rFonts w:cs="Arial"/>
                <w:w w:val="85"/>
              </w:rPr>
              <w:t>o</w:t>
            </w:r>
            <w:r w:rsidRPr="00594E69">
              <w:rPr>
                <w:rFonts w:cs="Arial"/>
                <w:spacing w:val="20"/>
                <w:w w:val="85"/>
              </w:rPr>
              <w:t xml:space="preserve"> </w:t>
            </w:r>
            <w:r w:rsidRPr="00594E69">
              <w:rPr>
                <w:rFonts w:cs="Arial"/>
                <w:spacing w:val="1"/>
                <w:w w:val="85"/>
              </w:rPr>
              <w:t>a</w:t>
            </w:r>
            <w:r w:rsidRPr="00594E69">
              <w:rPr>
                <w:rFonts w:cs="Arial"/>
                <w:spacing w:val="-2"/>
                <w:w w:val="85"/>
              </w:rPr>
              <w:t>cc</w:t>
            </w:r>
            <w:r w:rsidRPr="00594E69">
              <w:rPr>
                <w:rFonts w:cs="Arial"/>
                <w:w w:val="85"/>
              </w:rPr>
              <w:t>ou</w:t>
            </w:r>
            <w:r w:rsidRPr="00594E69">
              <w:rPr>
                <w:rFonts w:cs="Arial"/>
                <w:spacing w:val="-1"/>
                <w:w w:val="85"/>
              </w:rPr>
              <w:t>n</w:t>
            </w:r>
            <w:r w:rsidRPr="00594E69">
              <w:rPr>
                <w:rFonts w:cs="Arial"/>
                <w:w w:val="85"/>
              </w:rPr>
              <w:t>ting</w:t>
            </w:r>
            <w:r w:rsidRPr="00594E69">
              <w:rPr>
                <w:rFonts w:cs="Arial"/>
                <w:spacing w:val="21"/>
                <w:w w:val="85"/>
              </w:rPr>
              <w:t xml:space="preserve"> </w:t>
            </w:r>
            <w:r w:rsidRPr="00594E69">
              <w:rPr>
                <w:rFonts w:cs="Arial"/>
                <w:spacing w:val="1"/>
                <w:w w:val="85"/>
              </w:rPr>
              <w:t>t</w:t>
            </w:r>
            <w:r w:rsidRPr="00594E69">
              <w:rPr>
                <w:rFonts w:cs="Arial"/>
                <w:spacing w:val="-2"/>
                <w:w w:val="85"/>
              </w:rPr>
              <w:t>r</w:t>
            </w:r>
            <w:r w:rsidRPr="00594E69">
              <w:rPr>
                <w:rFonts w:cs="Arial"/>
                <w:spacing w:val="-1"/>
                <w:w w:val="85"/>
              </w:rPr>
              <w:t>ea</w:t>
            </w:r>
            <w:r w:rsidRPr="00594E69">
              <w:rPr>
                <w:rFonts w:cs="Arial"/>
                <w:spacing w:val="1"/>
                <w:w w:val="85"/>
              </w:rPr>
              <w:t>t</w:t>
            </w:r>
            <w:r w:rsidRPr="00594E69">
              <w:rPr>
                <w:rFonts w:cs="Arial"/>
                <w:w w:val="85"/>
              </w:rPr>
              <w:t>me</w:t>
            </w:r>
            <w:r w:rsidRPr="00594E69">
              <w:rPr>
                <w:rFonts w:cs="Arial"/>
                <w:spacing w:val="-1"/>
                <w:w w:val="85"/>
              </w:rPr>
              <w:t>n</w:t>
            </w:r>
            <w:r w:rsidRPr="00594E69">
              <w:rPr>
                <w:rFonts w:cs="Arial"/>
                <w:spacing w:val="2"/>
                <w:w w:val="85"/>
              </w:rPr>
              <w:t>ts</w:t>
            </w:r>
            <w:r w:rsidRPr="00594E69">
              <w:rPr>
                <w:rFonts w:cs="Arial"/>
                <w:w w:val="85"/>
              </w:rPr>
              <w:t>.</w:t>
            </w:r>
          </w:p>
          <w:p w14:paraId="3193A24E" w14:textId="77777777" w:rsidR="00A16123" w:rsidRPr="00594E69" w:rsidRDefault="00A16123" w:rsidP="00594E69">
            <w:pPr>
              <w:rPr>
                <w:rFonts w:cs="Arial"/>
                <w:color w:val="000000"/>
              </w:rPr>
            </w:pPr>
            <w:r w:rsidRPr="00594E69">
              <w:rPr>
                <w:rFonts w:cs="Arial"/>
                <w:spacing w:val="3"/>
                <w:w w:val="85"/>
              </w:rPr>
              <w:t>T</w:t>
            </w:r>
            <w:r w:rsidRPr="00594E69">
              <w:rPr>
                <w:rFonts w:cs="Arial"/>
                <w:w w:val="85"/>
              </w:rPr>
              <w:t>he</w:t>
            </w:r>
            <w:r w:rsidRPr="00594E69">
              <w:rPr>
                <w:rFonts w:cs="Arial"/>
                <w:spacing w:val="15"/>
                <w:w w:val="85"/>
              </w:rPr>
              <w:t xml:space="preserve"> </w:t>
            </w:r>
            <w:r w:rsidRPr="00594E69">
              <w:rPr>
                <w:rFonts w:cs="Arial"/>
                <w:w w:val="85"/>
              </w:rPr>
              <w:t>mand</w:t>
            </w:r>
            <w:r w:rsidRPr="00594E69">
              <w:rPr>
                <w:rFonts w:cs="Arial"/>
                <w:spacing w:val="-1"/>
                <w:w w:val="85"/>
              </w:rPr>
              <w:t>a</w:t>
            </w:r>
            <w:r w:rsidRPr="00594E69">
              <w:rPr>
                <w:rFonts w:cs="Arial"/>
                <w:spacing w:val="-2"/>
                <w:w w:val="85"/>
              </w:rPr>
              <w:t>t</w:t>
            </w:r>
            <w:r w:rsidRPr="00594E69">
              <w:rPr>
                <w:rFonts w:cs="Arial"/>
                <w:w w:val="85"/>
              </w:rPr>
              <w:t>o</w:t>
            </w:r>
            <w:r w:rsidRPr="00594E69">
              <w:rPr>
                <w:rFonts w:cs="Arial"/>
                <w:spacing w:val="6"/>
                <w:w w:val="85"/>
              </w:rPr>
              <w:t>r</w:t>
            </w:r>
            <w:r w:rsidRPr="00594E69">
              <w:rPr>
                <w:rFonts w:cs="Arial"/>
                <w:w w:val="85"/>
              </w:rPr>
              <w:t>y</w:t>
            </w:r>
            <w:r w:rsidRPr="00594E69">
              <w:rPr>
                <w:rFonts w:cs="Arial"/>
                <w:spacing w:val="16"/>
                <w:w w:val="85"/>
              </w:rPr>
              <w:t xml:space="preserve"> </w:t>
            </w:r>
            <w:r w:rsidRPr="00594E69">
              <w:rPr>
                <w:rFonts w:cs="Arial"/>
                <w:w w:val="85"/>
              </w:rPr>
              <w:t>applic</w:t>
            </w:r>
            <w:r w:rsidRPr="00594E69">
              <w:rPr>
                <w:rFonts w:cs="Arial"/>
                <w:spacing w:val="-1"/>
                <w:w w:val="85"/>
              </w:rPr>
              <w:t>a</w:t>
            </w:r>
            <w:r w:rsidRPr="00594E69">
              <w:rPr>
                <w:rFonts w:cs="Arial"/>
                <w:w w:val="85"/>
              </w:rPr>
              <w:t>tion</w:t>
            </w:r>
            <w:r w:rsidRPr="00594E69">
              <w:rPr>
                <w:rFonts w:cs="Arial"/>
                <w:spacing w:val="15"/>
                <w:w w:val="85"/>
              </w:rPr>
              <w:t xml:space="preserve"> </w:t>
            </w:r>
            <w:r w:rsidRPr="00594E69">
              <w:rPr>
                <w:rFonts w:cs="Arial"/>
                <w:w w:val="85"/>
              </w:rPr>
              <w:t>d</w:t>
            </w:r>
            <w:r w:rsidRPr="00594E69">
              <w:rPr>
                <w:rFonts w:cs="Arial"/>
                <w:spacing w:val="-1"/>
                <w:w w:val="85"/>
              </w:rPr>
              <w:t>a</w:t>
            </w:r>
            <w:r w:rsidRPr="00594E69">
              <w:rPr>
                <w:rFonts w:cs="Arial"/>
                <w:spacing w:val="-2"/>
                <w:w w:val="85"/>
              </w:rPr>
              <w:t>t</w:t>
            </w:r>
            <w:r w:rsidRPr="00594E69">
              <w:rPr>
                <w:rFonts w:cs="Arial"/>
                <w:w w:val="85"/>
              </w:rPr>
              <w:t>e</w:t>
            </w:r>
            <w:r w:rsidRPr="00594E69">
              <w:rPr>
                <w:rFonts w:cs="Arial"/>
                <w:spacing w:val="16"/>
                <w:w w:val="85"/>
              </w:rPr>
              <w:t xml:space="preserve"> </w:t>
            </w:r>
            <w:r w:rsidRPr="00594E69">
              <w:rPr>
                <w:rFonts w:cs="Arial"/>
                <w:w w:val="85"/>
              </w:rPr>
              <w:t>of</w:t>
            </w:r>
            <w:r w:rsidRPr="00594E69">
              <w:rPr>
                <w:rFonts w:cs="Arial"/>
                <w:spacing w:val="16"/>
                <w:w w:val="85"/>
              </w:rPr>
              <w:t xml:space="preserve"> </w:t>
            </w:r>
            <w:r w:rsidRPr="00594E69">
              <w:rPr>
                <w:rFonts w:cs="Arial"/>
                <w:w w:val="85"/>
              </w:rPr>
              <w:t>th</w:t>
            </w:r>
            <w:r w:rsidRPr="00594E69">
              <w:rPr>
                <w:rFonts w:cs="Arial"/>
                <w:spacing w:val="-2"/>
                <w:w w:val="85"/>
              </w:rPr>
              <w:t>i</w:t>
            </w:r>
            <w:r w:rsidRPr="00594E69">
              <w:rPr>
                <w:rFonts w:cs="Arial"/>
                <w:w w:val="85"/>
              </w:rPr>
              <w:t>s</w:t>
            </w:r>
            <w:r w:rsidRPr="00594E69">
              <w:rPr>
                <w:rFonts w:cs="Arial"/>
                <w:spacing w:val="15"/>
                <w:w w:val="85"/>
              </w:rPr>
              <w:t xml:space="preserve"> </w:t>
            </w:r>
            <w:r w:rsidRPr="00594E69">
              <w:rPr>
                <w:rFonts w:cs="Arial"/>
                <w:spacing w:val="-2"/>
                <w:w w:val="85"/>
              </w:rPr>
              <w:t>S</w:t>
            </w:r>
            <w:r w:rsidRPr="00594E69">
              <w:rPr>
                <w:rFonts w:cs="Arial"/>
                <w:spacing w:val="1"/>
                <w:w w:val="85"/>
              </w:rPr>
              <w:t>t</w:t>
            </w:r>
            <w:r w:rsidRPr="00594E69">
              <w:rPr>
                <w:rFonts w:cs="Arial"/>
                <w:w w:val="85"/>
              </w:rPr>
              <w:t>anda</w:t>
            </w:r>
            <w:r w:rsidRPr="00594E69">
              <w:rPr>
                <w:rFonts w:cs="Arial"/>
                <w:spacing w:val="-2"/>
                <w:w w:val="85"/>
              </w:rPr>
              <w:t>r</w:t>
            </w:r>
            <w:r w:rsidRPr="00594E69">
              <w:rPr>
                <w:rFonts w:cs="Arial"/>
                <w:w w:val="85"/>
              </w:rPr>
              <w:t>d</w:t>
            </w:r>
            <w:r w:rsidRPr="00594E69">
              <w:rPr>
                <w:rFonts w:cs="Arial"/>
                <w:spacing w:val="16"/>
                <w:w w:val="85"/>
              </w:rPr>
              <w:t xml:space="preserve"> </w:t>
            </w:r>
            <w:r w:rsidRPr="00594E69">
              <w:rPr>
                <w:rFonts w:cs="Arial"/>
                <w:spacing w:val="-2"/>
                <w:w w:val="85"/>
              </w:rPr>
              <w:t>i</w:t>
            </w:r>
            <w:r w:rsidRPr="00594E69">
              <w:rPr>
                <w:rFonts w:cs="Arial"/>
                <w:w w:val="85"/>
              </w:rPr>
              <w:t>s</w:t>
            </w:r>
            <w:r w:rsidRPr="00594E69">
              <w:rPr>
                <w:rFonts w:cs="Arial"/>
                <w:spacing w:val="15"/>
                <w:w w:val="85"/>
              </w:rPr>
              <w:t xml:space="preserve"> </w:t>
            </w:r>
            <w:r w:rsidRPr="00594E69">
              <w:rPr>
                <w:rFonts w:cs="Arial"/>
                <w:w w:val="85"/>
              </w:rPr>
              <w:t>cu</w:t>
            </w:r>
            <w:r w:rsidRPr="00594E69">
              <w:rPr>
                <w:rFonts w:cs="Arial"/>
                <w:spacing w:val="1"/>
                <w:w w:val="85"/>
              </w:rPr>
              <w:t>r</w:t>
            </w:r>
            <w:r w:rsidRPr="00594E69">
              <w:rPr>
                <w:rFonts w:cs="Arial"/>
                <w:spacing w:val="-2"/>
                <w:w w:val="85"/>
              </w:rPr>
              <w:t>r</w:t>
            </w:r>
            <w:r w:rsidRPr="00594E69">
              <w:rPr>
                <w:rFonts w:cs="Arial"/>
                <w:w w:val="85"/>
              </w:rPr>
              <w:t>e</w:t>
            </w:r>
            <w:r w:rsidRPr="00594E69">
              <w:rPr>
                <w:rFonts w:cs="Arial"/>
                <w:spacing w:val="-1"/>
                <w:w w:val="85"/>
              </w:rPr>
              <w:t>n</w:t>
            </w:r>
            <w:r w:rsidRPr="00594E69">
              <w:rPr>
                <w:rFonts w:cs="Arial"/>
                <w:w w:val="85"/>
              </w:rPr>
              <w:t>t</w:t>
            </w:r>
            <w:r w:rsidRPr="00594E69">
              <w:rPr>
                <w:rFonts w:cs="Arial"/>
                <w:spacing w:val="1"/>
                <w:w w:val="85"/>
              </w:rPr>
              <w:t>l</w:t>
            </w:r>
            <w:r w:rsidRPr="00594E69">
              <w:rPr>
                <w:rFonts w:cs="Arial"/>
                <w:w w:val="85"/>
              </w:rPr>
              <w:t>y</w:t>
            </w:r>
            <w:r w:rsidRPr="00594E69">
              <w:rPr>
                <w:rFonts w:cs="Arial"/>
                <w:spacing w:val="16"/>
                <w:w w:val="85"/>
              </w:rPr>
              <w:t xml:space="preserve"> </w:t>
            </w:r>
            <w:r w:rsidRPr="00594E69">
              <w:rPr>
                <w:rFonts w:cs="Arial"/>
                <w:w w:val="85"/>
              </w:rPr>
              <w:t>1</w:t>
            </w:r>
            <w:r w:rsidRPr="00594E69">
              <w:rPr>
                <w:rFonts w:cs="Arial"/>
                <w:spacing w:val="16"/>
                <w:w w:val="85"/>
              </w:rPr>
              <w:t xml:space="preserve"> </w:t>
            </w:r>
            <w:r w:rsidRPr="00594E69">
              <w:rPr>
                <w:rFonts w:cs="Arial"/>
                <w:w w:val="85"/>
              </w:rPr>
              <w:t>Janua</w:t>
            </w:r>
            <w:r w:rsidRPr="00594E69">
              <w:rPr>
                <w:rFonts w:cs="Arial"/>
                <w:spacing w:val="6"/>
                <w:w w:val="85"/>
              </w:rPr>
              <w:t>r</w:t>
            </w:r>
            <w:r w:rsidRPr="00594E69">
              <w:rPr>
                <w:rFonts w:cs="Arial"/>
                <w:w w:val="85"/>
              </w:rPr>
              <w:t>y</w:t>
            </w:r>
            <w:r w:rsidRPr="00594E69">
              <w:rPr>
                <w:rFonts w:cs="Arial"/>
                <w:spacing w:val="15"/>
                <w:w w:val="85"/>
              </w:rPr>
              <w:t xml:space="preserve"> </w:t>
            </w:r>
            <w:r w:rsidRPr="00594E69">
              <w:rPr>
                <w:rFonts w:cs="Arial"/>
                <w:spacing w:val="-2"/>
                <w:w w:val="85"/>
              </w:rPr>
              <w:t>2</w:t>
            </w:r>
            <w:r w:rsidRPr="00594E69">
              <w:rPr>
                <w:rFonts w:cs="Arial"/>
                <w:spacing w:val="-7"/>
                <w:w w:val="85"/>
              </w:rPr>
              <w:t>0</w:t>
            </w:r>
            <w:r w:rsidRPr="00594E69">
              <w:rPr>
                <w:rFonts w:cs="Arial"/>
                <w:spacing w:val="-8"/>
                <w:w w:val="85"/>
              </w:rPr>
              <w:t>1</w:t>
            </w:r>
            <w:r w:rsidRPr="00594E69">
              <w:rPr>
                <w:rFonts w:cs="Arial"/>
                <w:w w:val="85"/>
              </w:rPr>
              <w:t>8</w:t>
            </w:r>
            <w:r w:rsidRPr="00594E69">
              <w:rPr>
                <w:rFonts w:cs="Arial"/>
                <w:spacing w:val="16"/>
                <w:w w:val="85"/>
              </w:rPr>
              <w:t xml:space="preserve"> </w:t>
            </w:r>
            <w:r w:rsidRPr="00594E69">
              <w:rPr>
                <w:rFonts w:cs="Arial"/>
                <w:w w:val="85"/>
              </w:rPr>
              <w:t>a</w:t>
            </w:r>
            <w:r w:rsidRPr="00594E69">
              <w:rPr>
                <w:rFonts w:cs="Arial"/>
                <w:spacing w:val="6"/>
                <w:w w:val="85"/>
              </w:rPr>
              <w:t>f</w:t>
            </w:r>
            <w:r w:rsidRPr="00594E69">
              <w:rPr>
                <w:rFonts w:cs="Arial"/>
                <w:spacing w:val="-2"/>
                <w:w w:val="85"/>
              </w:rPr>
              <w:t>t</w:t>
            </w:r>
            <w:r w:rsidRPr="00594E69">
              <w:rPr>
                <w:rFonts w:cs="Arial"/>
                <w:w w:val="85"/>
              </w:rPr>
              <w:t>er</w:t>
            </w:r>
            <w:r w:rsidRPr="00594E69">
              <w:rPr>
                <w:rFonts w:cs="Arial"/>
                <w:spacing w:val="15"/>
                <w:w w:val="85"/>
              </w:rPr>
              <w:t xml:space="preserve"> </w:t>
            </w:r>
            <w:r w:rsidRPr="00594E69">
              <w:rPr>
                <w:rFonts w:cs="Arial"/>
                <w:spacing w:val="1"/>
                <w:w w:val="85"/>
              </w:rPr>
              <w:t>b</w:t>
            </w:r>
            <w:r w:rsidRPr="00594E69">
              <w:rPr>
                <w:rFonts w:cs="Arial"/>
                <w:w w:val="85"/>
              </w:rPr>
              <w:t>eing</w:t>
            </w:r>
            <w:r w:rsidRPr="00594E69">
              <w:rPr>
                <w:rFonts w:cs="Arial"/>
                <w:spacing w:val="16"/>
                <w:w w:val="85"/>
              </w:rPr>
              <w:t xml:space="preserve"> </w:t>
            </w:r>
            <w:r w:rsidRPr="00594E69">
              <w:rPr>
                <w:rFonts w:cs="Arial"/>
                <w:w w:val="85"/>
              </w:rPr>
              <w:t>amend</w:t>
            </w:r>
            <w:r w:rsidRPr="00594E69">
              <w:rPr>
                <w:rFonts w:cs="Arial"/>
                <w:spacing w:val="1"/>
                <w:w w:val="85"/>
              </w:rPr>
              <w:t>e</w:t>
            </w:r>
            <w:r w:rsidRPr="00594E69">
              <w:rPr>
                <w:rFonts w:cs="Arial"/>
                <w:w w:val="85"/>
              </w:rPr>
              <w:t>d</w:t>
            </w:r>
            <w:r w:rsidRPr="00594E69">
              <w:rPr>
                <w:rFonts w:cs="Arial"/>
                <w:spacing w:val="16"/>
                <w:w w:val="85"/>
              </w:rPr>
              <w:t xml:space="preserve"> </w:t>
            </w:r>
            <w:r w:rsidRPr="00594E69">
              <w:rPr>
                <w:rFonts w:cs="Arial"/>
                <w:w w:val="85"/>
              </w:rPr>
              <w:t>by</w:t>
            </w:r>
            <w:r w:rsidRPr="00594E69">
              <w:rPr>
                <w:rFonts w:cs="Arial"/>
                <w:spacing w:val="15"/>
                <w:w w:val="85"/>
              </w:rPr>
              <w:t xml:space="preserve"> </w:t>
            </w:r>
            <w:r w:rsidRPr="00594E69">
              <w:rPr>
                <w:rFonts w:cs="Arial"/>
                <w:spacing w:val="2"/>
                <w:w w:val="85"/>
              </w:rPr>
              <w:t>A</w:t>
            </w:r>
            <w:r w:rsidRPr="00594E69">
              <w:rPr>
                <w:rFonts w:cs="Arial"/>
                <w:spacing w:val="1"/>
                <w:w w:val="85"/>
              </w:rPr>
              <w:t>A</w:t>
            </w:r>
            <w:r w:rsidRPr="00594E69">
              <w:rPr>
                <w:rFonts w:cs="Arial"/>
                <w:spacing w:val="-2"/>
                <w:w w:val="85"/>
              </w:rPr>
              <w:t>S</w:t>
            </w:r>
            <w:r w:rsidRPr="00594E69">
              <w:rPr>
                <w:rFonts w:cs="Arial"/>
                <w:w w:val="85"/>
              </w:rPr>
              <w:t>B</w:t>
            </w:r>
            <w:r w:rsidRPr="00594E69">
              <w:rPr>
                <w:rFonts w:cs="Arial"/>
                <w:spacing w:val="16"/>
                <w:w w:val="85"/>
              </w:rPr>
              <w:t xml:space="preserve"> </w:t>
            </w:r>
            <w:r w:rsidRPr="00594E69">
              <w:rPr>
                <w:rFonts w:cs="Arial"/>
                <w:spacing w:val="-2"/>
                <w:w w:val="85"/>
              </w:rPr>
              <w:t>2</w:t>
            </w:r>
            <w:r w:rsidRPr="00594E69">
              <w:rPr>
                <w:rFonts w:cs="Arial"/>
                <w:spacing w:val="-7"/>
                <w:w w:val="85"/>
              </w:rPr>
              <w:t>0</w:t>
            </w:r>
            <w:r w:rsidRPr="00594E69">
              <w:rPr>
                <w:rFonts w:cs="Arial"/>
                <w:spacing w:val="-11"/>
                <w:w w:val="85"/>
              </w:rPr>
              <w:t>1</w:t>
            </w:r>
            <w:r w:rsidRPr="00594E69">
              <w:rPr>
                <w:rFonts w:cs="Arial"/>
                <w:spacing w:val="-2"/>
                <w:w w:val="85"/>
              </w:rPr>
              <w:t>2</w:t>
            </w:r>
            <w:r w:rsidRPr="00594E69">
              <w:rPr>
                <w:rFonts w:cs="Arial"/>
                <w:spacing w:val="4"/>
                <w:w w:val="85"/>
              </w:rPr>
              <w:t>-</w:t>
            </w:r>
            <w:r w:rsidRPr="00594E69">
              <w:rPr>
                <w:rFonts w:cs="Arial"/>
                <w:w w:val="85"/>
              </w:rPr>
              <w:t>6,</w:t>
            </w:r>
            <w:r w:rsidRPr="00594E69">
              <w:rPr>
                <w:rFonts w:cs="Arial"/>
                <w:spacing w:val="16"/>
                <w:w w:val="85"/>
              </w:rPr>
              <w:t xml:space="preserve"> </w:t>
            </w:r>
            <w:r w:rsidRPr="00594E69">
              <w:rPr>
                <w:rFonts w:cs="Arial"/>
                <w:spacing w:val="2"/>
                <w:w w:val="85"/>
              </w:rPr>
              <w:t>A</w:t>
            </w:r>
            <w:r w:rsidRPr="00594E69">
              <w:rPr>
                <w:rFonts w:cs="Arial"/>
                <w:spacing w:val="1"/>
                <w:w w:val="85"/>
              </w:rPr>
              <w:t>A</w:t>
            </w:r>
            <w:r w:rsidRPr="00594E69">
              <w:rPr>
                <w:rFonts w:cs="Arial"/>
                <w:spacing w:val="-2"/>
                <w:w w:val="85"/>
              </w:rPr>
              <w:t>S</w:t>
            </w:r>
            <w:r w:rsidRPr="00594E69">
              <w:rPr>
                <w:rFonts w:cs="Arial"/>
                <w:w w:val="85"/>
              </w:rPr>
              <w:t>B</w:t>
            </w:r>
            <w:r w:rsidRPr="00594E69">
              <w:rPr>
                <w:rFonts w:cs="Arial"/>
                <w:spacing w:val="15"/>
                <w:w w:val="85"/>
              </w:rPr>
              <w:t xml:space="preserve"> </w:t>
            </w:r>
            <w:r w:rsidRPr="00594E69">
              <w:rPr>
                <w:rFonts w:cs="Arial"/>
                <w:spacing w:val="-2"/>
                <w:w w:val="85"/>
              </w:rPr>
              <w:t>2</w:t>
            </w:r>
            <w:r w:rsidRPr="00594E69">
              <w:rPr>
                <w:rFonts w:cs="Arial"/>
                <w:spacing w:val="-7"/>
                <w:w w:val="85"/>
              </w:rPr>
              <w:t>0</w:t>
            </w:r>
            <w:r w:rsidRPr="00594E69">
              <w:rPr>
                <w:rFonts w:cs="Arial"/>
                <w:spacing w:val="-11"/>
                <w:w w:val="85"/>
              </w:rPr>
              <w:t>1</w:t>
            </w:r>
            <w:r w:rsidRPr="00594E69">
              <w:rPr>
                <w:rFonts w:cs="Arial"/>
                <w:w w:val="85"/>
              </w:rPr>
              <w:t>3-</w:t>
            </w:r>
            <w:r w:rsidRPr="00594E69">
              <w:rPr>
                <w:rFonts w:cs="Arial"/>
                <w:spacing w:val="-5"/>
                <w:w w:val="85"/>
              </w:rPr>
              <w:t>9</w:t>
            </w:r>
            <w:r w:rsidRPr="00594E69">
              <w:rPr>
                <w:rFonts w:cs="Arial"/>
                <w:w w:val="85"/>
              </w:rPr>
              <w:t>,</w:t>
            </w:r>
            <w:r w:rsidRPr="00594E69">
              <w:rPr>
                <w:rFonts w:cs="Arial"/>
                <w:spacing w:val="16"/>
                <w:w w:val="85"/>
              </w:rPr>
              <w:t xml:space="preserve"> </w:t>
            </w:r>
            <w:r w:rsidRPr="00594E69">
              <w:rPr>
                <w:rFonts w:cs="Arial"/>
                <w:w w:val="85"/>
              </w:rPr>
              <w:t>and</w:t>
            </w:r>
            <w:r w:rsidRPr="00594E69">
              <w:rPr>
                <w:rFonts w:cs="Arial"/>
                <w:spacing w:val="15"/>
                <w:w w:val="85"/>
              </w:rPr>
              <w:t xml:space="preserve"> </w:t>
            </w:r>
            <w:r w:rsidRPr="00594E69">
              <w:rPr>
                <w:rFonts w:cs="Arial"/>
                <w:spacing w:val="2"/>
                <w:w w:val="85"/>
              </w:rPr>
              <w:t>A</w:t>
            </w:r>
            <w:r w:rsidRPr="00594E69">
              <w:rPr>
                <w:rFonts w:cs="Arial"/>
                <w:spacing w:val="1"/>
                <w:w w:val="85"/>
              </w:rPr>
              <w:t>A</w:t>
            </w:r>
            <w:r w:rsidRPr="00594E69">
              <w:rPr>
                <w:rFonts w:cs="Arial"/>
                <w:spacing w:val="-2"/>
                <w:w w:val="85"/>
              </w:rPr>
              <w:t>S</w:t>
            </w:r>
            <w:r w:rsidRPr="00594E69">
              <w:rPr>
                <w:rFonts w:cs="Arial"/>
                <w:w w:val="85"/>
              </w:rPr>
              <w:t>B</w:t>
            </w:r>
            <w:r w:rsidRPr="00594E69">
              <w:rPr>
                <w:rFonts w:cs="Arial"/>
                <w:spacing w:val="16"/>
                <w:w w:val="85"/>
              </w:rPr>
              <w:t xml:space="preserve"> </w:t>
            </w:r>
            <w:r w:rsidRPr="00594E69">
              <w:rPr>
                <w:rFonts w:cs="Arial"/>
                <w:spacing w:val="-2"/>
                <w:w w:val="85"/>
              </w:rPr>
              <w:t>2</w:t>
            </w:r>
            <w:r w:rsidRPr="00594E69">
              <w:rPr>
                <w:rFonts w:cs="Arial"/>
                <w:spacing w:val="-7"/>
                <w:w w:val="85"/>
              </w:rPr>
              <w:t>0</w:t>
            </w:r>
            <w:r w:rsidRPr="00594E69">
              <w:rPr>
                <w:rFonts w:cs="Arial"/>
                <w:spacing w:val="-8"/>
                <w:w w:val="85"/>
              </w:rPr>
              <w:t>1</w:t>
            </w:r>
            <w:r w:rsidRPr="00594E69">
              <w:rPr>
                <w:rFonts w:cs="Arial"/>
                <w:spacing w:val="2"/>
                <w:w w:val="85"/>
              </w:rPr>
              <w:t>4</w:t>
            </w:r>
            <w:r w:rsidRPr="00594E69">
              <w:rPr>
                <w:rFonts w:cs="Arial"/>
                <w:spacing w:val="-9"/>
                <w:w w:val="85"/>
              </w:rPr>
              <w:t>-</w:t>
            </w:r>
            <w:r w:rsidRPr="00594E69">
              <w:rPr>
                <w:rFonts w:cs="Arial"/>
                <w:w w:val="85"/>
              </w:rPr>
              <w:t>1</w:t>
            </w:r>
            <w:r w:rsidRPr="00594E69">
              <w:rPr>
                <w:rFonts w:cs="Arial"/>
                <w:spacing w:val="16"/>
                <w:w w:val="85"/>
              </w:rPr>
              <w:t xml:space="preserve"> </w:t>
            </w:r>
            <w:r w:rsidRPr="00594E69">
              <w:rPr>
                <w:rFonts w:cs="Arial"/>
                <w:w w:val="85"/>
              </w:rPr>
              <w:t>Amendme</w:t>
            </w:r>
            <w:r w:rsidRPr="00594E69">
              <w:rPr>
                <w:rFonts w:cs="Arial"/>
                <w:spacing w:val="-1"/>
                <w:w w:val="85"/>
              </w:rPr>
              <w:t>n</w:t>
            </w:r>
            <w:r w:rsidRPr="00594E69">
              <w:rPr>
                <w:rFonts w:cs="Arial"/>
                <w:spacing w:val="2"/>
                <w:w w:val="85"/>
              </w:rPr>
              <w:t>t</w:t>
            </w:r>
            <w:r w:rsidRPr="00594E69">
              <w:rPr>
                <w:rFonts w:cs="Arial"/>
                <w:w w:val="85"/>
              </w:rPr>
              <w:t>s</w:t>
            </w:r>
            <w:r w:rsidRPr="00594E69">
              <w:rPr>
                <w:rFonts w:cs="Arial"/>
                <w:spacing w:val="15"/>
                <w:w w:val="85"/>
              </w:rPr>
              <w:t xml:space="preserve"> </w:t>
            </w:r>
            <w:r w:rsidRPr="00594E69">
              <w:rPr>
                <w:rFonts w:cs="Arial"/>
                <w:spacing w:val="-2"/>
                <w:w w:val="85"/>
              </w:rPr>
              <w:t>t</w:t>
            </w:r>
            <w:r w:rsidRPr="00594E69">
              <w:rPr>
                <w:rFonts w:cs="Arial"/>
                <w:w w:val="85"/>
              </w:rPr>
              <w:t>o</w:t>
            </w:r>
            <w:r w:rsidRPr="00594E69">
              <w:rPr>
                <w:rFonts w:cs="Arial"/>
                <w:spacing w:val="16"/>
                <w:w w:val="85"/>
              </w:rPr>
              <w:t xml:space="preserve"> </w:t>
            </w:r>
            <w:r w:rsidRPr="00594E69">
              <w:rPr>
                <w:rFonts w:cs="Arial"/>
                <w:spacing w:val="-2"/>
                <w:w w:val="85"/>
              </w:rPr>
              <w:t>A</w:t>
            </w:r>
            <w:r w:rsidRPr="00594E69">
              <w:rPr>
                <w:rFonts w:cs="Arial"/>
                <w:spacing w:val="-1"/>
                <w:w w:val="85"/>
              </w:rPr>
              <w:t>u</w:t>
            </w:r>
            <w:r w:rsidRPr="00594E69">
              <w:rPr>
                <w:rFonts w:cs="Arial"/>
                <w:spacing w:val="2"/>
                <w:w w:val="85"/>
              </w:rPr>
              <w:t>s</w:t>
            </w:r>
            <w:r w:rsidRPr="00594E69">
              <w:rPr>
                <w:rFonts w:cs="Arial"/>
                <w:spacing w:val="1"/>
                <w:w w:val="85"/>
              </w:rPr>
              <w:t>t</w:t>
            </w:r>
            <w:r w:rsidRPr="00594E69">
              <w:rPr>
                <w:rFonts w:cs="Arial"/>
                <w:spacing w:val="2"/>
                <w:w w:val="85"/>
              </w:rPr>
              <w:t>r</w:t>
            </w:r>
            <w:r w:rsidRPr="00594E69">
              <w:rPr>
                <w:rFonts w:cs="Arial"/>
                <w:w w:val="85"/>
              </w:rPr>
              <w:t>alian</w:t>
            </w:r>
            <w:r w:rsidRPr="00594E69">
              <w:rPr>
                <w:rFonts w:cs="Arial"/>
                <w:spacing w:val="15"/>
                <w:w w:val="85"/>
              </w:rPr>
              <w:t xml:space="preserve"> </w:t>
            </w:r>
            <w:r w:rsidRPr="00594E69">
              <w:rPr>
                <w:rFonts w:cs="Arial"/>
                <w:spacing w:val="-1"/>
                <w:w w:val="85"/>
              </w:rPr>
              <w:t>A</w:t>
            </w:r>
            <w:r w:rsidRPr="00594E69">
              <w:rPr>
                <w:rFonts w:cs="Arial"/>
                <w:spacing w:val="-2"/>
                <w:w w:val="85"/>
              </w:rPr>
              <w:t>cc</w:t>
            </w:r>
            <w:r w:rsidRPr="00594E69">
              <w:rPr>
                <w:rFonts w:cs="Arial"/>
                <w:w w:val="85"/>
              </w:rPr>
              <w:t>ou</w:t>
            </w:r>
            <w:r w:rsidRPr="00594E69">
              <w:rPr>
                <w:rFonts w:cs="Arial"/>
                <w:spacing w:val="-1"/>
                <w:w w:val="85"/>
              </w:rPr>
              <w:t>n</w:t>
            </w:r>
            <w:r w:rsidRPr="00594E69">
              <w:rPr>
                <w:rFonts w:cs="Arial"/>
                <w:w w:val="85"/>
              </w:rPr>
              <w:t>ting</w:t>
            </w:r>
          </w:p>
          <w:p w14:paraId="07C66B39" w14:textId="77777777" w:rsidR="00A16123" w:rsidRPr="002B1695" w:rsidRDefault="00A16123" w:rsidP="00594E69">
            <w:r w:rsidRPr="00594E69">
              <w:rPr>
                <w:rFonts w:cs="Arial"/>
                <w:spacing w:val="-2"/>
                <w:w w:val="85"/>
              </w:rPr>
              <w:t>S</w:t>
            </w:r>
            <w:r w:rsidRPr="00594E69">
              <w:rPr>
                <w:rFonts w:cs="Arial"/>
                <w:spacing w:val="1"/>
                <w:w w:val="85"/>
              </w:rPr>
              <w:t>t</w:t>
            </w:r>
            <w:r w:rsidRPr="00594E69">
              <w:rPr>
                <w:rFonts w:cs="Arial"/>
                <w:w w:val="85"/>
              </w:rPr>
              <w:t>anda</w:t>
            </w:r>
            <w:r w:rsidRPr="00594E69">
              <w:rPr>
                <w:rFonts w:cs="Arial"/>
                <w:spacing w:val="-2"/>
                <w:w w:val="85"/>
              </w:rPr>
              <w:t>r</w:t>
            </w:r>
            <w:r w:rsidRPr="00594E69">
              <w:rPr>
                <w:rFonts w:cs="Arial"/>
                <w:spacing w:val="-1"/>
                <w:w w:val="85"/>
              </w:rPr>
              <w:t>d</w:t>
            </w:r>
            <w:r w:rsidRPr="00594E69">
              <w:rPr>
                <w:rFonts w:cs="Arial"/>
                <w:spacing w:val="2"/>
                <w:w w:val="85"/>
              </w:rPr>
              <w:t>s</w:t>
            </w:r>
            <w:r w:rsidRPr="00594E69">
              <w:rPr>
                <w:rFonts w:cs="Arial"/>
                <w:w w:val="85"/>
              </w:rPr>
              <w:t>.</w:t>
            </w:r>
            <w:r w:rsidRPr="00594E69">
              <w:rPr>
                <w:rFonts w:cs="Arial"/>
                <w:spacing w:val="15"/>
                <w:w w:val="85"/>
              </w:rPr>
              <w:t xml:space="preserve"> </w:t>
            </w:r>
            <w:r w:rsidRPr="00594E69">
              <w:rPr>
                <w:rFonts w:cs="Arial"/>
                <w:spacing w:val="3"/>
                <w:w w:val="85"/>
              </w:rPr>
              <w:t>T</w:t>
            </w:r>
            <w:r w:rsidRPr="00594E69">
              <w:rPr>
                <w:rFonts w:cs="Arial"/>
                <w:w w:val="85"/>
              </w:rPr>
              <w:t>he</w:t>
            </w:r>
            <w:r w:rsidRPr="00594E69">
              <w:rPr>
                <w:rFonts w:cs="Arial"/>
                <w:spacing w:val="15"/>
                <w:w w:val="85"/>
              </w:rPr>
              <w:t xml:space="preserve"> </w:t>
            </w:r>
            <w:r w:rsidRPr="00594E69">
              <w:rPr>
                <w:rFonts w:cs="Arial"/>
                <w:spacing w:val="-2"/>
                <w:w w:val="85"/>
              </w:rPr>
              <w:t>A</w:t>
            </w:r>
            <w:r w:rsidRPr="00594E69">
              <w:rPr>
                <w:rFonts w:cs="Arial"/>
                <w:w w:val="85"/>
              </w:rPr>
              <w:t>utho</w:t>
            </w:r>
            <w:r w:rsidRPr="00594E69">
              <w:rPr>
                <w:rFonts w:cs="Arial"/>
                <w:spacing w:val="1"/>
                <w:w w:val="85"/>
              </w:rPr>
              <w:t>ri</w:t>
            </w:r>
            <w:r w:rsidRPr="00594E69">
              <w:rPr>
                <w:rFonts w:cs="Arial"/>
                <w:spacing w:val="5"/>
                <w:w w:val="85"/>
              </w:rPr>
              <w:t>t</w:t>
            </w:r>
            <w:r w:rsidRPr="00594E69">
              <w:rPr>
                <w:rFonts w:cs="Arial"/>
                <w:w w:val="85"/>
              </w:rPr>
              <w:t>y</w:t>
            </w:r>
            <w:r w:rsidRPr="00594E69">
              <w:rPr>
                <w:rFonts w:cs="Arial"/>
                <w:spacing w:val="15"/>
                <w:w w:val="85"/>
              </w:rPr>
              <w:t xml:space="preserve"> </w:t>
            </w:r>
            <w:r w:rsidRPr="00594E69">
              <w:rPr>
                <w:rFonts w:cs="Arial"/>
                <w:w w:val="85"/>
              </w:rPr>
              <w:t>has</w:t>
            </w:r>
            <w:r w:rsidRPr="00594E69">
              <w:rPr>
                <w:rFonts w:cs="Arial"/>
                <w:spacing w:val="15"/>
                <w:w w:val="85"/>
              </w:rPr>
              <w:t xml:space="preserve"> </w:t>
            </w:r>
            <w:r w:rsidRPr="00594E69">
              <w:rPr>
                <w:rFonts w:cs="Arial"/>
                <w:w w:val="85"/>
              </w:rPr>
              <w:t>n</w:t>
            </w:r>
            <w:r w:rsidRPr="00594E69">
              <w:rPr>
                <w:rFonts w:cs="Arial"/>
                <w:spacing w:val="-1"/>
                <w:w w:val="85"/>
              </w:rPr>
              <w:t>o</w:t>
            </w:r>
            <w:r w:rsidRPr="00594E69">
              <w:rPr>
                <w:rFonts w:cs="Arial"/>
                <w:w w:val="85"/>
              </w:rPr>
              <w:t>t</w:t>
            </w:r>
            <w:r w:rsidRPr="00594E69">
              <w:rPr>
                <w:rFonts w:cs="Arial"/>
                <w:spacing w:val="15"/>
                <w:w w:val="85"/>
              </w:rPr>
              <w:t xml:space="preserve"> </w:t>
            </w:r>
            <w:r w:rsidRPr="00594E69">
              <w:rPr>
                <w:rFonts w:cs="Arial"/>
                <w:w w:val="85"/>
              </w:rPr>
              <w:t>yet</w:t>
            </w:r>
            <w:r w:rsidRPr="00594E69">
              <w:rPr>
                <w:rFonts w:cs="Arial"/>
                <w:spacing w:val="15"/>
                <w:w w:val="85"/>
              </w:rPr>
              <w:t xml:space="preserve"> </w:t>
            </w:r>
            <w:r w:rsidRPr="00594E69">
              <w:rPr>
                <w:rFonts w:cs="Arial"/>
                <w:w w:val="85"/>
              </w:rPr>
              <w:t>de</w:t>
            </w:r>
            <w:r w:rsidRPr="00594E69">
              <w:rPr>
                <w:rFonts w:cs="Arial"/>
                <w:spacing w:val="-2"/>
                <w:w w:val="85"/>
              </w:rPr>
              <w:t>t</w:t>
            </w:r>
            <w:r w:rsidRPr="00594E69">
              <w:rPr>
                <w:rFonts w:cs="Arial"/>
                <w:w w:val="85"/>
              </w:rPr>
              <w:t>e</w:t>
            </w:r>
            <w:r w:rsidRPr="00594E69">
              <w:rPr>
                <w:rFonts w:cs="Arial"/>
                <w:spacing w:val="1"/>
                <w:w w:val="85"/>
              </w:rPr>
              <w:t>r</w:t>
            </w:r>
            <w:r w:rsidRPr="00594E69">
              <w:rPr>
                <w:rFonts w:cs="Arial"/>
                <w:w w:val="85"/>
              </w:rPr>
              <w:t>min</w:t>
            </w:r>
            <w:r w:rsidRPr="00594E69">
              <w:rPr>
                <w:rFonts w:cs="Arial"/>
                <w:spacing w:val="1"/>
                <w:w w:val="85"/>
              </w:rPr>
              <w:t>e</w:t>
            </w:r>
            <w:r w:rsidRPr="00594E69">
              <w:rPr>
                <w:rFonts w:cs="Arial"/>
                <w:w w:val="85"/>
              </w:rPr>
              <w:t>d</w:t>
            </w:r>
            <w:r w:rsidRPr="00594E69">
              <w:rPr>
                <w:rFonts w:cs="Arial"/>
                <w:spacing w:val="15"/>
                <w:w w:val="85"/>
              </w:rPr>
              <w:t xml:space="preserve"> </w:t>
            </w:r>
            <w:r w:rsidRPr="00594E69">
              <w:rPr>
                <w:rFonts w:cs="Arial"/>
                <w:w w:val="85"/>
              </w:rPr>
              <w:t>the</w:t>
            </w:r>
            <w:r w:rsidRPr="00594E69">
              <w:rPr>
                <w:rFonts w:cs="Arial"/>
                <w:spacing w:val="15"/>
                <w:w w:val="85"/>
              </w:rPr>
              <w:t xml:space="preserve"> </w:t>
            </w:r>
            <w:r w:rsidRPr="00594E69">
              <w:rPr>
                <w:rFonts w:cs="Arial"/>
                <w:w w:val="85"/>
              </w:rPr>
              <w:t>applic</w:t>
            </w:r>
            <w:r w:rsidRPr="00594E69">
              <w:rPr>
                <w:rFonts w:cs="Arial"/>
                <w:spacing w:val="-1"/>
                <w:w w:val="85"/>
              </w:rPr>
              <w:t>a</w:t>
            </w:r>
            <w:r w:rsidRPr="00594E69">
              <w:rPr>
                <w:rFonts w:cs="Arial"/>
                <w:w w:val="85"/>
              </w:rPr>
              <w:t>tion</w:t>
            </w:r>
            <w:r w:rsidRPr="00594E69">
              <w:rPr>
                <w:rFonts w:cs="Arial"/>
                <w:spacing w:val="15"/>
                <w:w w:val="85"/>
              </w:rPr>
              <w:t xml:space="preserve"> </w:t>
            </w:r>
            <w:r w:rsidRPr="00594E69">
              <w:rPr>
                <w:rFonts w:cs="Arial"/>
                <w:w w:val="85"/>
              </w:rPr>
              <w:t>or</w:t>
            </w:r>
            <w:r w:rsidRPr="00594E69">
              <w:rPr>
                <w:rFonts w:cs="Arial"/>
                <w:spacing w:val="15"/>
                <w:w w:val="85"/>
              </w:rPr>
              <w:t xml:space="preserve"> </w:t>
            </w:r>
            <w:r w:rsidRPr="00594E69">
              <w:rPr>
                <w:rFonts w:cs="Arial"/>
                <w:w w:val="85"/>
              </w:rPr>
              <w:t>the</w:t>
            </w:r>
            <w:r w:rsidRPr="00594E69">
              <w:rPr>
                <w:rFonts w:cs="Arial"/>
                <w:spacing w:val="15"/>
                <w:w w:val="85"/>
              </w:rPr>
              <w:t xml:space="preserve"> </w:t>
            </w:r>
            <w:r w:rsidRPr="00594E69">
              <w:rPr>
                <w:rFonts w:cs="Arial"/>
                <w:spacing w:val="1"/>
                <w:w w:val="85"/>
              </w:rPr>
              <w:t>p</w:t>
            </w:r>
            <w:r w:rsidRPr="00594E69">
              <w:rPr>
                <w:rFonts w:cs="Arial"/>
                <w:spacing w:val="-1"/>
                <w:w w:val="85"/>
              </w:rPr>
              <w:t>o</w:t>
            </w:r>
            <w:r w:rsidRPr="00594E69">
              <w:rPr>
                <w:rFonts w:cs="Arial"/>
                <w:spacing w:val="-2"/>
                <w:w w:val="85"/>
              </w:rPr>
              <w:t>t</w:t>
            </w:r>
            <w:r w:rsidRPr="00594E69">
              <w:rPr>
                <w:rFonts w:cs="Arial"/>
                <w:w w:val="85"/>
              </w:rPr>
              <w:t>e</w:t>
            </w:r>
            <w:r w:rsidRPr="00594E69">
              <w:rPr>
                <w:rFonts w:cs="Arial"/>
                <w:spacing w:val="-1"/>
                <w:w w:val="85"/>
              </w:rPr>
              <w:t>n</w:t>
            </w:r>
            <w:r w:rsidRPr="00594E69">
              <w:rPr>
                <w:rFonts w:cs="Arial"/>
                <w:w w:val="85"/>
              </w:rPr>
              <w:t>tial</w:t>
            </w:r>
            <w:r w:rsidRPr="00594E69">
              <w:rPr>
                <w:rFonts w:cs="Arial"/>
                <w:spacing w:val="15"/>
                <w:w w:val="85"/>
              </w:rPr>
              <w:t xml:space="preserve"> </w:t>
            </w:r>
            <w:r w:rsidRPr="00594E69">
              <w:rPr>
                <w:rFonts w:cs="Arial"/>
                <w:w w:val="85"/>
              </w:rPr>
              <w:t>imp</w:t>
            </w:r>
            <w:r w:rsidRPr="00594E69">
              <w:rPr>
                <w:rFonts w:cs="Arial"/>
                <w:spacing w:val="1"/>
                <w:w w:val="85"/>
              </w:rPr>
              <w:t>a</w:t>
            </w:r>
            <w:r w:rsidRPr="00594E69">
              <w:rPr>
                <w:rFonts w:cs="Arial"/>
                <w:spacing w:val="3"/>
                <w:w w:val="85"/>
              </w:rPr>
              <w:t>c</w:t>
            </w:r>
            <w:r w:rsidRPr="00594E69">
              <w:rPr>
                <w:rFonts w:cs="Arial"/>
                <w:w w:val="85"/>
              </w:rPr>
              <w:t>t</w:t>
            </w:r>
            <w:r w:rsidRPr="00594E69">
              <w:rPr>
                <w:rFonts w:cs="Arial"/>
                <w:spacing w:val="15"/>
                <w:w w:val="85"/>
              </w:rPr>
              <w:t xml:space="preserve"> </w:t>
            </w:r>
            <w:r w:rsidRPr="00594E69">
              <w:rPr>
                <w:rFonts w:cs="Arial"/>
                <w:w w:val="85"/>
              </w:rPr>
              <w:t>of</w:t>
            </w:r>
            <w:r w:rsidRPr="00594E69">
              <w:rPr>
                <w:rFonts w:cs="Arial"/>
                <w:spacing w:val="15"/>
                <w:w w:val="85"/>
              </w:rPr>
              <w:t xml:space="preserve"> </w:t>
            </w:r>
            <w:r w:rsidRPr="00594E69">
              <w:rPr>
                <w:rFonts w:cs="Arial"/>
                <w:w w:val="85"/>
              </w:rPr>
              <w:t>the</w:t>
            </w:r>
            <w:r w:rsidRPr="00594E69">
              <w:rPr>
                <w:rFonts w:cs="Arial"/>
                <w:spacing w:val="15"/>
                <w:w w:val="85"/>
              </w:rPr>
              <w:t xml:space="preserve"> </w:t>
            </w:r>
            <w:r w:rsidRPr="00594E69">
              <w:rPr>
                <w:rFonts w:cs="Arial"/>
                <w:spacing w:val="-2"/>
                <w:w w:val="85"/>
              </w:rPr>
              <w:t>S</w:t>
            </w:r>
            <w:r w:rsidRPr="00594E69">
              <w:rPr>
                <w:rFonts w:cs="Arial"/>
                <w:spacing w:val="1"/>
                <w:w w:val="85"/>
              </w:rPr>
              <w:t>t</w:t>
            </w:r>
            <w:r w:rsidRPr="00594E69">
              <w:rPr>
                <w:rFonts w:cs="Arial"/>
                <w:w w:val="85"/>
              </w:rPr>
              <w:t>anda</w:t>
            </w:r>
            <w:r w:rsidRPr="00594E69">
              <w:rPr>
                <w:rFonts w:cs="Arial"/>
                <w:spacing w:val="-2"/>
                <w:w w:val="85"/>
              </w:rPr>
              <w:t>r</w:t>
            </w:r>
            <w:r w:rsidRPr="00594E69">
              <w:rPr>
                <w:rFonts w:cs="Arial"/>
                <w:w w:val="85"/>
              </w:rPr>
              <w:t>d.</w:t>
            </w:r>
          </w:p>
        </w:tc>
        <w:tc>
          <w:tcPr>
            <w:tcW w:w="1559" w:type="dxa"/>
            <w:tcBorders>
              <w:top w:val="single" w:sz="4" w:space="0" w:color="99B0AB"/>
              <w:left w:val="single" w:sz="4" w:space="0" w:color="99B0AB"/>
              <w:bottom w:val="single" w:sz="4" w:space="0" w:color="99B0AB"/>
              <w:right w:val="single" w:sz="4" w:space="0" w:color="99B0AB"/>
            </w:tcBorders>
          </w:tcPr>
          <w:p w14:paraId="620C17DC" w14:textId="77777777" w:rsidR="00A16123" w:rsidRPr="00BC0F34" w:rsidRDefault="00A16123" w:rsidP="00A16123">
            <w:pPr>
              <w:rPr>
                <w:rFonts w:cs="Arial"/>
              </w:rPr>
            </w:pPr>
            <w:r w:rsidRPr="00BC0F34">
              <w:t>1 Jan 2018</w:t>
            </w:r>
          </w:p>
        </w:tc>
      </w:tr>
      <w:tr w:rsidR="00A16123" w:rsidRPr="002B1695" w14:paraId="6F171DB8" w14:textId="77777777" w:rsidTr="00B2782F">
        <w:trPr>
          <w:trHeight w:hRule="exact" w:val="2972"/>
        </w:trPr>
        <w:tc>
          <w:tcPr>
            <w:tcW w:w="1729" w:type="dxa"/>
            <w:tcBorders>
              <w:top w:val="single" w:sz="4" w:space="0" w:color="99B0AB"/>
              <w:left w:val="single" w:sz="4" w:space="0" w:color="99B0AB"/>
              <w:bottom w:val="single" w:sz="4" w:space="0" w:color="99B0AB"/>
              <w:right w:val="nil"/>
            </w:tcBorders>
            <w:shd w:val="clear" w:color="auto" w:fill="B6C6C2"/>
          </w:tcPr>
          <w:p w14:paraId="5E6CCB8A" w14:textId="77777777" w:rsidR="00A16123" w:rsidRPr="002B1695" w:rsidRDefault="00A16123" w:rsidP="00A16123">
            <w:r w:rsidRPr="002B1695">
              <w:t>AASB 15</w:t>
            </w:r>
          </w:p>
        </w:tc>
        <w:tc>
          <w:tcPr>
            <w:tcW w:w="6214" w:type="dxa"/>
            <w:tcBorders>
              <w:top w:val="single" w:sz="4" w:space="0" w:color="99B0AB"/>
              <w:left w:val="nil"/>
              <w:bottom w:val="single" w:sz="4" w:space="0" w:color="99B0AB"/>
              <w:right w:val="single" w:sz="4" w:space="0" w:color="99B0AB"/>
            </w:tcBorders>
          </w:tcPr>
          <w:p w14:paraId="0EC94720" w14:textId="77777777" w:rsidR="00A16123" w:rsidRPr="00594E69" w:rsidRDefault="00A16123" w:rsidP="00594E69">
            <w:pPr>
              <w:rPr>
                <w:b/>
                <w:i/>
                <w:color w:val="000000"/>
              </w:rPr>
            </w:pPr>
            <w:r w:rsidRPr="00594E69">
              <w:rPr>
                <w:b/>
                <w:i/>
                <w:w w:val="95"/>
              </w:rPr>
              <w:t>Re</w:t>
            </w:r>
            <w:r w:rsidRPr="00594E69">
              <w:rPr>
                <w:b/>
                <w:i/>
                <w:spacing w:val="-1"/>
                <w:w w:val="95"/>
              </w:rPr>
              <w:t>v</w:t>
            </w:r>
            <w:r w:rsidRPr="00594E69">
              <w:rPr>
                <w:b/>
                <w:i/>
                <w:w w:val="95"/>
              </w:rPr>
              <w:t>enue</w:t>
            </w:r>
            <w:r w:rsidRPr="00594E69">
              <w:rPr>
                <w:b/>
                <w:i/>
                <w:spacing w:val="10"/>
                <w:w w:val="95"/>
              </w:rPr>
              <w:t xml:space="preserve"> </w:t>
            </w:r>
            <w:r w:rsidRPr="00594E69">
              <w:rPr>
                <w:b/>
                <w:i/>
                <w:w w:val="95"/>
              </w:rPr>
              <w:t>from</w:t>
            </w:r>
            <w:r w:rsidRPr="00594E69">
              <w:rPr>
                <w:b/>
                <w:i/>
                <w:spacing w:val="11"/>
                <w:w w:val="95"/>
              </w:rPr>
              <w:t xml:space="preserve"> </w:t>
            </w:r>
            <w:r w:rsidRPr="00594E69">
              <w:rPr>
                <w:b/>
                <w:i/>
                <w:spacing w:val="-1"/>
                <w:w w:val="95"/>
              </w:rPr>
              <w:t>C</w:t>
            </w:r>
            <w:r w:rsidRPr="00594E69">
              <w:rPr>
                <w:b/>
                <w:i/>
                <w:w w:val="95"/>
              </w:rPr>
              <w:t>ontra</w:t>
            </w:r>
            <w:r w:rsidRPr="00594E69">
              <w:rPr>
                <w:b/>
                <w:i/>
                <w:spacing w:val="2"/>
                <w:w w:val="95"/>
              </w:rPr>
              <w:t>c</w:t>
            </w:r>
            <w:r w:rsidRPr="00594E69">
              <w:rPr>
                <w:b/>
                <w:i/>
                <w:w w:val="95"/>
              </w:rPr>
              <w:t>ts</w:t>
            </w:r>
            <w:r w:rsidRPr="00594E69">
              <w:rPr>
                <w:b/>
                <w:i/>
                <w:spacing w:val="10"/>
                <w:w w:val="95"/>
              </w:rPr>
              <w:t xml:space="preserve"> </w:t>
            </w:r>
            <w:r w:rsidRPr="00594E69">
              <w:rPr>
                <w:b/>
                <w:i/>
                <w:w w:val="95"/>
              </w:rPr>
              <w:t>with</w:t>
            </w:r>
            <w:r w:rsidRPr="00594E69">
              <w:rPr>
                <w:b/>
                <w:i/>
                <w:spacing w:val="11"/>
                <w:w w:val="95"/>
              </w:rPr>
              <w:t xml:space="preserve"> </w:t>
            </w:r>
            <w:r w:rsidRPr="00594E69">
              <w:rPr>
                <w:b/>
                <w:i/>
                <w:spacing w:val="-1"/>
                <w:w w:val="95"/>
              </w:rPr>
              <w:t>C</w:t>
            </w:r>
            <w:r w:rsidRPr="00594E69">
              <w:rPr>
                <w:b/>
                <w:i/>
                <w:w w:val="95"/>
              </w:rPr>
              <w:t>ustomers</w:t>
            </w:r>
          </w:p>
          <w:p w14:paraId="3896EF29" w14:textId="77777777" w:rsidR="00A16123" w:rsidRPr="002B1695" w:rsidRDefault="00A16123" w:rsidP="00594E69">
            <w:r w:rsidRPr="002B1695">
              <w:rPr>
                <w:spacing w:val="3"/>
                <w:w w:val="85"/>
              </w:rPr>
              <w:t>T</w:t>
            </w:r>
            <w:r w:rsidRPr="002B1695">
              <w:rPr>
                <w:w w:val="85"/>
              </w:rPr>
              <w:t>h</w:t>
            </w:r>
            <w:r w:rsidRPr="002B1695">
              <w:rPr>
                <w:spacing w:val="-2"/>
                <w:w w:val="85"/>
              </w:rPr>
              <w:t>i</w:t>
            </w:r>
            <w:r w:rsidRPr="002B1695">
              <w:rPr>
                <w:w w:val="85"/>
              </w:rPr>
              <w:t>s</w:t>
            </w:r>
            <w:r w:rsidRPr="002B1695">
              <w:rPr>
                <w:spacing w:val="13"/>
                <w:w w:val="85"/>
              </w:rPr>
              <w:t xml:space="preserve"> </w:t>
            </w:r>
            <w:r w:rsidRPr="002B1695">
              <w:rPr>
                <w:spacing w:val="-2"/>
                <w:w w:val="85"/>
              </w:rPr>
              <w:t>S</w:t>
            </w:r>
            <w:r w:rsidRPr="002B1695">
              <w:rPr>
                <w:spacing w:val="1"/>
                <w:w w:val="85"/>
              </w:rPr>
              <w:t>t</w:t>
            </w:r>
            <w:r w:rsidRPr="002B1695">
              <w:rPr>
                <w:w w:val="85"/>
              </w:rPr>
              <w:t>anda</w:t>
            </w:r>
            <w:r w:rsidRPr="002B1695">
              <w:rPr>
                <w:spacing w:val="-2"/>
                <w:w w:val="85"/>
              </w:rPr>
              <w:t>r</w:t>
            </w:r>
            <w:r w:rsidRPr="002B1695">
              <w:rPr>
                <w:w w:val="85"/>
              </w:rPr>
              <w:t>d</w:t>
            </w:r>
            <w:r w:rsidRPr="002B1695">
              <w:rPr>
                <w:spacing w:val="14"/>
                <w:w w:val="85"/>
              </w:rPr>
              <w:t xml:space="preserve"> </w:t>
            </w:r>
            <w:r w:rsidRPr="002B1695">
              <w:rPr>
                <w:w w:val="85"/>
              </w:rPr>
              <w:t>e</w:t>
            </w:r>
            <w:r w:rsidRPr="002B1695">
              <w:rPr>
                <w:spacing w:val="2"/>
                <w:w w:val="85"/>
              </w:rPr>
              <w:t>s</w:t>
            </w:r>
            <w:r w:rsidRPr="002B1695">
              <w:rPr>
                <w:spacing w:val="1"/>
                <w:w w:val="85"/>
              </w:rPr>
              <w:t>t</w:t>
            </w:r>
            <w:r w:rsidRPr="002B1695">
              <w:rPr>
                <w:w w:val="85"/>
              </w:rPr>
              <w:t>abl</w:t>
            </w:r>
            <w:r w:rsidRPr="002B1695">
              <w:rPr>
                <w:spacing w:val="-2"/>
                <w:w w:val="85"/>
              </w:rPr>
              <w:t>i</w:t>
            </w:r>
            <w:r w:rsidRPr="002B1695">
              <w:rPr>
                <w:spacing w:val="-1"/>
                <w:w w:val="85"/>
              </w:rPr>
              <w:t>s</w:t>
            </w:r>
            <w:r w:rsidRPr="002B1695">
              <w:rPr>
                <w:w w:val="85"/>
              </w:rPr>
              <w:t>hes</w:t>
            </w:r>
            <w:r w:rsidRPr="002B1695">
              <w:rPr>
                <w:spacing w:val="14"/>
                <w:w w:val="85"/>
              </w:rPr>
              <w:t xml:space="preserve"> </w:t>
            </w:r>
            <w:r w:rsidRPr="002B1695">
              <w:rPr>
                <w:w w:val="85"/>
              </w:rPr>
              <w:t>the</w:t>
            </w:r>
            <w:r w:rsidRPr="002B1695">
              <w:rPr>
                <w:spacing w:val="14"/>
                <w:w w:val="85"/>
              </w:rPr>
              <w:t xml:space="preserve"> </w:t>
            </w:r>
            <w:r w:rsidRPr="002B1695">
              <w:rPr>
                <w:w w:val="85"/>
              </w:rPr>
              <w:t>p</w:t>
            </w:r>
            <w:r w:rsidRPr="002B1695">
              <w:rPr>
                <w:spacing w:val="1"/>
                <w:w w:val="85"/>
              </w:rPr>
              <w:t>r</w:t>
            </w:r>
            <w:r w:rsidRPr="002B1695">
              <w:rPr>
                <w:w w:val="85"/>
              </w:rPr>
              <w:t>incip</w:t>
            </w:r>
            <w:r w:rsidRPr="002B1695">
              <w:rPr>
                <w:spacing w:val="1"/>
                <w:w w:val="85"/>
              </w:rPr>
              <w:t>l</w:t>
            </w:r>
            <w:r w:rsidRPr="002B1695">
              <w:rPr>
                <w:w w:val="85"/>
              </w:rPr>
              <w:t>es</w:t>
            </w:r>
            <w:r w:rsidRPr="002B1695">
              <w:rPr>
                <w:spacing w:val="13"/>
                <w:w w:val="85"/>
              </w:rPr>
              <w:t xml:space="preserve"> </w:t>
            </w:r>
            <w:r w:rsidRPr="002B1695">
              <w:rPr>
                <w:w w:val="85"/>
              </w:rPr>
              <w:t>th</w:t>
            </w:r>
            <w:r w:rsidRPr="002B1695">
              <w:rPr>
                <w:spacing w:val="-1"/>
                <w:w w:val="85"/>
              </w:rPr>
              <w:t>a</w:t>
            </w:r>
            <w:r w:rsidRPr="002B1695">
              <w:rPr>
                <w:w w:val="85"/>
              </w:rPr>
              <w:t>t</w:t>
            </w:r>
            <w:r w:rsidRPr="002B1695">
              <w:rPr>
                <w:spacing w:val="14"/>
                <w:w w:val="85"/>
              </w:rPr>
              <w:t xml:space="preserve"> </w:t>
            </w:r>
            <w:r w:rsidRPr="002B1695">
              <w:rPr>
                <w:w w:val="85"/>
              </w:rPr>
              <w:t>the</w:t>
            </w:r>
            <w:r w:rsidRPr="002B1695">
              <w:rPr>
                <w:spacing w:val="14"/>
                <w:w w:val="85"/>
              </w:rPr>
              <w:t xml:space="preserve"> </w:t>
            </w:r>
            <w:r w:rsidRPr="002B1695">
              <w:rPr>
                <w:spacing w:val="-2"/>
                <w:w w:val="85"/>
              </w:rPr>
              <w:t>A</w:t>
            </w:r>
            <w:r w:rsidRPr="002B1695">
              <w:rPr>
                <w:w w:val="85"/>
              </w:rPr>
              <w:t>utho</w:t>
            </w:r>
            <w:r w:rsidRPr="002B1695">
              <w:rPr>
                <w:spacing w:val="1"/>
                <w:w w:val="85"/>
              </w:rPr>
              <w:t>ri</w:t>
            </w:r>
            <w:r w:rsidRPr="002B1695">
              <w:rPr>
                <w:spacing w:val="5"/>
                <w:w w:val="85"/>
              </w:rPr>
              <w:t>t</w:t>
            </w:r>
            <w:r w:rsidRPr="002B1695">
              <w:rPr>
                <w:w w:val="85"/>
              </w:rPr>
              <w:t>y</w:t>
            </w:r>
            <w:r w:rsidRPr="002B1695">
              <w:rPr>
                <w:spacing w:val="14"/>
                <w:w w:val="85"/>
              </w:rPr>
              <w:t xml:space="preserve"> </w:t>
            </w:r>
            <w:r w:rsidRPr="002B1695">
              <w:rPr>
                <w:spacing w:val="-1"/>
                <w:w w:val="85"/>
              </w:rPr>
              <w:t>s</w:t>
            </w:r>
            <w:r w:rsidRPr="002B1695">
              <w:rPr>
                <w:w w:val="85"/>
              </w:rPr>
              <w:t>ha</w:t>
            </w:r>
            <w:r w:rsidRPr="002B1695">
              <w:rPr>
                <w:spacing w:val="-2"/>
                <w:w w:val="85"/>
              </w:rPr>
              <w:t>l</w:t>
            </w:r>
            <w:r w:rsidRPr="002B1695">
              <w:rPr>
                <w:w w:val="85"/>
              </w:rPr>
              <w:t>l</w:t>
            </w:r>
            <w:r w:rsidRPr="002B1695">
              <w:rPr>
                <w:spacing w:val="14"/>
                <w:w w:val="85"/>
              </w:rPr>
              <w:t xml:space="preserve"> </w:t>
            </w:r>
            <w:r w:rsidRPr="002B1695">
              <w:rPr>
                <w:w w:val="85"/>
              </w:rPr>
              <w:t>app</w:t>
            </w:r>
            <w:r w:rsidRPr="002B1695">
              <w:rPr>
                <w:spacing w:val="1"/>
                <w:w w:val="85"/>
              </w:rPr>
              <w:t>l</w:t>
            </w:r>
            <w:r w:rsidRPr="002B1695">
              <w:rPr>
                <w:w w:val="85"/>
              </w:rPr>
              <w:t>y</w:t>
            </w:r>
            <w:r w:rsidRPr="002B1695">
              <w:rPr>
                <w:spacing w:val="13"/>
                <w:w w:val="85"/>
              </w:rPr>
              <w:t xml:space="preserve"> </w:t>
            </w:r>
            <w:r w:rsidRPr="002B1695">
              <w:rPr>
                <w:spacing w:val="-2"/>
                <w:w w:val="85"/>
              </w:rPr>
              <w:t>t</w:t>
            </w:r>
            <w:r w:rsidRPr="002B1695">
              <w:rPr>
                <w:w w:val="85"/>
              </w:rPr>
              <w:t>o</w:t>
            </w:r>
            <w:r w:rsidRPr="002B1695">
              <w:rPr>
                <w:spacing w:val="14"/>
                <w:w w:val="85"/>
              </w:rPr>
              <w:t xml:space="preserve"> </w:t>
            </w:r>
            <w:r w:rsidRPr="002B1695">
              <w:rPr>
                <w:spacing w:val="-2"/>
                <w:w w:val="85"/>
              </w:rPr>
              <w:t>r</w:t>
            </w:r>
            <w:r w:rsidRPr="002B1695">
              <w:rPr>
                <w:w w:val="85"/>
              </w:rPr>
              <w:t>e</w:t>
            </w:r>
            <w:r w:rsidRPr="002B1695">
              <w:rPr>
                <w:spacing w:val="1"/>
                <w:w w:val="85"/>
              </w:rPr>
              <w:t>p</w:t>
            </w:r>
            <w:r w:rsidRPr="002B1695">
              <w:rPr>
                <w:w w:val="85"/>
              </w:rPr>
              <w:t>o</w:t>
            </w:r>
            <w:r w:rsidRPr="002B1695">
              <w:rPr>
                <w:spacing w:val="5"/>
                <w:w w:val="85"/>
              </w:rPr>
              <w:t>r</w:t>
            </w:r>
            <w:r w:rsidRPr="002B1695">
              <w:rPr>
                <w:w w:val="85"/>
              </w:rPr>
              <w:t>t</w:t>
            </w:r>
            <w:r w:rsidRPr="002B1695">
              <w:rPr>
                <w:spacing w:val="14"/>
                <w:w w:val="85"/>
              </w:rPr>
              <w:t xml:space="preserve"> </w:t>
            </w:r>
            <w:r w:rsidRPr="002B1695">
              <w:rPr>
                <w:spacing w:val="-1"/>
                <w:w w:val="85"/>
              </w:rPr>
              <w:t>u</w:t>
            </w:r>
            <w:r w:rsidRPr="002B1695">
              <w:rPr>
                <w:spacing w:val="1"/>
                <w:w w:val="85"/>
              </w:rPr>
              <w:t>s</w:t>
            </w:r>
            <w:r w:rsidRPr="002B1695">
              <w:rPr>
                <w:w w:val="85"/>
              </w:rPr>
              <w:t>e</w:t>
            </w:r>
            <w:r w:rsidRPr="002B1695">
              <w:rPr>
                <w:spacing w:val="2"/>
                <w:w w:val="85"/>
              </w:rPr>
              <w:t>f</w:t>
            </w:r>
            <w:r w:rsidRPr="002B1695">
              <w:rPr>
                <w:w w:val="85"/>
              </w:rPr>
              <w:t>ul</w:t>
            </w:r>
            <w:r w:rsidRPr="002B1695">
              <w:rPr>
                <w:spacing w:val="14"/>
                <w:w w:val="85"/>
              </w:rPr>
              <w:t xml:space="preserve"> </w:t>
            </w:r>
            <w:r w:rsidRPr="002B1695">
              <w:rPr>
                <w:w w:val="85"/>
              </w:rPr>
              <w:t>info</w:t>
            </w:r>
            <w:r w:rsidRPr="002B1695">
              <w:rPr>
                <w:spacing w:val="1"/>
                <w:w w:val="85"/>
              </w:rPr>
              <w:t>r</w:t>
            </w:r>
            <w:r w:rsidRPr="002B1695">
              <w:rPr>
                <w:w w:val="85"/>
              </w:rPr>
              <w:t>m</w:t>
            </w:r>
            <w:r w:rsidRPr="002B1695">
              <w:rPr>
                <w:spacing w:val="-1"/>
                <w:w w:val="85"/>
              </w:rPr>
              <w:t>a</w:t>
            </w:r>
            <w:r w:rsidRPr="002B1695">
              <w:rPr>
                <w:w w:val="85"/>
              </w:rPr>
              <w:t>tion</w:t>
            </w:r>
            <w:r w:rsidRPr="002B1695">
              <w:rPr>
                <w:spacing w:val="14"/>
                <w:w w:val="85"/>
              </w:rPr>
              <w:t xml:space="preserve"> </w:t>
            </w:r>
            <w:r w:rsidRPr="002B1695">
              <w:rPr>
                <w:spacing w:val="-2"/>
                <w:w w:val="85"/>
              </w:rPr>
              <w:t>t</w:t>
            </w:r>
            <w:r w:rsidRPr="002B1695">
              <w:rPr>
                <w:w w:val="85"/>
              </w:rPr>
              <w:t>o</w:t>
            </w:r>
            <w:r w:rsidRPr="002B1695">
              <w:rPr>
                <w:spacing w:val="13"/>
                <w:w w:val="85"/>
              </w:rPr>
              <w:t xml:space="preserve"> </w:t>
            </w:r>
            <w:r w:rsidRPr="002B1695">
              <w:rPr>
                <w:spacing w:val="-1"/>
                <w:w w:val="85"/>
              </w:rPr>
              <w:t>u</w:t>
            </w:r>
            <w:r w:rsidRPr="002B1695">
              <w:rPr>
                <w:spacing w:val="1"/>
                <w:w w:val="85"/>
              </w:rPr>
              <w:t>s</w:t>
            </w:r>
            <w:r w:rsidRPr="002B1695">
              <w:rPr>
                <w:w w:val="85"/>
              </w:rPr>
              <w:t>e</w:t>
            </w:r>
            <w:r w:rsidRPr="002B1695">
              <w:rPr>
                <w:spacing w:val="1"/>
                <w:w w:val="85"/>
              </w:rPr>
              <w:t>r</w:t>
            </w:r>
            <w:r w:rsidRPr="002B1695">
              <w:rPr>
                <w:w w:val="85"/>
              </w:rPr>
              <w:t>s</w:t>
            </w:r>
            <w:r w:rsidRPr="002B1695">
              <w:rPr>
                <w:spacing w:val="14"/>
                <w:w w:val="85"/>
              </w:rPr>
              <w:t xml:space="preserve"> </w:t>
            </w:r>
            <w:r w:rsidRPr="002B1695">
              <w:rPr>
                <w:w w:val="85"/>
              </w:rPr>
              <w:t>of</w:t>
            </w:r>
            <w:r w:rsidRPr="002B1695">
              <w:rPr>
                <w:spacing w:val="14"/>
                <w:w w:val="85"/>
              </w:rPr>
              <w:t xml:space="preserve"> </w:t>
            </w:r>
            <w:r w:rsidRPr="002B1695">
              <w:rPr>
                <w:w w:val="85"/>
              </w:rPr>
              <w:t>f</w:t>
            </w:r>
            <w:r w:rsidRPr="002B1695">
              <w:rPr>
                <w:spacing w:val="-2"/>
                <w:w w:val="85"/>
              </w:rPr>
              <w:t>i</w:t>
            </w:r>
            <w:r w:rsidRPr="002B1695">
              <w:rPr>
                <w:w w:val="85"/>
              </w:rPr>
              <w:t>nancial</w:t>
            </w:r>
            <w:r w:rsidRPr="002B1695">
              <w:rPr>
                <w:spacing w:val="14"/>
                <w:w w:val="85"/>
              </w:rPr>
              <w:t xml:space="preserve"> </w:t>
            </w:r>
            <w:r w:rsidRPr="002B1695">
              <w:rPr>
                <w:spacing w:val="2"/>
                <w:w w:val="85"/>
              </w:rPr>
              <w:t>s</w:t>
            </w:r>
            <w:r w:rsidRPr="002B1695">
              <w:rPr>
                <w:spacing w:val="1"/>
                <w:w w:val="85"/>
              </w:rPr>
              <w:t>t</w:t>
            </w:r>
            <w:r w:rsidRPr="002B1695">
              <w:rPr>
                <w:spacing w:val="-1"/>
                <w:w w:val="85"/>
              </w:rPr>
              <w:t>a</w:t>
            </w:r>
            <w:r w:rsidRPr="002B1695">
              <w:rPr>
                <w:spacing w:val="-2"/>
                <w:w w:val="85"/>
              </w:rPr>
              <w:t>t</w:t>
            </w:r>
            <w:r w:rsidRPr="002B1695">
              <w:rPr>
                <w:w w:val="85"/>
              </w:rPr>
              <w:t>eme</w:t>
            </w:r>
            <w:r w:rsidRPr="002B1695">
              <w:rPr>
                <w:spacing w:val="-1"/>
                <w:w w:val="85"/>
              </w:rPr>
              <w:t>n</w:t>
            </w:r>
            <w:r w:rsidRPr="002B1695">
              <w:rPr>
                <w:spacing w:val="2"/>
                <w:w w:val="85"/>
              </w:rPr>
              <w:t>t</w:t>
            </w:r>
            <w:r w:rsidRPr="002B1695">
              <w:rPr>
                <w:w w:val="85"/>
              </w:rPr>
              <w:t>s</w:t>
            </w:r>
            <w:r w:rsidRPr="002B1695">
              <w:rPr>
                <w:spacing w:val="13"/>
                <w:w w:val="85"/>
              </w:rPr>
              <w:t xml:space="preserve"> </w:t>
            </w:r>
            <w:r w:rsidRPr="002B1695">
              <w:rPr>
                <w:w w:val="85"/>
              </w:rPr>
              <w:t>a</w:t>
            </w:r>
            <w:r w:rsidRPr="002B1695">
              <w:rPr>
                <w:spacing w:val="1"/>
                <w:w w:val="85"/>
              </w:rPr>
              <w:t>b</w:t>
            </w:r>
            <w:r w:rsidRPr="002B1695">
              <w:rPr>
                <w:w w:val="85"/>
              </w:rPr>
              <w:t>out</w:t>
            </w:r>
            <w:r w:rsidRPr="002B1695">
              <w:rPr>
                <w:spacing w:val="14"/>
                <w:w w:val="85"/>
              </w:rPr>
              <w:t xml:space="preserve"> </w:t>
            </w:r>
            <w:r w:rsidRPr="002B1695">
              <w:rPr>
                <w:w w:val="85"/>
              </w:rPr>
              <w:t>the</w:t>
            </w:r>
            <w:r w:rsidRPr="002B1695">
              <w:rPr>
                <w:spacing w:val="14"/>
                <w:w w:val="85"/>
              </w:rPr>
              <w:t xml:space="preserve"> </w:t>
            </w:r>
            <w:r w:rsidRPr="002B1695">
              <w:rPr>
                <w:w w:val="85"/>
              </w:rPr>
              <w:t>n</w:t>
            </w:r>
            <w:r w:rsidRPr="002B1695">
              <w:rPr>
                <w:spacing w:val="-1"/>
                <w:w w:val="85"/>
              </w:rPr>
              <w:t>a</w:t>
            </w:r>
            <w:r w:rsidRPr="002B1695">
              <w:rPr>
                <w:spacing w:val="1"/>
                <w:w w:val="85"/>
              </w:rPr>
              <w:t>t</w:t>
            </w:r>
            <w:r w:rsidRPr="002B1695">
              <w:rPr>
                <w:w w:val="85"/>
              </w:rPr>
              <w:t>u</w:t>
            </w:r>
            <w:r w:rsidRPr="002B1695">
              <w:rPr>
                <w:spacing w:val="-2"/>
                <w:w w:val="85"/>
              </w:rPr>
              <w:t>re</w:t>
            </w:r>
            <w:r w:rsidRPr="002B1695">
              <w:rPr>
                <w:w w:val="85"/>
              </w:rPr>
              <w:t>,</w:t>
            </w:r>
            <w:r w:rsidRPr="002B1695">
              <w:rPr>
                <w:spacing w:val="14"/>
                <w:w w:val="85"/>
              </w:rPr>
              <w:t xml:space="preserve"> </w:t>
            </w:r>
            <w:r w:rsidRPr="002B1695">
              <w:rPr>
                <w:w w:val="85"/>
              </w:rPr>
              <w:t>amou</w:t>
            </w:r>
            <w:r w:rsidRPr="002B1695">
              <w:rPr>
                <w:spacing w:val="-1"/>
                <w:w w:val="85"/>
              </w:rPr>
              <w:t>n</w:t>
            </w:r>
            <w:r w:rsidRPr="002B1695">
              <w:rPr>
                <w:spacing w:val="1"/>
                <w:w w:val="85"/>
              </w:rPr>
              <w:t>t</w:t>
            </w:r>
            <w:r w:rsidRPr="002B1695">
              <w:rPr>
                <w:w w:val="85"/>
              </w:rPr>
              <w:t>,</w:t>
            </w:r>
            <w:r w:rsidRPr="002B1695">
              <w:rPr>
                <w:spacing w:val="14"/>
                <w:w w:val="85"/>
              </w:rPr>
              <w:t xml:space="preserve"> </w:t>
            </w:r>
            <w:r w:rsidRPr="002B1695">
              <w:rPr>
                <w:w w:val="85"/>
              </w:rPr>
              <w:t>timing</w:t>
            </w:r>
            <w:r w:rsidRPr="002B1695">
              <w:rPr>
                <w:spacing w:val="13"/>
                <w:w w:val="85"/>
              </w:rPr>
              <w:t xml:space="preserve"> </w:t>
            </w:r>
            <w:r w:rsidRPr="002B1695">
              <w:rPr>
                <w:w w:val="85"/>
              </w:rPr>
              <w:t>and</w:t>
            </w:r>
            <w:r w:rsidRPr="002B1695">
              <w:rPr>
                <w:spacing w:val="14"/>
                <w:w w:val="85"/>
              </w:rPr>
              <w:t xml:space="preserve"> </w:t>
            </w:r>
            <w:r w:rsidRPr="002B1695">
              <w:rPr>
                <w:w w:val="85"/>
              </w:rPr>
              <w:t>un</w:t>
            </w:r>
            <w:r w:rsidRPr="002B1695">
              <w:rPr>
                <w:spacing w:val="-2"/>
                <w:w w:val="85"/>
              </w:rPr>
              <w:t>c</w:t>
            </w:r>
            <w:r w:rsidRPr="002B1695">
              <w:rPr>
                <w:w w:val="85"/>
              </w:rPr>
              <w:t>e</w:t>
            </w:r>
            <w:r w:rsidRPr="002B1695">
              <w:rPr>
                <w:spacing w:val="5"/>
                <w:w w:val="85"/>
              </w:rPr>
              <w:t>r</w:t>
            </w:r>
            <w:r w:rsidRPr="002B1695">
              <w:rPr>
                <w:spacing w:val="1"/>
                <w:w w:val="85"/>
              </w:rPr>
              <w:t>t</w:t>
            </w:r>
            <w:r w:rsidRPr="002B1695">
              <w:rPr>
                <w:w w:val="85"/>
              </w:rPr>
              <w:t>ai</w:t>
            </w:r>
            <w:r w:rsidRPr="002B1695">
              <w:rPr>
                <w:spacing w:val="-1"/>
                <w:w w:val="85"/>
              </w:rPr>
              <w:t>n</w:t>
            </w:r>
            <w:r w:rsidRPr="002B1695">
              <w:rPr>
                <w:spacing w:val="5"/>
                <w:w w:val="85"/>
              </w:rPr>
              <w:t>t</w:t>
            </w:r>
            <w:r w:rsidRPr="002B1695">
              <w:rPr>
                <w:w w:val="85"/>
              </w:rPr>
              <w:t>y</w:t>
            </w:r>
            <w:r w:rsidRPr="002B1695">
              <w:rPr>
                <w:spacing w:val="14"/>
                <w:w w:val="85"/>
              </w:rPr>
              <w:t xml:space="preserve"> </w:t>
            </w:r>
            <w:r w:rsidRPr="002B1695">
              <w:rPr>
                <w:w w:val="85"/>
              </w:rPr>
              <w:t>of</w:t>
            </w:r>
            <w:r w:rsidRPr="002B1695">
              <w:rPr>
                <w:w w:val="78"/>
              </w:rPr>
              <w:t xml:space="preserve"> </w:t>
            </w:r>
            <w:r w:rsidRPr="002B1695">
              <w:rPr>
                <w:spacing w:val="-2"/>
                <w:w w:val="85"/>
              </w:rPr>
              <w:t>r</w:t>
            </w:r>
            <w:r w:rsidRPr="002B1695">
              <w:rPr>
                <w:w w:val="85"/>
              </w:rPr>
              <w:t>evenue</w:t>
            </w:r>
            <w:r w:rsidRPr="002B1695">
              <w:rPr>
                <w:spacing w:val="15"/>
                <w:w w:val="85"/>
              </w:rPr>
              <w:t xml:space="preserve"> </w:t>
            </w:r>
            <w:r w:rsidRPr="002B1695">
              <w:rPr>
                <w:w w:val="85"/>
              </w:rPr>
              <w:t>and</w:t>
            </w:r>
            <w:r w:rsidRPr="002B1695">
              <w:rPr>
                <w:spacing w:val="15"/>
                <w:w w:val="85"/>
              </w:rPr>
              <w:t xml:space="preserve"> </w:t>
            </w:r>
            <w:r w:rsidRPr="002B1695">
              <w:rPr>
                <w:w w:val="85"/>
              </w:rPr>
              <w:t>ca</w:t>
            </w:r>
            <w:r w:rsidRPr="002B1695">
              <w:rPr>
                <w:spacing w:val="-1"/>
                <w:w w:val="85"/>
              </w:rPr>
              <w:t>s</w:t>
            </w:r>
            <w:r w:rsidRPr="002B1695">
              <w:rPr>
                <w:w w:val="85"/>
              </w:rPr>
              <w:t>h</w:t>
            </w:r>
            <w:r w:rsidRPr="002B1695">
              <w:rPr>
                <w:spacing w:val="15"/>
                <w:w w:val="85"/>
              </w:rPr>
              <w:t xml:space="preserve"> </w:t>
            </w:r>
            <w:r w:rsidRPr="002B1695">
              <w:rPr>
                <w:w w:val="85"/>
              </w:rPr>
              <w:t>f</w:t>
            </w:r>
            <w:r w:rsidRPr="002B1695">
              <w:rPr>
                <w:spacing w:val="1"/>
                <w:w w:val="85"/>
              </w:rPr>
              <w:t>l</w:t>
            </w:r>
            <w:r w:rsidRPr="002B1695">
              <w:rPr>
                <w:w w:val="85"/>
              </w:rPr>
              <w:t>ows</w:t>
            </w:r>
            <w:r w:rsidRPr="002B1695">
              <w:rPr>
                <w:spacing w:val="16"/>
                <w:w w:val="85"/>
              </w:rPr>
              <w:t xml:space="preserve"> </w:t>
            </w:r>
            <w:r w:rsidRPr="002B1695">
              <w:rPr>
                <w:w w:val="85"/>
              </w:rPr>
              <w:t>a</w:t>
            </w:r>
            <w:r w:rsidRPr="002B1695">
              <w:rPr>
                <w:spacing w:val="1"/>
                <w:w w:val="85"/>
              </w:rPr>
              <w:t>r</w:t>
            </w:r>
            <w:r w:rsidRPr="002B1695">
              <w:rPr>
                <w:spacing w:val="-2"/>
                <w:w w:val="85"/>
              </w:rPr>
              <w:t>i</w:t>
            </w:r>
            <w:r w:rsidRPr="002B1695">
              <w:rPr>
                <w:spacing w:val="-1"/>
                <w:w w:val="85"/>
              </w:rPr>
              <w:t>s</w:t>
            </w:r>
            <w:r w:rsidRPr="002B1695">
              <w:rPr>
                <w:w w:val="85"/>
              </w:rPr>
              <w:t>ing</w:t>
            </w:r>
            <w:r w:rsidRPr="002B1695">
              <w:rPr>
                <w:spacing w:val="15"/>
                <w:w w:val="85"/>
              </w:rPr>
              <w:t xml:space="preserve"> </w:t>
            </w:r>
            <w:r w:rsidRPr="002B1695">
              <w:rPr>
                <w:spacing w:val="2"/>
                <w:w w:val="85"/>
              </w:rPr>
              <w:t>f</w:t>
            </w:r>
            <w:r w:rsidRPr="002B1695">
              <w:rPr>
                <w:spacing w:val="-2"/>
                <w:w w:val="85"/>
              </w:rPr>
              <w:t>r</w:t>
            </w:r>
            <w:r w:rsidRPr="002B1695">
              <w:rPr>
                <w:w w:val="85"/>
              </w:rPr>
              <w:t>om</w:t>
            </w:r>
            <w:r w:rsidRPr="002B1695">
              <w:rPr>
                <w:spacing w:val="15"/>
                <w:w w:val="85"/>
              </w:rPr>
              <w:t xml:space="preserve"> </w:t>
            </w:r>
            <w:r w:rsidRPr="002B1695">
              <w:rPr>
                <w:w w:val="85"/>
              </w:rPr>
              <w:t>a</w:t>
            </w:r>
            <w:r w:rsidRPr="002B1695">
              <w:rPr>
                <w:spacing w:val="15"/>
                <w:w w:val="85"/>
              </w:rPr>
              <w:t xml:space="preserve"> </w:t>
            </w:r>
            <w:r w:rsidRPr="002B1695">
              <w:rPr>
                <w:spacing w:val="-2"/>
                <w:w w:val="85"/>
              </w:rPr>
              <w:t>c</w:t>
            </w:r>
            <w:r w:rsidRPr="002B1695">
              <w:rPr>
                <w:w w:val="85"/>
              </w:rPr>
              <w:t>o</w:t>
            </w:r>
            <w:r w:rsidRPr="002B1695">
              <w:rPr>
                <w:spacing w:val="-1"/>
                <w:w w:val="85"/>
              </w:rPr>
              <w:t>n</w:t>
            </w:r>
            <w:r w:rsidRPr="002B1695">
              <w:rPr>
                <w:spacing w:val="1"/>
                <w:w w:val="85"/>
              </w:rPr>
              <w:t>t</w:t>
            </w:r>
            <w:r w:rsidRPr="002B1695">
              <w:rPr>
                <w:spacing w:val="2"/>
                <w:w w:val="85"/>
              </w:rPr>
              <w:t>r</w:t>
            </w:r>
            <w:r w:rsidRPr="002B1695">
              <w:rPr>
                <w:spacing w:val="1"/>
                <w:w w:val="85"/>
              </w:rPr>
              <w:t>a</w:t>
            </w:r>
            <w:r w:rsidRPr="002B1695">
              <w:rPr>
                <w:spacing w:val="3"/>
                <w:w w:val="85"/>
              </w:rPr>
              <w:t>c</w:t>
            </w:r>
            <w:r w:rsidRPr="002B1695">
              <w:rPr>
                <w:w w:val="85"/>
              </w:rPr>
              <w:t>t</w:t>
            </w:r>
            <w:r w:rsidRPr="002B1695">
              <w:rPr>
                <w:spacing w:val="16"/>
                <w:w w:val="85"/>
              </w:rPr>
              <w:t xml:space="preserve"> </w:t>
            </w:r>
            <w:r w:rsidRPr="002B1695">
              <w:rPr>
                <w:w w:val="85"/>
              </w:rPr>
              <w:t>w</w:t>
            </w:r>
            <w:r w:rsidRPr="002B1695">
              <w:rPr>
                <w:spacing w:val="1"/>
                <w:w w:val="85"/>
              </w:rPr>
              <w:t>i</w:t>
            </w:r>
            <w:r w:rsidRPr="002B1695">
              <w:rPr>
                <w:w w:val="85"/>
              </w:rPr>
              <w:t>th</w:t>
            </w:r>
            <w:r w:rsidRPr="002B1695">
              <w:rPr>
                <w:spacing w:val="15"/>
                <w:w w:val="85"/>
              </w:rPr>
              <w:t xml:space="preserve"> </w:t>
            </w:r>
            <w:r w:rsidRPr="002B1695">
              <w:rPr>
                <w:w w:val="85"/>
              </w:rPr>
              <w:t>a</w:t>
            </w:r>
            <w:r w:rsidRPr="002B1695">
              <w:rPr>
                <w:spacing w:val="15"/>
                <w:w w:val="85"/>
              </w:rPr>
              <w:t xml:space="preserve"> </w:t>
            </w:r>
            <w:r w:rsidRPr="002B1695">
              <w:rPr>
                <w:w w:val="85"/>
              </w:rPr>
              <w:t>c</w:t>
            </w:r>
            <w:r w:rsidRPr="002B1695">
              <w:rPr>
                <w:spacing w:val="-1"/>
                <w:w w:val="85"/>
              </w:rPr>
              <w:t>u</w:t>
            </w:r>
            <w:r w:rsidRPr="002B1695">
              <w:rPr>
                <w:spacing w:val="2"/>
                <w:w w:val="85"/>
              </w:rPr>
              <w:t>s</w:t>
            </w:r>
            <w:r w:rsidRPr="002B1695">
              <w:rPr>
                <w:spacing w:val="-2"/>
                <w:w w:val="85"/>
              </w:rPr>
              <w:t>t</w:t>
            </w:r>
            <w:r w:rsidRPr="002B1695">
              <w:rPr>
                <w:w w:val="85"/>
              </w:rPr>
              <w:t>ome</w:t>
            </w:r>
            <w:r w:rsidRPr="002B1695">
              <w:rPr>
                <w:spacing w:val="-6"/>
                <w:w w:val="85"/>
              </w:rPr>
              <w:t>r</w:t>
            </w:r>
            <w:r w:rsidRPr="002B1695">
              <w:rPr>
                <w:w w:val="85"/>
              </w:rPr>
              <w:t>.</w:t>
            </w:r>
            <w:r w:rsidRPr="002B1695">
              <w:rPr>
                <w:spacing w:val="15"/>
                <w:w w:val="85"/>
              </w:rPr>
              <w:t xml:space="preserve"> </w:t>
            </w:r>
            <w:r w:rsidRPr="002B1695">
              <w:rPr>
                <w:spacing w:val="3"/>
                <w:w w:val="85"/>
              </w:rPr>
              <w:t>T</w:t>
            </w:r>
            <w:r w:rsidRPr="002B1695">
              <w:rPr>
                <w:w w:val="85"/>
              </w:rPr>
              <w:t>he</w:t>
            </w:r>
            <w:r w:rsidRPr="002B1695">
              <w:rPr>
                <w:spacing w:val="16"/>
                <w:w w:val="85"/>
              </w:rPr>
              <w:t xml:space="preserve"> </w:t>
            </w:r>
            <w:r w:rsidRPr="002B1695">
              <w:rPr>
                <w:spacing w:val="-2"/>
                <w:w w:val="85"/>
              </w:rPr>
              <w:t>A</w:t>
            </w:r>
            <w:r w:rsidRPr="002B1695">
              <w:rPr>
                <w:w w:val="85"/>
              </w:rPr>
              <w:t>utho</w:t>
            </w:r>
            <w:r w:rsidRPr="002B1695">
              <w:rPr>
                <w:spacing w:val="1"/>
                <w:w w:val="85"/>
              </w:rPr>
              <w:t>ri</w:t>
            </w:r>
            <w:r w:rsidRPr="002B1695">
              <w:rPr>
                <w:spacing w:val="5"/>
                <w:w w:val="85"/>
              </w:rPr>
              <w:t>t</w:t>
            </w:r>
            <w:r w:rsidRPr="002B1695">
              <w:rPr>
                <w:w w:val="85"/>
              </w:rPr>
              <w:t>y</w:t>
            </w:r>
            <w:r w:rsidRPr="002B1695">
              <w:rPr>
                <w:spacing w:val="15"/>
                <w:w w:val="85"/>
              </w:rPr>
              <w:t xml:space="preserve"> </w:t>
            </w:r>
            <w:r w:rsidRPr="002B1695">
              <w:rPr>
                <w:w w:val="85"/>
              </w:rPr>
              <w:t>has</w:t>
            </w:r>
            <w:r w:rsidRPr="002B1695">
              <w:rPr>
                <w:spacing w:val="15"/>
                <w:w w:val="85"/>
              </w:rPr>
              <w:t xml:space="preserve"> </w:t>
            </w:r>
            <w:r w:rsidRPr="002B1695">
              <w:rPr>
                <w:w w:val="85"/>
              </w:rPr>
              <w:t>n</w:t>
            </w:r>
            <w:r w:rsidRPr="002B1695">
              <w:rPr>
                <w:spacing w:val="-1"/>
                <w:w w:val="85"/>
              </w:rPr>
              <w:t>o</w:t>
            </w:r>
            <w:r w:rsidRPr="002B1695">
              <w:rPr>
                <w:w w:val="85"/>
              </w:rPr>
              <w:t>t</w:t>
            </w:r>
            <w:r w:rsidRPr="002B1695">
              <w:rPr>
                <w:spacing w:val="15"/>
                <w:w w:val="85"/>
              </w:rPr>
              <w:t xml:space="preserve"> </w:t>
            </w:r>
            <w:r w:rsidRPr="002B1695">
              <w:rPr>
                <w:w w:val="85"/>
              </w:rPr>
              <w:t>yet</w:t>
            </w:r>
            <w:r w:rsidRPr="002B1695">
              <w:rPr>
                <w:spacing w:val="16"/>
                <w:w w:val="85"/>
              </w:rPr>
              <w:t xml:space="preserve"> </w:t>
            </w:r>
            <w:r w:rsidRPr="002B1695">
              <w:rPr>
                <w:w w:val="85"/>
              </w:rPr>
              <w:t>de</w:t>
            </w:r>
            <w:r w:rsidRPr="002B1695">
              <w:rPr>
                <w:spacing w:val="-2"/>
                <w:w w:val="85"/>
              </w:rPr>
              <w:t>t</w:t>
            </w:r>
            <w:r w:rsidRPr="002B1695">
              <w:rPr>
                <w:w w:val="85"/>
              </w:rPr>
              <w:t>e</w:t>
            </w:r>
            <w:r w:rsidRPr="002B1695">
              <w:rPr>
                <w:spacing w:val="1"/>
                <w:w w:val="85"/>
              </w:rPr>
              <w:t>r</w:t>
            </w:r>
            <w:r w:rsidRPr="002B1695">
              <w:rPr>
                <w:w w:val="85"/>
              </w:rPr>
              <w:t>min</w:t>
            </w:r>
            <w:r w:rsidRPr="002B1695">
              <w:rPr>
                <w:spacing w:val="1"/>
                <w:w w:val="85"/>
              </w:rPr>
              <w:t>e</w:t>
            </w:r>
            <w:r w:rsidRPr="002B1695">
              <w:rPr>
                <w:w w:val="85"/>
              </w:rPr>
              <w:t>d</w:t>
            </w:r>
            <w:r w:rsidRPr="002B1695">
              <w:rPr>
                <w:spacing w:val="15"/>
                <w:w w:val="85"/>
              </w:rPr>
              <w:t xml:space="preserve"> </w:t>
            </w:r>
            <w:r w:rsidRPr="002B1695">
              <w:rPr>
                <w:w w:val="85"/>
              </w:rPr>
              <w:t>the</w:t>
            </w:r>
            <w:r w:rsidRPr="002B1695">
              <w:rPr>
                <w:spacing w:val="15"/>
                <w:w w:val="85"/>
              </w:rPr>
              <w:t xml:space="preserve"> </w:t>
            </w:r>
            <w:r w:rsidRPr="002B1695">
              <w:rPr>
                <w:w w:val="85"/>
              </w:rPr>
              <w:t>applic</w:t>
            </w:r>
            <w:r w:rsidRPr="002B1695">
              <w:rPr>
                <w:spacing w:val="-1"/>
                <w:w w:val="85"/>
              </w:rPr>
              <w:t>a</w:t>
            </w:r>
            <w:r w:rsidRPr="002B1695">
              <w:rPr>
                <w:w w:val="85"/>
              </w:rPr>
              <w:t>tion</w:t>
            </w:r>
            <w:r w:rsidRPr="002B1695">
              <w:rPr>
                <w:spacing w:val="15"/>
                <w:w w:val="85"/>
              </w:rPr>
              <w:t xml:space="preserve"> </w:t>
            </w:r>
            <w:r w:rsidRPr="002B1695">
              <w:rPr>
                <w:w w:val="85"/>
              </w:rPr>
              <w:t>or</w:t>
            </w:r>
            <w:r w:rsidRPr="002B1695">
              <w:rPr>
                <w:spacing w:val="16"/>
                <w:w w:val="85"/>
              </w:rPr>
              <w:t xml:space="preserve"> </w:t>
            </w:r>
            <w:r w:rsidRPr="002B1695">
              <w:rPr>
                <w:w w:val="85"/>
              </w:rPr>
              <w:t>the</w:t>
            </w:r>
            <w:r w:rsidRPr="002B1695">
              <w:rPr>
                <w:spacing w:val="15"/>
                <w:w w:val="85"/>
              </w:rPr>
              <w:t xml:space="preserve"> </w:t>
            </w:r>
            <w:r w:rsidRPr="002B1695">
              <w:rPr>
                <w:spacing w:val="1"/>
                <w:w w:val="85"/>
              </w:rPr>
              <w:t>p</w:t>
            </w:r>
            <w:r w:rsidRPr="002B1695">
              <w:rPr>
                <w:spacing w:val="-1"/>
                <w:w w:val="85"/>
              </w:rPr>
              <w:t>o</w:t>
            </w:r>
            <w:r w:rsidRPr="002B1695">
              <w:rPr>
                <w:spacing w:val="-2"/>
                <w:w w:val="85"/>
              </w:rPr>
              <w:t>t</w:t>
            </w:r>
            <w:r w:rsidRPr="002B1695">
              <w:rPr>
                <w:w w:val="85"/>
              </w:rPr>
              <w:t>e</w:t>
            </w:r>
            <w:r w:rsidRPr="002B1695">
              <w:rPr>
                <w:spacing w:val="-1"/>
                <w:w w:val="85"/>
              </w:rPr>
              <w:t>n</w:t>
            </w:r>
            <w:r w:rsidRPr="002B1695">
              <w:rPr>
                <w:w w:val="85"/>
              </w:rPr>
              <w:t>tial</w:t>
            </w:r>
            <w:r w:rsidRPr="002B1695">
              <w:rPr>
                <w:spacing w:val="15"/>
                <w:w w:val="85"/>
              </w:rPr>
              <w:t xml:space="preserve"> </w:t>
            </w:r>
            <w:r w:rsidRPr="002B1695">
              <w:rPr>
                <w:w w:val="85"/>
              </w:rPr>
              <w:t>imp</w:t>
            </w:r>
            <w:r w:rsidRPr="002B1695">
              <w:rPr>
                <w:spacing w:val="1"/>
                <w:w w:val="85"/>
              </w:rPr>
              <w:t>a</w:t>
            </w:r>
            <w:r w:rsidRPr="002B1695">
              <w:rPr>
                <w:spacing w:val="3"/>
                <w:w w:val="85"/>
              </w:rPr>
              <w:t>c</w:t>
            </w:r>
            <w:r w:rsidRPr="002B1695">
              <w:rPr>
                <w:w w:val="85"/>
              </w:rPr>
              <w:t>t</w:t>
            </w:r>
            <w:r w:rsidRPr="002B1695">
              <w:rPr>
                <w:spacing w:val="15"/>
                <w:w w:val="85"/>
              </w:rPr>
              <w:t xml:space="preserve"> </w:t>
            </w:r>
            <w:r w:rsidRPr="002B1695">
              <w:rPr>
                <w:w w:val="85"/>
              </w:rPr>
              <w:t>of</w:t>
            </w:r>
            <w:r w:rsidRPr="002B1695">
              <w:rPr>
                <w:spacing w:val="16"/>
                <w:w w:val="85"/>
              </w:rPr>
              <w:t xml:space="preserve"> </w:t>
            </w:r>
            <w:r w:rsidRPr="002B1695">
              <w:rPr>
                <w:w w:val="85"/>
              </w:rPr>
              <w:t>the</w:t>
            </w:r>
            <w:r w:rsidRPr="002B1695">
              <w:rPr>
                <w:spacing w:val="15"/>
                <w:w w:val="85"/>
              </w:rPr>
              <w:t xml:space="preserve"> </w:t>
            </w:r>
            <w:r w:rsidRPr="002B1695">
              <w:rPr>
                <w:spacing w:val="-2"/>
                <w:w w:val="85"/>
              </w:rPr>
              <w:t>S</w:t>
            </w:r>
            <w:r w:rsidRPr="002B1695">
              <w:rPr>
                <w:spacing w:val="1"/>
                <w:w w:val="85"/>
              </w:rPr>
              <w:t>t</w:t>
            </w:r>
            <w:r w:rsidRPr="002B1695">
              <w:rPr>
                <w:w w:val="85"/>
              </w:rPr>
              <w:t>anda</w:t>
            </w:r>
            <w:r w:rsidRPr="002B1695">
              <w:rPr>
                <w:spacing w:val="-2"/>
                <w:w w:val="85"/>
              </w:rPr>
              <w:t>r</w:t>
            </w:r>
            <w:r w:rsidRPr="002B1695">
              <w:rPr>
                <w:w w:val="85"/>
              </w:rPr>
              <w:t>d.</w:t>
            </w:r>
          </w:p>
        </w:tc>
        <w:tc>
          <w:tcPr>
            <w:tcW w:w="1559" w:type="dxa"/>
            <w:tcBorders>
              <w:top w:val="single" w:sz="4" w:space="0" w:color="99B0AB"/>
              <w:left w:val="single" w:sz="4" w:space="0" w:color="99B0AB"/>
              <w:bottom w:val="single" w:sz="4" w:space="0" w:color="99B0AB"/>
              <w:right w:val="single" w:sz="4" w:space="0" w:color="99B0AB"/>
            </w:tcBorders>
          </w:tcPr>
          <w:p w14:paraId="1161C6DF" w14:textId="77777777" w:rsidR="00A16123" w:rsidRPr="00BC0F34" w:rsidRDefault="00A16123" w:rsidP="00A16123">
            <w:pPr>
              <w:rPr>
                <w:rFonts w:cs="Arial"/>
              </w:rPr>
            </w:pPr>
            <w:r w:rsidRPr="00BC0F34">
              <w:t>1 Jan 2017</w:t>
            </w:r>
          </w:p>
        </w:tc>
      </w:tr>
      <w:tr w:rsidR="00A16123" w:rsidRPr="002B1695" w14:paraId="0F625B0F" w14:textId="77777777" w:rsidTr="00B2782F">
        <w:trPr>
          <w:trHeight w:hRule="exact" w:val="4267"/>
        </w:trPr>
        <w:tc>
          <w:tcPr>
            <w:tcW w:w="1729" w:type="dxa"/>
            <w:tcBorders>
              <w:top w:val="single" w:sz="4" w:space="0" w:color="99B0AB"/>
              <w:left w:val="single" w:sz="4" w:space="0" w:color="99B0AB"/>
              <w:bottom w:val="single" w:sz="4" w:space="0" w:color="99B0AB"/>
              <w:right w:val="nil"/>
            </w:tcBorders>
            <w:shd w:val="clear" w:color="auto" w:fill="B6C6C2"/>
          </w:tcPr>
          <w:p w14:paraId="64DC0B56" w14:textId="77777777" w:rsidR="00A16123" w:rsidRPr="002B1695" w:rsidRDefault="00A16123" w:rsidP="00B2782F">
            <w:r w:rsidRPr="002B1695">
              <w:lastRenderedPageBreak/>
              <w:t>AASB 2010-7</w:t>
            </w:r>
          </w:p>
        </w:tc>
        <w:tc>
          <w:tcPr>
            <w:tcW w:w="6214" w:type="dxa"/>
            <w:tcBorders>
              <w:top w:val="single" w:sz="4" w:space="0" w:color="99B0AB"/>
              <w:left w:val="nil"/>
              <w:bottom w:val="single" w:sz="4" w:space="0" w:color="99B0AB"/>
              <w:right w:val="single" w:sz="4" w:space="0" w:color="99B0AB"/>
            </w:tcBorders>
          </w:tcPr>
          <w:p w14:paraId="20F930AE" w14:textId="7CD14205" w:rsidR="00A16123" w:rsidRPr="00594E69" w:rsidRDefault="00A16123" w:rsidP="00594E69">
            <w:pPr>
              <w:rPr>
                <w:b/>
                <w:i/>
                <w:color w:val="000000"/>
              </w:rPr>
            </w:pPr>
            <w:r w:rsidRPr="00594E69">
              <w:rPr>
                <w:b/>
                <w:i/>
                <w:w w:val="95"/>
              </w:rPr>
              <w:t>Amendments</w:t>
            </w:r>
            <w:r w:rsidRPr="00594E69">
              <w:rPr>
                <w:b/>
                <w:i/>
                <w:spacing w:val="4"/>
                <w:w w:val="95"/>
              </w:rPr>
              <w:t xml:space="preserve"> </w:t>
            </w:r>
            <w:r w:rsidRPr="00594E69">
              <w:rPr>
                <w:b/>
                <w:i/>
                <w:w w:val="95"/>
              </w:rPr>
              <w:t>to</w:t>
            </w:r>
            <w:r w:rsidRPr="00594E69">
              <w:rPr>
                <w:b/>
                <w:i/>
                <w:spacing w:val="5"/>
                <w:w w:val="95"/>
              </w:rPr>
              <w:t xml:space="preserve"> </w:t>
            </w:r>
            <w:r w:rsidRPr="00594E69">
              <w:rPr>
                <w:b/>
                <w:i/>
                <w:w w:val="95"/>
              </w:rPr>
              <w:t>Australian</w:t>
            </w:r>
            <w:r w:rsidRPr="00594E69">
              <w:rPr>
                <w:b/>
                <w:i/>
                <w:spacing w:val="5"/>
                <w:w w:val="95"/>
              </w:rPr>
              <w:t xml:space="preserve"> </w:t>
            </w:r>
            <w:r w:rsidRPr="00594E69">
              <w:rPr>
                <w:b/>
                <w:i/>
                <w:w w:val="95"/>
              </w:rPr>
              <w:t>Accounting</w:t>
            </w:r>
            <w:r w:rsidRPr="00594E69">
              <w:rPr>
                <w:b/>
                <w:i/>
                <w:spacing w:val="5"/>
                <w:w w:val="95"/>
              </w:rPr>
              <w:t xml:space="preserve"> </w:t>
            </w:r>
            <w:r w:rsidRPr="00594E69">
              <w:rPr>
                <w:b/>
                <w:i/>
                <w:w w:val="95"/>
              </w:rPr>
              <w:t>Standar</w:t>
            </w:r>
            <w:r w:rsidRPr="00594E69">
              <w:rPr>
                <w:b/>
                <w:i/>
                <w:spacing w:val="2"/>
                <w:w w:val="95"/>
              </w:rPr>
              <w:t>d</w:t>
            </w:r>
            <w:r w:rsidRPr="00594E69">
              <w:rPr>
                <w:b/>
                <w:i/>
                <w:w w:val="95"/>
              </w:rPr>
              <w:t>s</w:t>
            </w:r>
            <w:r w:rsidRPr="00594E69">
              <w:rPr>
                <w:b/>
                <w:i/>
                <w:spacing w:val="5"/>
                <w:w w:val="95"/>
              </w:rPr>
              <w:t xml:space="preserve"> </w:t>
            </w:r>
            <w:r w:rsidRPr="00594E69">
              <w:rPr>
                <w:b/>
                <w:i/>
                <w:w w:val="95"/>
              </w:rPr>
              <w:t>arising</w:t>
            </w:r>
            <w:r w:rsidRPr="00594E69">
              <w:rPr>
                <w:b/>
                <w:i/>
                <w:spacing w:val="5"/>
                <w:w w:val="95"/>
              </w:rPr>
              <w:t xml:space="preserve"> </w:t>
            </w:r>
            <w:r w:rsidRPr="00594E69">
              <w:rPr>
                <w:b/>
                <w:i/>
                <w:w w:val="95"/>
              </w:rPr>
              <w:t>from</w:t>
            </w:r>
            <w:r w:rsidRPr="00594E69">
              <w:rPr>
                <w:b/>
                <w:i/>
                <w:spacing w:val="5"/>
                <w:w w:val="95"/>
              </w:rPr>
              <w:t xml:space="preserve"> </w:t>
            </w:r>
            <w:r w:rsidRPr="00594E69">
              <w:rPr>
                <w:b/>
                <w:i/>
                <w:spacing w:val="4"/>
                <w:w w:val="95"/>
              </w:rPr>
              <w:t>A</w:t>
            </w:r>
            <w:r w:rsidRPr="00594E69">
              <w:rPr>
                <w:b/>
                <w:i/>
                <w:w w:val="95"/>
              </w:rPr>
              <w:t>ASB</w:t>
            </w:r>
            <w:r w:rsidRPr="00594E69">
              <w:rPr>
                <w:b/>
                <w:i/>
                <w:spacing w:val="5"/>
                <w:w w:val="95"/>
              </w:rPr>
              <w:t xml:space="preserve"> </w:t>
            </w:r>
            <w:r w:rsidRPr="00594E69">
              <w:rPr>
                <w:b/>
                <w:i/>
                <w:w w:val="95"/>
              </w:rPr>
              <w:t>9</w:t>
            </w:r>
            <w:r w:rsidRPr="00594E69">
              <w:rPr>
                <w:b/>
                <w:i/>
                <w:spacing w:val="5"/>
                <w:w w:val="95"/>
              </w:rPr>
              <w:t xml:space="preserve"> </w:t>
            </w:r>
            <w:r w:rsidRPr="00594E69">
              <w:rPr>
                <w:b/>
                <w:i/>
                <w:w w:val="95"/>
              </w:rPr>
              <w:t>(</w:t>
            </w:r>
            <w:r w:rsidRPr="00594E69">
              <w:rPr>
                <w:b/>
                <w:i/>
                <w:spacing w:val="2"/>
                <w:w w:val="95"/>
              </w:rPr>
              <w:t>D</w:t>
            </w:r>
            <w:r w:rsidRPr="00594E69">
              <w:rPr>
                <w:b/>
                <w:i/>
                <w:w w:val="95"/>
              </w:rPr>
              <w:t>ecember</w:t>
            </w:r>
            <w:r w:rsidRPr="00594E69">
              <w:rPr>
                <w:b/>
                <w:i/>
                <w:spacing w:val="5"/>
                <w:w w:val="95"/>
              </w:rPr>
              <w:t xml:space="preserve"> </w:t>
            </w:r>
            <w:r w:rsidRPr="00594E69">
              <w:rPr>
                <w:b/>
                <w:i/>
                <w:w w:val="95"/>
              </w:rPr>
              <w:t>2</w:t>
            </w:r>
            <w:r w:rsidRPr="00594E69">
              <w:rPr>
                <w:b/>
                <w:i/>
                <w:spacing w:val="-5"/>
                <w:w w:val="95"/>
              </w:rPr>
              <w:t>01</w:t>
            </w:r>
            <w:r w:rsidRPr="00594E69">
              <w:rPr>
                <w:b/>
                <w:i/>
                <w:spacing w:val="-1"/>
                <w:w w:val="95"/>
              </w:rPr>
              <w:t>0</w:t>
            </w:r>
            <w:r w:rsidRPr="00594E69">
              <w:rPr>
                <w:b/>
                <w:i/>
                <w:w w:val="95"/>
              </w:rPr>
              <w:t>)</w:t>
            </w:r>
            <w:r w:rsidRPr="00594E69">
              <w:rPr>
                <w:b/>
                <w:i/>
                <w:spacing w:val="5"/>
                <w:w w:val="95"/>
              </w:rPr>
              <w:t xml:space="preserve"> </w:t>
            </w:r>
            <w:r w:rsidRPr="00594E69">
              <w:rPr>
                <w:b/>
                <w:i/>
                <w:spacing w:val="-5"/>
                <w:w w:val="95"/>
              </w:rPr>
              <w:t>[</w:t>
            </w:r>
            <w:r w:rsidRPr="00594E69">
              <w:rPr>
                <w:b/>
                <w:i/>
                <w:spacing w:val="4"/>
                <w:w w:val="95"/>
              </w:rPr>
              <w:t>A</w:t>
            </w:r>
            <w:r w:rsidRPr="00594E69">
              <w:rPr>
                <w:b/>
                <w:i/>
                <w:w w:val="95"/>
              </w:rPr>
              <w:t>ASB</w:t>
            </w:r>
            <w:r w:rsidRPr="00594E69">
              <w:rPr>
                <w:b/>
                <w:i/>
                <w:spacing w:val="5"/>
                <w:w w:val="95"/>
              </w:rPr>
              <w:t xml:space="preserve"> </w:t>
            </w:r>
            <w:r w:rsidRPr="00594E69">
              <w:rPr>
                <w:b/>
                <w:i/>
                <w:spacing w:val="-4"/>
                <w:w w:val="95"/>
              </w:rPr>
              <w:t>1</w:t>
            </w:r>
            <w:r w:rsidRPr="00594E69">
              <w:rPr>
                <w:b/>
                <w:i/>
                <w:w w:val="95"/>
              </w:rPr>
              <w:t>,</w:t>
            </w:r>
            <w:r w:rsidRPr="00594E69">
              <w:rPr>
                <w:b/>
                <w:i/>
                <w:spacing w:val="5"/>
                <w:w w:val="95"/>
              </w:rPr>
              <w:t xml:space="preserve"> </w:t>
            </w:r>
            <w:r w:rsidRPr="00594E69">
              <w:rPr>
                <w:b/>
                <w:i/>
                <w:w w:val="95"/>
              </w:rPr>
              <w:t>3,</w:t>
            </w:r>
            <w:r w:rsidRPr="00594E69">
              <w:rPr>
                <w:b/>
                <w:i/>
                <w:spacing w:val="5"/>
                <w:w w:val="95"/>
              </w:rPr>
              <w:t xml:space="preserve"> </w:t>
            </w:r>
            <w:r w:rsidRPr="00594E69">
              <w:rPr>
                <w:b/>
                <w:i/>
                <w:spacing w:val="3"/>
                <w:w w:val="95"/>
              </w:rPr>
              <w:t>4</w:t>
            </w:r>
            <w:r w:rsidRPr="00594E69">
              <w:rPr>
                <w:b/>
                <w:i/>
                <w:w w:val="95"/>
              </w:rPr>
              <w:t>,</w:t>
            </w:r>
            <w:r w:rsidRPr="00594E69">
              <w:rPr>
                <w:b/>
                <w:i/>
                <w:spacing w:val="4"/>
                <w:w w:val="95"/>
              </w:rPr>
              <w:t xml:space="preserve"> </w:t>
            </w:r>
            <w:r w:rsidRPr="00594E69">
              <w:rPr>
                <w:b/>
                <w:i/>
                <w:w w:val="95"/>
              </w:rPr>
              <w:t>5,</w:t>
            </w:r>
            <w:r w:rsidRPr="00594E69">
              <w:rPr>
                <w:b/>
                <w:i/>
                <w:spacing w:val="5"/>
                <w:w w:val="95"/>
              </w:rPr>
              <w:t xml:space="preserve"> </w:t>
            </w:r>
            <w:r w:rsidRPr="00594E69">
              <w:rPr>
                <w:b/>
                <w:i/>
                <w:spacing w:val="-11"/>
                <w:w w:val="95"/>
              </w:rPr>
              <w:t>7</w:t>
            </w:r>
            <w:r w:rsidRPr="00594E69">
              <w:rPr>
                <w:b/>
                <w:i/>
                <w:w w:val="95"/>
              </w:rPr>
              <w:t>,</w:t>
            </w:r>
            <w:r w:rsidRPr="00594E69">
              <w:rPr>
                <w:b/>
                <w:i/>
                <w:spacing w:val="5"/>
                <w:w w:val="95"/>
              </w:rPr>
              <w:t xml:space="preserve"> </w:t>
            </w:r>
            <w:r w:rsidRPr="00594E69">
              <w:rPr>
                <w:b/>
                <w:i/>
                <w:spacing w:val="-5"/>
                <w:w w:val="95"/>
              </w:rPr>
              <w:t>10</w:t>
            </w:r>
            <w:r w:rsidRPr="00594E69">
              <w:rPr>
                <w:b/>
                <w:i/>
                <w:spacing w:val="-4"/>
                <w:w w:val="95"/>
              </w:rPr>
              <w:t>1</w:t>
            </w:r>
            <w:r w:rsidRPr="00594E69">
              <w:rPr>
                <w:b/>
                <w:i/>
                <w:w w:val="95"/>
              </w:rPr>
              <w:t>,</w:t>
            </w:r>
            <w:r w:rsidRPr="00594E69">
              <w:rPr>
                <w:b/>
                <w:i/>
                <w:spacing w:val="5"/>
                <w:w w:val="95"/>
              </w:rPr>
              <w:t xml:space="preserve"> </w:t>
            </w:r>
            <w:r w:rsidRPr="00594E69">
              <w:rPr>
                <w:b/>
                <w:i/>
                <w:spacing w:val="-5"/>
                <w:w w:val="95"/>
              </w:rPr>
              <w:t>1</w:t>
            </w:r>
            <w:r w:rsidRPr="00594E69">
              <w:rPr>
                <w:b/>
                <w:i/>
                <w:spacing w:val="-1"/>
                <w:w w:val="95"/>
              </w:rPr>
              <w:t>0</w:t>
            </w:r>
            <w:r w:rsidRPr="00594E69">
              <w:rPr>
                <w:b/>
                <w:i/>
                <w:spacing w:val="2"/>
                <w:w w:val="95"/>
              </w:rPr>
              <w:t>2</w:t>
            </w:r>
            <w:r w:rsidRPr="00594E69">
              <w:rPr>
                <w:b/>
                <w:i/>
                <w:w w:val="95"/>
              </w:rPr>
              <w:t>,</w:t>
            </w:r>
            <w:r w:rsidRPr="00594E69">
              <w:rPr>
                <w:b/>
                <w:i/>
                <w:spacing w:val="5"/>
                <w:w w:val="95"/>
              </w:rPr>
              <w:t xml:space="preserve"> </w:t>
            </w:r>
            <w:r w:rsidRPr="00594E69">
              <w:rPr>
                <w:b/>
                <w:i/>
                <w:spacing w:val="-5"/>
                <w:w w:val="95"/>
              </w:rPr>
              <w:t>1</w:t>
            </w:r>
            <w:r w:rsidRPr="00594E69">
              <w:rPr>
                <w:b/>
                <w:i/>
                <w:spacing w:val="2"/>
                <w:w w:val="95"/>
              </w:rPr>
              <w:t>0</w:t>
            </w:r>
            <w:r w:rsidRPr="00594E69">
              <w:rPr>
                <w:b/>
                <w:i/>
                <w:spacing w:val="3"/>
                <w:w w:val="95"/>
              </w:rPr>
              <w:t>8</w:t>
            </w:r>
            <w:r w:rsidRPr="00594E69">
              <w:rPr>
                <w:b/>
                <w:i/>
                <w:w w:val="95"/>
              </w:rPr>
              <w:t>,</w:t>
            </w:r>
            <w:r w:rsidRPr="00594E69">
              <w:rPr>
                <w:b/>
                <w:i/>
                <w:spacing w:val="5"/>
                <w:w w:val="95"/>
              </w:rPr>
              <w:t xml:space="preserve"> </w:t>
            </w:r>
            <w:r w:rsidRPr="00594E69">
              <w:rPr>
                <w:b/>
                <w:i/>
                <w:spacing w:val="-12"/>
                <w:w w:val="95"/>
              </w:rPr>
              <w:t>1</w:t>
            </w:r>
            <w:r w:rsidRPr="00594E69">
              <w:rPr>
                <w:b/>
                <w:i/>
                <w:spacing w:val="-8"/>
                <w:w w:val="95"/>
              </w:rPr>
              <w:t>1</w:t>
            </w:r>
            <w:r w:rsidRPr="00594E69">
              <w:rPr>
                <w:b/>
                <w:i/>
                <w:spacing w:val="2"/>
                <w:w w:val="95"/>
              </w:rPr>
              <w:t>2</w:t>
            </w:r>
            <w:r w:rsidRPr="00594E69">
              <w:rPr>
                <w:b/>
                <w:i/>
                <w:w w:val="95"/>
              </w:rPr>
              <w:t>,</w:t>
            </w:r>
            <w:r w:rsidRPr="00594E69">
              <w:rPr>
                <w:b/>
                <w:i/>
                <w:spacing w:val="5"/>
                <w:w w:val="95"/>
              </w:rPr>
              <w:t xml:space="preserve"> </w:t>
            </w:r>
            <w:r w:rsidRPr="00594E69">
              <w:rPr>
                <w:b/>
                <w:i/>
                <w:spacing w:val="-12"/>
                <w:w w:val="95"/>
              </w:rPr>
              <w:t>1</w:t>
            </w:r>
            <w:r w:rsidRPr="00594E69">
              <w:rPr>
                <w:b/>
                <w:i/>
                <w:spacing w:val="-5"/>
                <w:w w:val="95"/>
              </w:rPr>
              <w:t>1</w:t>
            </w:r>
            <w:r w:rsidRPr="00594E69">
              <w:rPr>
                <w:b/>
                <w:i/>
                <w:spacing w:val="3"/>
                <w:w w:val="95"/>
              </w:rPr>
              <w:t>8</w:t>
            </w:r>
            <w:r w:rsidRPr="00594E69">
              <w:rPr>
                <w:b/>
                <w:i/>
                <w:w w:val="95"/>
              </w:rPr>
              <w:t>,</w:t>
            </w:r>
            <w:r w:rsidRPr="00594E69">
              <w:rPr>
                <w:b/>
                <w:i/>
                <w:spacing w:val="5"/>
                <w:w w:val="95"/>
              </w:rPr>
              <w:t xml:space="preserve"> </w:t>
            </w:r>
            <w:r w:rsidRPr="00594E69">
              <w:rPr>
                <w:b/>
                <w:i/>
                <w:spacing w:val="-8"/>
                <w:w w:val="95"/>
              </w:rPr>
              <w:t>1</w:t>
            </w:r>
            <w:r w:rsidRPr="00594E69">
              <w:rPr>
                <w:b/>
                <w:i/>
                <w:w w:val="95"/>
              </w:rPr>
              <w:t>20,</w:t>
            </w:r>
            <w:r w:rsidRPr="00594E69">
              <w:rPr>
                <w:b/>
                <w:i/>
                <w:spacing w:val="5"/>
                <w:w w:val="95"/>
              </w:rPr>
              <w:t xml:space="preserve"> </w:t>
            </w:r>
            <w:r w:rsidRPr="00594E69">
              <w:rPr>
                <w:b/>
                <w:i/>
                <w:spacing w:val="-8"/>
                <w:w w:val="95"/>
              </w:rPr>
              <w:t>1</w:t>
            </w:r>
            <w:r w:rsidRPr="00594E69">
              <w:rPr>
                <w:b/>
                <w:i/>
                <w:spacing w:val="-6"/>
                <w:w w:val="95"/>
              </w:rPr>
              <w:t>2</w:t>
            </w:r>
            <w:r w:rsidRPr="00594E69">
              <w:rPr>
                <w:b/>
                <w:i/>
                <w:spacing w:val="-4"/>
                <w:w w:val="95"/>
              </w:rPr>
              <w:t>1</w:t>
            </w:r>
            <w:r w:rsidRPr="00594E69">
              <w:rPr>
                <w:b/>
                <w:i/>
                <w:w w:val="95"/>
              </w:rPr>
              <w:t>,</w:t>
            </w:r>
            <w:r w:rsidRPr="00594E69">
              <w:rPr>
                <w:b/>
                <w:i/>
                <w:spacing w:val="5"/>
                <w:w w:val="95"/>
              </w:rPr>
              <w:t xml:space="preserve"> </w:t>
            </w:r>
            <w:r w:rsidRPr="00594E69">
              <w:rPr>
                <w:b/>
                <w:i/>
                <w:spacing w:val="-8"/>
                <w:w w:val="95"/>
              </w:rPr>
              <w:t>1</w:t>
            </w:r>
            <w:r w:rsidRPr="00594E69">
              <w:rPr>
                <w:b/>
                <w:i/>
                <w:spacing w:val="-3"/>
                <w:w w:val="95"/>
              </w:rPr>
              <w:t>2</w:t>
            </w:r>
            <w:r w:rsidRPr="00594E69">
              <w:rPr>
                <w:b/>
                <w:i/>
                <w:spacing w:val="-11"/>
                <w:w w:val="95"/>
              </w:rPr>
              <w:t>7</w:t>
            </w:r>
            <w:r w:rsidRPr="00594E69">
              <w:rPr>
                <w:b/>
                <w:i/>
                <w:w w:val="95"/>
              </w:rPr>
              <w:t>,</w:t>
            </w:r>
            <w:r w:rsidRPr="00594E69">
              <w:rPr>
                <w:b/>
                <w:i/>
                <w:spacing w:val="5"/>
                <w:w w:val="95"/>
              </w:rPr>
              <w:t xml:space="preserve"> </w:t>
            </w:r>
            <w:r w:rsidRPr="00594E69">
              <w:rPr>
                <w:b/>
                <w:i/>
                <w:spacing w:val="-8"/>
                <w:w w:val="95"/>
              </w:rPr>
              <w:t>1</w:t>
            </w:r>
            <w:r w:rsidRPr="00594E69">
              <w:rPr>
                <w:b/>
                <w:i/>
                <w:w w:val="95"/>
              </w:rPr>
              <w:t>2</w:t>
            </w:r>
            <w:r w:rsidRPr="00594E69">
              <w:rPr>
                <w:b/>
                <w:i/>
                <w:spacing w:val="3"/>
                <w:w w:val="95"/>
              </w:rPr>
              <w:t>8</w:t>
            </w:r>
            <w:r w:rsidRPr="00594E69">
              <w:rPr>
                <w:b/>
                <w:i/>
                <w:w w:val="95"/>
              </w:rPr>
              <w:t>,</w:t>
            </w:r>
            <w:r w:rsidRPr="00594E69">
              <w:rPr>
                <w:b/>
                <w:i/>
                <w:spacing w:val="5"/>
                <w:w w:val="95"/>
              </w:rPr>
              <w:t xml:space="preserve"> </w:t>
            </w:r>
            <w:r w:rsidRPr="00594E69">
              <w:rPr>
                <w:b/>
                <w:i/>
                <w:spacing w:val="-8"/>
                <w:w w:val="95"/>
              </w:rPr>
              <w:t>1</w:t>
            </w:r>
            <w:r w:rsidRPr="00594E69">
              <w:rPr>
                <w:b/>
                <w:i/>
                <w:spacing w:val="-7"/>
                <w:w w:val="95"/>
              </w:rPr>
              <w:t>3</w:t>
            </w:r>
            <w:r w:rsidRPr="00594E69">
              <w:rPr>
                <w:b/>
                <w:i/>
                <w:spacing w:val="-4"/>
                <w:w w:val="95"/>
              </w:rPr>
              <w:t>1</w:t>
            </w:r>
            <w:r w:rsidRPr="00594E69">
              <w:rPr>
                <w:b/>
                <w:i/>
                <w:w w:val="95"/>
              </w:rPr>
              <w:t>,</w:t>
            </w:r>
            <w:r w:rsidRPr="00594E69">
              <w:rPr>
                <w:b/>
                <w:i/>
                <w:spacing w:val="5"/>
                <w:w w:val="95"/>
              </w:rPr>
              <w:t xml:space="preserve"> </w:t>
            </w:r>
            <w:r w:rsidRPr="00594E69">
              <w:rPr>
                <w:b/>
                <w:i/>
                <w:spacing w:val="-8"/>
                <w:w w:val="95"/>
              </w:rPr>
              <w:t>1</w:t>
            </w:r>
            <w:r w:rsidRPr="00594E69">
              <w:rPr>
                <w:b/>
                <w:i/>
                <w:spacing w:val="-1"/>
                <w:w w:val="95"/>
              </w:rPr>
              <w:t>3</w:t>
            </w:r>
            <w:r w:rsidRPr="00594E69">
              <w:rPr>
                <w:b/>
                <w:i/>
                <w:spacing w:val="2"/>
                <w:w w:val="95"/>
              </w:rPr>
              <w:t>2</w:t>
            </w:r>
            <w:r w:rsidRPr="00594E69">
              <w:rPr>
                <w:b/>
                <w:i/>
                <w:w w:val="95"/>
              </w:rPr>
              <w:t>,</w:t>
            </w:r>
            <w:r w:rsidRPr="00594E69">
              <w:rPr>
                <w:b/>
                <w:i/>
                <w:spacing w:val="5"/>
                <w:w w:val="95"/>
              </w:rPr>
              <w:t xml:space="preserve"> </w:t>
            </w:r>
            <w:r w:rsidRPr="00594E69">
              <w:rPr>
                <w:b/>
                <w:i/>
                <w:spacing w:val="-8"/>
                <w:w w:val="95"/>
              </w:rPr>
              <w:t>1</w:t>
            </w:r>
            <w:r w:rsidRPr="00594E69">
              <w:rPr>
                <w:b/>
                <w:i/>
                <w:w w:val="95"/>
              </w:rPr>
              <w:t>3</w:t>
            </w:r>
            <w:r w:rsidRPr="00594E69">
              <w:rPr>
                <w:b/>
                <w:i/>
                <w:spacing w:val="3"/>
                <w:w w:val="95"/>
              </w:rPr>
              <w:t>6</w:t>
            </w:r>
            <w:r w:rsidRPr="00594E69">
              <w:rPr>
                <w:b/>
                <w:i/>
                <w:w w:val="95"/>
              </w:rPr>
              <w:t>,</w:t>
            </w:r>
            <w:r w:rsidRPr="00594E69">
              <w:rPr>
                <w:b/>
                <w:i/>
                <w:spacing w:val="5"/>
                <w:w w:val="95"/>
              </w:rPr>
              <w:t xml:space="preserve"> </w:t>
            </w:r>
            <w:r w:rsidRPr="00594E69">
              <w:rPr>
                <w:b/>
                <w:i/>
                <w:spacing w:val="-8"/>
                <w:w w:val="95"/>
              </w:rPr>
              <w:t>1</w:t>
            </w:r>
            <w:r w:rsidRPr="00594E69">
              <w:rPr>
                <w:b/>
                <w:i/>
                <w:spacing w:val="-3"/>
                <w:w w:val="95"/>
              </w:rPr>
              <w:t>3</w:t>
            </w:r>
            <w:r w:rsidRPr="00594E69">
              <w:rPr>
                <w:b/>
                <w:i/>
                <w:spacing w:val="-11"/>
                <w:w w:val="95"/>
              </w:rPr>
              <w:t>7</w:t>
            </w:r>
            <w:r w:rsidRPr="00594E69">
              <w:rPr>
                <w:b/>
                <w:i/>
                <w:w w:val="95"/>
              </w:rPr>
              <w:t>,</w:t>
            </w:r>
            <w:r w:rsidRPr="00594E69">
              <w:rPr>
                <w:b/>
                <w:i/>
                <w:spacing w:val="4"/>
                <w:w w:val="95"/>
              </w:rPr>
              <w:t xml:space="preserve"> </w:t>
            </w:r>
            <w:r w:rsidRPr="00594E69">
              <w:rPr>
                <w:b/>
                <w:i/>
                <w:spacing w:val="-8"/>
                <w:w w:val="95"/>
              </w:rPr>
              <w:t>1</w:t>
            </w:r>
            <w:r w:rsidRPr="00594E69">
              <w:rPr>
                <w:b/>
                <w:i/>
                <w:w w:val="95"/>
              </w:rPr>
              <w:t>39,</w:t>
            </w:r>
            <w:r w:rsidR="00B2782F" w:rsidRPr="00594E69">
              <w:rPr>
                <w:b/>
                <w:i/>
                <w:color w:val="000000"/>
              </w:rPr>
              <w:t xml:space="preserve"> </w:t>
            </w:r>
            <w:r w:rsidRPr="00594E69">
              <w:rPr>
                <w:b/>
                <w:i/>
                <w:spacing w:val="-5"/>
                <w:w w:val="95"/>
              </w:rPr>
              <w:t>1</w:t>
            </w:r>
            <w:r w:rsidRPr="00594E69">
              <w:rPr>
                <w:b/>
                <w:i/>
                <w:spacing w:val="-1"/>
                <w:w w:val="95"/>
              </w:rPr>
              <w:t>02</w:t>
            </w:r>
            <w:r w:rsidRPr="00594E69">
              <w:rPr>
                <w:b/>
                <w:i/>
                <w:w w:val="95"/>
              </w:rPr>
              <w:t>3</w:t>
            </w:r>
            <w:r w:rsidRPr="00594E69">
              <w:rPr>
                <w:b/>
                <w:i/>
                <w:spacing w:val="2"/>
                <w:w w:val="95"/>
              </w:rPr>
              <w:t xml:space="preserve"> </w:t>
            </w:r>
            <w:r w:rsidRPr="00594E69">
              <w:rPr>
                <w:b/>
                <w:i/>
                <w:w w:val="95"/>
              </w:rPr>
              <w:t>&amp;</w:t>
            </w:r>
            <w:r w:rsidRPr="00594E69">
              <w:rPr>
                <w:b/>
                <w:i/>
                <w:spacing w:val="3"/>
                <w:w w:val="95"/>
              </w:rPr>
              <w:t xml:space="preserve"> </w:t>
            </w:r>
            <w:r w:rsidRPr="00594E69">
              <w:rPr>
                <w:b/>
                <w:i/>
                <w:spacing w:val="-5"/>
                <w:w w:val="95"/>
              </w:rPr>
              <w:t>1</w:t>
            </w:r>
            <w:r w:rsidRPr="00594E69">
              <w:rPr>
                <w:b/>
                <w:i/>
                <w:w w:val="95"/>
              </w:rPr>
              <w:t>038</w:t>
            </w:r>
            <w:r w:rsidRPr="00594E69">
              <w:rPr>
                <w:b/>
                <w:i/>
                <w:spacing w:val="2"/>
                <w:w w:val="95"/>
              </w:rPr>
              <w:t xml:space="preserve"> </w:t>
            </w:r>
            <w:r w:rsidRPr="00594E69">
              <w:rPr>
                <w:b/>
                <w:i/>
                <w:w w:val="95"/>
              </w:rPr>
              <w:t>and</w:t>
            </w:r>
            <w:r w:rsidRPr="00594E69">
              <w:rPr>
                <w:b/>
                <w:i/>
                <w:spacing w:val="3"/>
                <w:w w:val="95"/>
              </w:rPr>
              <w:t xml:space="preserve"> </w:t>
            </w:r>
            <w:r w:rsidRPr="00594E69">
              <w:rPr>
                <w:b/>
                <w:i/>
                <w:w w:val="95"/>
              </w:rPr>
              <w:t>Int</w:t>
            </w:r>
            <w:r w:rsidRPr="00594E69">
              <w:rPr>
                <w:b/>
                <w:i/>
                <w:spacing w:val="3"/>
                <w:w w:val="95"/>
              </w:rPr>
              <w:t xml:space="preserve"> </w:t>
            </w:r>
            <w:r w:rsidRPr="00594E69">
              <w:rPr>
                <w:b/>
                <w:i/>
                <w:spacing w:val="2"/>
                <w:w w:val="95"/>
              </w:rPr>
              <w:t>2</w:t>
            </w:r>
            <w:r w:rsidRPr="00594E69">
              <w:rPr>
                <w:b/>
                <w:i/>
                <w:w w:val="95"/>
              </w:rPr>
              <w:t>,</w:t>
            </w:r>
            <w:r w:rsidRPr="00594E69">
              <w:rPr>
                <w:b/>
                <w:i/>
                <w:spacing w:val="2"/>
                <w:w w:val="95"/>
              </w:rPr>
              <w:t xml:space="preserve"> </w:t>
            </w:r>
            <w:r w:rsidRPr="00594E69">
              <w:rPr>
                <w:b/>
                <w:i/>
                <w:w w:val="95"/>
              </w:rPr>
              <w:t>5</w:t>
            </w:r>
            <w:r w:rsidRPr="00594E69">
              <w:rPr>
                <w:b/>
                <w:i/>
                <w:spacing w:val="-9"/>
                <w:w w:val="95"/>
              </w:rPr>
              <w:t>,</w:t>
            </w:r>
            <w:r w:rsidR="00AF7854" w:rsidRPr="00594E69">
              <w:rPr>
                <w:b/>
                <w:i/>
                <w:spacing w:val="-9"/>
                <w:w w:val="95"/>
              </w:rPr>
              <w:t xml:space="preserve"> </w:t>
            </w:r>
            <w:r w:rsidRPr="00594E69">
              <w:rPr>
                <w:b/>
                <w:i/>
                <w:spacing w:val="-5"/>
                <w:w w:val="95"/>
              </w:rPr>
              <w:t>1</w:t>
            </w:r>
            <w:r w:rsidRPr="00594E69">
              <w:rPr>
                <w:b/>
                <w:i/>
                <w:w w:val="95"/>
              </w:rPr>
              <w:t>0,</w:t>
            </w:r>
            <w:r w:rsidRPr="00594E69">
              <w:rPr>
                <w:b/>
                <w:i/>
                <w:spacing w:val="3"/>
                <w:w w:val="95"/>
              </w:rPr>
              <w:t xml:space="preserve"> </w:t>
            </w:r>
            <w:r w:rsidRPr="00594E69">
              <w:rPr>
                <w:b/>
                <w:i/>
                <w:spacing w:val="-8"/>
                <w:w w:val="95"/>
              </w:rPr>
              <w:t>1</w:t>
            </w:r>
            <w:r w:rsidRPr="00594E69">
              <w:rPr>
                <w:b/>
                <w:i/>
                <w:spacing w:val="2"/>
                <w:w w:val="95"/>
              </w:rPr>
              <w:t>2</w:t>
            </w:r>
            <w:r w:rsidRPr="00594E69">
              <w:rPr>
                <w:b/>
                <w:i/>
                <w:w w:val="95"/>
              </w:rPr>
              <w:t>,</w:t>
            </w:r>
            <w:r w:rsidRPr="00594E69">
              <w:rPr>
                <w:b/>
                <w:i/>
                <w:spacing w:val="2"/>
                <w:w w:val="95"/>
              </w:rPr>
              <w:t xml:space="preserve"> </w:t>
            </w:r>
            <w:r w:rsidRPr="00594E69">
              <w:rPr>
                <w:b/>
                <w:i/>
                <w:spacing w:val="-6"/>
                <w:w w:val="95"/>
              </w:rPr>
              <w:t>1</w:t>
            </w:r>
            <w:r w:rsidRPr="00594E69">
              <w:rPr>
                <w:b/>
                <w:i/>
                <w:w w:val="95"/>
              </w:rPr>
              <w:t>9</w:t>
            </w:r>
            <w:r w:rsidRPr="00594E69">
              <w:rPr>
                <w:b/>
                <w:i/>
                <w:spacing w:val="3"/>
                <w:w w:val="95"/>
              </w:rPr>
              <w:t xml:space="preserve"> </w:t>
            </w:r>
            <w:r w:rsidRPr="00594E69">
              <w:rPr>
                <w:b/>
                <w:i/>
                <w:w w:val="95"/>
              </w:rPr>
              <w:t>&amp;</w:t>
            </w:r>
            <w:r w:rsidRPr="00594E69">
              <w:rPr>
                <w:b/>
                <w:i/>
                <w:spacing w:val="3"/>
                <w:w w:val="95"/>
              </w:rPr>
              <w:t xml:space="preserve"> </w:t>
            </w:r>
            <w:r w:rsidRPr="00594E69">
              <w:rPr>
                <w:b/>
                <w:i/>
                <w:spacing w:val="-8"/>
                <w:w w:val="95"/>
              </w:rPr>
              <w:t>1</w:t>
            </w:r>
            <w:r w:rsidRPr="00594E69">
              <w:rPr>
                <w:b/>
                <w:i/>
                <w:spacing w:val="-3"/>
                <w:w w:val="95"/>
              </w:rPr>
              <w:t>2</w:t>
            </w:r>
            <w:r w:rsidRPr="00594E69">
              <w:rPr>
                <w:b/>
                <w:i/>
                <w:w w:val="95"/>
              </w:rPr>
              <w:t>7]</w:t>
            </w:r>
          </w:p>
          <w:p w14:paraId="68B46D35" w14:textId="516CE876" w:rsidR="00A16123" w:rsidRPr="002B1695" w:rsidRDefault="00A16123" w:rsidP="00594E69">
            <w:pPr>
              <w:rPr>
                <w:rFonts w:ascii="Myriad Pro Light" w:hAnsi="Myriad Pro Light" w:cs="Myriad Pro Light"/>
                <w:color w:val="000000"/>
                <w:sz w:val="16"/>
                <w:szCs w:val="16"/>
              </w:rPr>
            </w:pPr>
            <w:r w:rsidRPr="00B2782F">
              <w:t>This Standard makes consequential amendments to other Australian Accounting Standards and Interpretations as a result of issuing AASB 9 in December 2010</w:t>
            </w:r>
            <w:r w:rsidRPr="002B1695">
              <w:rPr>
                <w:rFonts w:ascii="Myriad Pro Light" w:hAnsi="Myriad Pro Light" w:cs="Myriad Pro Light"/>
                <w:color w:val="231F20"/>
                <w:w w:val="85"/>
                <w:sz w:val="16"/>
                <w:szCs w:val="16"/>
              </w:rPr>
              <w:t>.</w:t>
            </w:r>
          </w:p>
          <w:p w14:paraId="474422F9" w14:textId="6B9B5408" w:rsidR="00A16123" w:rsidRPr="00B2782F" w:rsidRDefault="00A16123" w:rsidP="00594E69">
            <w:pPr>
              <w:rPr>
                <w:color w:val="000000"/>
              </w:rPr>
            </w:pPr>
            <w:r w:rsidRPr="00B2782F">
              <w:t>The mandatory application date of this Standard has been amended by AASB 2012-6 and AASB 2014-1 to 1 January 2018. The Authority has not yet determined the application or the</w:t>
            </w:r>
            <w:r w:rsidR="00B2782F" w:rsidRPr="00B2782F">
              <w:t xml:space="preserve"> </w:t>
            </w:r>
            <w:r w:rsidRPr="00B2782F">
              <w:t>potential impact of the Standard</w:t>
            </w:r>
            <w:r w:rsidRPr="002B1695">
              <w:rPr>
                <w:w w:val="85"/>
              </w:rPr>
              <w:t>.</w:t>
            </w:r>
          </w:p>
        </w:tc>
        <w:tc>
          <w:tcPr>
            <w:tcW w:w="1559" w:type="dxa"/>
            <w:tcBorders>
              <w:top w:val="single" w:sz="4" w:space="0" w:color="99B0AB"/>
              <w:left w:val="single" w:sz="4" w:space="0" w:color="99B0AB"/>
              <w:bottom w:val="single" w:sz="4" w:space="0" w:color="99B0AB"/>
              <w:right w:val="single" w:sz="4" w:space="0" w:color="99B0AB"/>
            </w:tcBorders>
          </w:tcPr>
          <w:p w14:paraId="1BFE8C8A" w14:textId="77777777" w:rsidR="00A16123" w:rsidRPr="00BC0F34" w:rsidRDefault="00A16123" w:rsidP="00B2782F">
            <w:pPr>
              <w:rPr>
                <w:rFonts w:cs="Arial"/>
              </w:rPr>
            </w:pPr>
            <w:r w:rsidRPr="00BC0F34">
              <w:rPr>
                <w:rFonts w:cs="Arial"/>
                <w:w w:val="85"/>
              </w:rPr>
              <w:t>1</w:t>
            </w:r>
            <w:r w:rsidRPr="00BC0F34">
              <w:rPr>
                <w:rFonts w:cs="Arial"/>
                <w:spacing w:val="11"/>
                <w:w w:val="85"/>
              </w:rPr>
              <w:t xml:space="preserve"> </w:t>
            </w:r>
            <w:r w:rsidRPr="00BC0F34">
              <w:rPr>
                <w:rFonts w:cs="Arial"/>
                <w:w w:val="85"/>
              </w:rPr>
              <w:t>Jan</w:t>
            </w:r>
            <w:r w:rsidRPr="00BC0F34">
              <w:rPr>
                <w:rFonts w:cs="Arial"/>
                <w:spacing w:val="11"/>
                <w:w w:val="85"/>
              </w:rPr>
              <w:t xml:space="preserve"> </w:t>
            </w:r>
            <w:r w:rsidRPr="00BC0F34">
              <w:rPr>
                <w:rFonts w:cs="Arial"/>
                <w:spacing w:val="-2"/>
                <w:w w:val="85"/>
              </w:rPr>
              <w:t>2</w:t>
            </w:r>
            <w:r w:rsidRPr="00BC0F34">
              <w:rPr>
                <w:rFonts w:cs="Arial"/>
                <w:spacing w:val="-7"/>
                <w:w w:val="85"/>
              </w:rPr>
              <w:t>0</w:t>
            </w:r>
            <w:r w:rsidRPr="00BC0F34">
              <w:rPr>
                <w:rFonts w:cs="Arial"/>
                <w:spacing w:val="-8"/>
                <w:w w:val="85"/>
              </w:rPr>
              <w:t>1</w:t>
            </w:r>
            <w:r w:rsidRPr="00BC0F34">
              <w:rPr>
                <w:rFonts w:cs="Arial"/>
                <w:w w:val="85"/>
              </w:rPr>
              <w:t>8</w:t>
            </w:r>
          </w:p>
        </w:tc>
      </w:tr>
      <w:tr w:rsidR="00A16123" w:rsidRPr="002B1695" w14:paraId="32DD473C" w14:textId="77777777" w:rsidTr="00B97F48">
        <w:trPr>
          <w:trHeight w:hRule="exact" w:val="2824"/>
        </w:trPr>
        <w:tc>
          <w:tcPr>
            <w:tcW w:w="1729" w:type="dxa"/>
            <w:tcBorders>
              <w:top w:val="single" w:sz="4" w:space="0" w:color="99B0AB"/>
              <w:left w:val="single" w:sz="4" w:space="0" w:color="99B0AB"/>
              <w:bottom w:val="single" w:sz="4" w:space="0" w:color="99B0AB"/>
              <w:right w:val="nil"/>
            </w:tcBorders>
            <w:shd w:val="clear" w:color="auto" w:fill="B6C6C2"/>
          </w:tcPr>
          <w:p w14:paraId="619244A8" w14:textId="77777777" w:rsidR="00A16123" w:rsidRPr="002B1695" w:rsidRDefault="00A16123" w:rsidP="00B2782F">
            <w:r>
              <w:t>AASB 2013-9</w:t>
            </w:r>
          </w:p>
        </w:tc>
        <w:tc>
          <w:tcPr>
            <w:tcW w:w="6214" w:type="dxa"/>
            <w:tcBorders>
              <w:top w:val="single" w:sz="4" w:space="0" w:color="99B0AB"/>
              <w:left w:val="nil"/>
              <w:bottom w:val="single" w:sz="4" w:space="0" w:color="99B0AB"/>
              <w:right w:val="single" w:sz="4" w:space="0" w:color="99B0AB"/>
            </w:tcBorders>
          </w:tcPr>
          <w:p w14:paraId="4360C92F" w14:textId="77777777" w:rsidR="00A16123" w:rsidRPr="00594E69" w:rsidRDefault="00A16123" w:rsidP="00594E69">
            <w:pPr>
              <w:rPr>
                <w:b/>
                <w:i/>
                <w:w w:val="95"/>
              </w:rPr>
            </w:pPr>
            <w:r w:rsidRPr="00594E69">
              <w:rPr>
                <w:b/>
                <w:i/>
              </w:rPr>
              <w:t>Amendments to Australian Accounting Standards Conceptual Framework, Materiality and Financial</w:t>
            </w:r>
          </w:p>
          <w:p w14:paraId="34A7EA15" w14:textId="77777777" w:rsidR="00A16123" w:rsidRPr="002B1695" w:rsidRDefault="00A16123" w:rsidP="00594E69">
            <w:pPr>
              <w:rPr>
                <w:w w:val="95"/>
              </w:rPr>
            </w:pPr>
            <w:r w:rsidRPr="00B2782F">
              <w:t>Part C of this omnibus Standard defers the application of AASB 9 to 1 January 2017. The application date of AASB 9 was subsequently deferred to 1 January 2018 by AASB 2014-1. The Authority has not yet determined the application or the potential impact of AASB 9.</w:t>
            </w:r>
          </w:p>
        </w:tc>
        <w:tc>
          <w:tcPr>
            <w:tcW w:w="1559" w:type="dxa"/>
            <w:tcBorders>
              <w:top w:val="single" w:sz="4" w:space="0" w:color="99B0AB"/>
              <w:left w:val="single" w:sz="4" w:space="0" w:color="99B0AB"/>
              <w:bottom w:val="single" w:sz="4" w:space="0" w:color="99B0AB"/>
              <w:right w:val="single" w:sz="4" w:space="0" w:color="99B0AB"/>
            </w:tcBorders>
          </w:tcPr>
          <w:p w14:paraId="28CBF0B0" w14:textId="77777777" w:rsidR="00A16123" w:rsidRPr="00BC0F34" w:rsidRDefault="00A16123" w:rsidP="00B2782F">
            <w:pPr>
              <w:rPr>
                <w:rFonts w:cs="Arial"/>
                <w:w w:val="85"/>
              </w:rPr>
            </w:pPr>
            <w:r w:rsidRPr="00BC0F34">
              <w:rPr>
                <w:rFonts w:cs="Arial"/>
                <w:w w:val="85"/>
              </w:rPr>
              <w:t>1 Jan 2015</w:t>
            </w:r>
          </w:p>
        </w:tc>
      </w:tr>
      <w:tr w:rsidR="00A16123" w:rsidRPr="002B1695" w14:paraId="5BAF6F5D" w14:textId="77777777" w:rsidTr="005F4DA5">
        <w:trPr>
          <w:trHeight w:hRule="exact" w:val="2128"/>
        </w:trPr>
        <w:tc>
          <w:tcPr>
            <w:tcW w:w="1729" w:type="dxa"/>
            <w:tcBorders>
              <w:top w:val="single" w:sz="4" w:space="0" w:color="99B0AB"/>
              <w:left w:val="single" w:sz="4" w:space="0" w:color="99B0AB"/>
              <w:bottom w:val="single" w:sz="4" w:space="0" w:color="99B0AB"/>
              <w:right w:val="nil"/>
            </w:tcBorders>
            <w:shd w:val="clear" w:color="auto" w:fill="B6C6C2"/>
          </w:tcPr>
          <w:p w14:paraId="6E02A495" w14:textId="77777777" w:rsidR="00A16123" w:rsidRPr="002B1695" w:rsidRDefault="00A16123" w:rsidP="005F4DA5">
            <w:r>
              <w:t>AASB 2014-1</w:t>
            </w:r>
          </w:p>
        </w:tc>
        <w:tc>
          <w:tcPr>
            <w:tcW w:w="6214" w:type="dxa"/>
            <w:tcBorders>
              <w:top w:val="single" w:sz="4" w:space="0" w:color="99B0AB"/>
              <w:left w:val="nil"/>
              <w:bottom w:val="single" w:sz="4" w:space="0" w:color="99B0AB"/>
              <w:right w:val="single" w:sz="4" w:space="0" w:color="99B0AB"/>
            </w:tcBorders>
          </w:tcPr>
          <w:p w14:paraId="61BC5703" w14:textId="7EAF0B7D" w:rsidR="00A16123" w:rsidRPr="00594E69" w:rsidRDefault="00A16123" w:rsidP="00594E69">
            <w:pPr>
              <w:rPr>
                <w:b/>
                <w:i/>
                <w:w w:val="95"/>
              </w:rPr>
            </w:pPr>
            <w:r w:rsidRPr="00594E69">
              <w:rPr>
                <w:b/>
                <w:i/>
              </w:rPr>
              <w:t>Amendments to Australian Accounting</w:t>
            </w:r>
            <w:r w:rsidRPr="00594E69">
              <w:rPr>
                <w:b/>
                <w:i/>
                <w:w w:val="95"/>
              </w:rPr>
              <w:t xml:space="preserve"> </w:t>
            </w:r>
            <w:r w:rsidRPr="00594E69">
              <w:rPr>
                <w:b/>
                <w:i/>
              </w:rPr>
              <w:t>Standards</w:t>
            </w:r>
          </w:p>
          <w:p w14:paraId="1162E622" w14:textId="77777777" w:rsidR="00A16123" w:rsidRPr="002B1695" w:rsidRDefault="00A16123" w:rsidP="00594E69">
            <w:pPr>
              <w:rPr>
                <w:w w:val="95"/>
              </w:rPr>
            </w:pPr>
            <w:r w:rsidRPr="005F4DA5">
              <w:t>Part E of this Standard makes amendments to AASB 9 and consequential amendments to other Standards. It has not yet been assessed by the Authority to determine the application or potential impact of the Standard</w:t>
            </w:r>
            <w:r w:rsidRPr="002B1695">
              <w:rPr>
                <w:w w:val="95"/>
              </w:rPr>
              <w:t>.</w:t>
            </w:r>
          </w:p>
        </w:tc>
        <w:tc>
          <w:tcPr>
            <w:tcW w:w="1559" w:type="dxa"/>
            <w:tcBorders>
              <w:top w:val="single" w:sz="4" w:space="0" w:color="99B0AB"/>
              <w:left w:val="single" w:sz="4" w:space="0" w:color="99B0AB"/>
              <w:bottom w:val="single" w:sz="4" w:space="0" w:color="99B0AB"/>
              <w:right w:val="single" w:sz="4" w:space="0" w:color="99B0AB"/>
            </w:tcBorders>
          </w:tcPr>
          <w:p w14:paraId="1A236A3D" w14:textId="77777777" w:rsidR="00A16123" w:rsidRPr="00BC0F34" w:rsidRDefault="00A16123" w:rsidP="005F4DA5">
            <w:pPr>
              <w:rPr>
                <w:rFonts w:cs="Arial"/>
                <w:w w:val="85"/>
              </w:rPr>
            </w:pPr>
            <w:r w:rsidRPr="00BC0F34">
              <w:rPr>
                <w:rFonts w:cs="Arial"/>
                <w:w w:val="85"/>
              </w:rPr>
              <w:t>1 Jan 2015</w:t>
            </w:r>
          </w:p>
        </w:tc>
      </w:tr>
      <w:tr w:rsidR="00A16123" w:rsidRPr="002B1695" w14:paraId="53414049" w14:textId="77777777" w:rsidTr="005F4DA5">
        <w:trPr>
          <w:trHeight w:hRule="exact" w:val="3250"/>
        </w:trPr>
        <w:tc>
          <w:tcPr>
            <w:tcW w:w="1729" w:type="dxa"/>
            <w:tcBorders>
              <w:top w:val="single" w:sz="4" w:space="0" w:color="99B0AB"/>
              <w:left w:val="single" w:sz="4" w:space="0" w:color="99B0AB"/>
              <w:bottom w:val="single" w:sz="4" w:space="0" w:color="99B0AB"/>
              <w:right w:val="nil"/>
            </w:tcBorders>
            <w:shd w:val="clear" w:color="auto" w:fill="B6C6C2"/>
          </w:tcPr>
          <w:p w14:paraId="74502E61" w14:textId="77777777" w:rsidR="00A16123" w:rsidRPr="002B1695" w:rsidRDefault="00A16123" w:rsidP="005F4DA5">
            <w:r>
              <w:t>AASB 2014-3</w:t>
            </w:r>
          </w:p>
        </w:tc>
        <w:tc>
          <w:tcPr>
            <w:tcW w:w="6214" w:type="dxa"/>
            <w:tcBorders>
              <w:top w:val="single" w:sz="4" w:space="0" w:color="99B0AB"/>
              <w:left w:val="nil"/>
              <w:bottom w:val="single" w:sz="4" w:space="0" w:color="99B0AB"/>
              <w:right w:val="single" w:sz="4" w:space="0" w:color="99B0AB"/>
            </w:tcBorders>
          </w:tcPr>
          <w:p w14:paraId="57A3EAA6" w14:textId="0C505375" w:rsidR="00A16123" w:rsidRPr="00594E69" w:rsidRDefault="00A16123" w:rsidP="00594E69">
            <w:pPr>
              <w:rPr>
                <w:b/>
                <w:i/>
                <w:w w:val="95"/>
              </w:rPr>
            </w:pPr>
            <w:r w:rsidRPr="00594E69">
              <w:rPr>
                <w:b/>
                <w:i/>
              </w:rPr>
              <w:t>Consolidated Financial</w:t>
            </w:r>
            <w:r w:rsidRPr="00594E69">
              <w:rPr>
                <w:b/>
                <w:i/>
                <w:w w:val="95"/>
              </w:rPr>
              <w:t xml:space="preserve"> </w:t>
            </w:r>
            <w:r w:rsidRPr="00594E69">
              <w:rPr>
                <w:b/>
                <w:i/>
              </w:rPr>
              <w:t>Statements</w:t>
            </w:r>
            <w:r w:rsidR="00594E69">
              <w:rPr>
                <w:b/>
                <w:i/>
                <w:w w:val="95"/>
              </w:rPr>
              <w:t xml:space="preserve"> </w:t>
            </w:r>
            <w:r w:rsidRPr="00594E69">
              <w:rPr>
                <w:b/>
                <w:i/>
              </w:rPr>
              <w:t>Amendments to Australian Accounting Standards –</w:t>
            </w:r>
            <w:r w:rsidR="001827C6">
              <w:rPr>
                <w:b/>
                <w:i/>
              </w:rPr>
              <w:t xml:space="preserve"> </w:t>
            </w:r>
            <w:r w:rsidRPr="00594E69">
              <w:rPr>
                <w:b/>
                <w:i/>
              </w:rPr>
              <w:t>Accounting for Acquisitions of Interests in Joint Operations [AASB 1 &amp; 11</w:t>
            </w:r>
            <w:r w:rsidRPr="00594E69">
              <w:rPr>
                <w:b/>
                <w:i/>
                <w:w w:val="95"/>
              </w:rPr>
              <w:t>]</w:t>
            </w:r>
          </w:p>
          <w:p w14:paraId="7F443628" w14:textId="797129E6" w:rsidR="00A16123" w:rsidRPr="002B1695" w:rsidRDefault="00A16123" w:rsidP="00594E69">
            <w:pPr>
              <w:rPr>
                <w:rFonts w:ascii="Myriad Pro" w:hAnsi="Myriad Pro" w:cs="Myriad Pro"/>
                <w:b/>
                <w:bCs/>
                <w:i/>
                <w:iCs/>
                <w:color w:val="231F20"/>
                <w:spacing w:val="1"/>
                <w:w w:val="95"/>
                <w:sz w:val="16"/>
                <w:szCs w:val="16"/>
              </w:rPr>
            </w:pPr>
            <w:r w:rsidRPr="005F4DA5">
              <w:t>The Authority does not establish Joint Operations in pursuit of its objectives and does not routinely acquire interests in Joint Operations. Therefore, there is no financial impact on</w:t>
            </w:r>
            <w:r w:rsidR="005F4DA5" w:rsidRPr="005F4DA5">
              <w:t xml:space="preserve"> </w:t>
            </w:r>
            <w:r w:rsidRPr="005F4DA5">
              <w:t>application of the Standard</w:t>
            </w:r>
            <w:r w:rsidRPr="002B1695">
              <w:rPr>
                <w:rFonts w:ascii="Myriad Pro" w:hAnsi="Myriad Pro" w:cs="Myriad Pro"/>
                <w:b/>
                <w:bCs/>
                <w:i/>
                <w:iCs/>
                <w:color w:val="231F20"/>
                <w:spacing w:val="1"/>
                <w:w w:val="95"/>
                <w:sz w:val="16"/>
                <w:szCs w:val="16"/>
              </w:rPr>
              <w:t>.</w:t>
            </w:r>
          </w:p>
        </w:tc>
        <w:tc>
          <w:tcPr>
            <w:tcW w:w="1559" w:type="dxa"/>
            <w:tcBorders>
              <w:top w:val="single" w:sz="4" w:space="0" w:color="99B0AB"/>
              <w:left w:val="single" w:sz="4" w:space="0" w:color="99B0AB"/>
              <w:bottom w:val="single" w:sz="4" w:space="0" w:color="99B0AB"/>
              <w:right w:val="single" w:sz="4" w:space="0" w:color="99B0AB"/>
            </w:tcBorders>
          </w:tcPr>
          <w:p w14:paraId="76DE8FD8" w14:textId="77777777" w:rsidR="00A16123" w:rsidRPr="00BC0F34" w:rsidRDefault="00A16123" w:rsidP="005F4DA5">
            <w:pPr>
              <w:rPr>
                <w:rFonts w:cs="Arial"/>
                <w:w w:val="85"/>
              </w:rPr>
            </w:pPr>
            <w:r w:rsidRPr="00BC0F34">
              <w:rPr>
                <w:rFonts w:cs="Arial"/>
                <w:w w:val="85"/>
              </w:rPr>
              <w:t>1 Jan 2016</w:t>
            </w:r>
          </w:p>
        </w:tc>
      </w:tr>
      <w:tr w:rsidR="00A16123" w:rsidRPr="002B1695" w14:paraId="1B83E11E" w14:textId="77777777" w:rsidTr="0082696E">
        <w:trPr>
          <w:trHeight w:hRule="exact" w:val="2849"/>
        </w:trPr>
        <w:tc>
          <w:tcPr>
            <w:tcW w:w="1729" w:type="dxa"/>
            <w:tcBorders>
              <w:top w:val="single" w:sz="4" w:space="0" w:color="99B0AB"/>
              <w:left w:val="single" w:sz="4" w:space="0" w:color="99B0AB"/>
              <w:bottom w:val="single" w:sz="4" w:space="0" w:color="99B0AB"/>
              <w:right w:val="nil"/>
            </w:tcBorders>
            <w:shd w:val="clear" w:color="auto" w:fill="B6C6C2"/>
          </w:tcPr>
          <w:p w14:paraId="094C233D" w14:textId="77777777" w:rsidR="00A16123" w:rsidRPr="002B1695" w:rsidRDefault="00A16123" w:rsidP="0082696E">
            <w:r>
              <w:lastRenderedPageBreak/>
              <w:t>AASB 2014-4</w:t>
            </w:r>
          </w:p>
        </w:tc>
        <w:tc>
          <w:tcPr>
            <w:tcW w:w="6214" w:type="dxa"/>
            <w:tcBorders>
              <w:top w:val="single" w:sz="4" w:space="0" w:color="99B0AB"/>
              <w:left w:val="nil"/>
              <w:bottom w:val="single" w:sz="4" w:space="0" w:color="99B0AB"/>
              <w:right w:val="single" w:sz="4" w:space="0" w:color="99B0AB"/>
            </w:tcBorders>
          </w:tcPr>
          <w:p w14:paraId="5023EECF" w14:textId="00E96B49" w:rsidR="00A16123" w:rsidRPr="00594E69" w:rsidRDefault="00A16123" w:rsidP="00594E69">
            <w:pPr>
              <w:rPr>
                <w:rFonts w:ascii="Myriad Pro" w:hAnsi="Myriad Pro" w:cs="Myriad Pro"/>
                <w:b/>
                <w:bCs/>
                <w:i/>
                <w:iCs/>
                <w:color w:val="231F20"/>
                <w:spacing w:val="1"/>
                <w:w w:val="95"/>
                <w:sz w:val="16"/>
                <w:szCs w:val="16"/>
              </w:rPr>
            </w:pPr>
            <w:r w:rsidRPr="00594E69">
              <w:rPr>
                <w:b/>
                <w:i/>
              </w:rPr>
              <w:t>Amendments to Australian Accounting Standards – Clarification of Acceptable Methods of Depreciation and Amortisation [AASB 116 &amp; 138]</w:t>
            </w:r>
          </w:p>
          <w:p w14:paraId="0D8D52B8" w14:textId="010C46F4" w:rsidR="00A16123" w:rsidRPr="002B1695" w:rsidRDefault="00A16123" w:rsidP="00594E69">
            <w:pPr>
              <w:rPr>
                <w:w w:val="95"/>
              </w:rPr>
            </w:pPr>
            <w:r w:rsidRPr="0082696E">
              <w:t>The adoption of this Standard has no financial impact for the Authority as depreciation and amortisation is not determined by reference to revenue generation, but by reference to cons</w:t>
            </w:r>
            <w:r w:rsidR="0082696E">
              <w:t>umption</w:t>
            </w:r>
            <w:r w:rsidR="00594E69">
              <w:t xml:space="preserve"> of future economic </w:t>
            </w:r>
            <w:r w:rsidRPr="0082696E">
              <w:t>benefits.</w:t>
            </w:r>
          </w:p>
        </w:tc>
        <w:tc>
          <w:tcPr>
            <w:tcW w:w="1559" w:type="dxa"/>
            <w:tcBorders>
              <w:top w:val="single" w:sz="4" w:space="0" w:color="99B0AB"/>
              <w:left w:val="single" w:sz="4" w:space="0" w:color="99B0AB"/>
              <w:bottom w:val="single" w:sz="4" w:space="0" w:color="99B0AB"/>
              <w:right w:val="single" w:sz="4" w:space="0" w:color="99B0AB"/>
            </w:tcBorders>
          </w:tcPr>
          <w:p w14:paraId="01AB1651" w14:textId="77777777" w:rsidR="00A16123" w:rsidRPr="00BC0F34" w:rsidRDefault="00A16123" w:rsidP="0082696E">
            <w:pPr>
              <w:rPr>
                <w:rFonts w:cs="Arial"/>
                <w:w w:val="85"/>
              </w:rPr>
            </w:pPr>
            <w:r w:rsidRPr="00BC0F34">
              <w:rPr>
                <w:rFonts w:cs="Arial"/>
                <w:w w:val="85"/>
              </w:rPr>
              <w:t>1 Jan 2016</w:t>
            </w:r>
          </w:p>
        </w:tc>
      </w:tr>
      <w:tr w:rsidR="00A16123" w:rsidRPr="002B1695" w14:paraId="79CA2242" w14:textId="77777777" w:rsidTr="007B0835">
        <w:trPr>
          <w:trHeight w:hRule="exact" w:val="2832"/>
        </w:trPr>
        <w:tc>
          <w:tcPr>
            <w:tcW w:w="1729" w:type="dxa"/>
            <w:tcBorders>
              <w:top w:val="single" w:sz="4" w:space="0" w:color="99B0AB"/>
              <w:left w:val="single" w:sz="4" w:space="0" w:color="99B0AB"/>
              <w:bottom w:val="single" w:sz="4" w:space="0" w:color="99B0AB"/>
              <w:right w:val="nil"/>
            </w:tcBorders>
            <w:shd w:val="clear" w:color="auto" w:fill="B6C6C2"/>
          </w:tcPr>
          <w:p w14:paraId="2D5FFE83" w14:textId="77777777" w:rsidR="00A16123" w:rsidRPr="002B1695" w:rsidRDefault="00A16123" w:rsidP="007B0835">
            <w:r>
              <w:t>AASB 2014-5</w:t>
            </w:r>
          </w:p>
        </w:tc>
        <w:tc>
          <w:tcPr>
            <w:tcW w:w="6214" w:type="dxa"/>
            <w:tcBorders>
              <w:top w:val="single" w:sz="4" w:space="0" w:color="99B0AB"/>
              <w:left w:val="nil"/>
              <w:bottom w:val="single" w:sz="4" w:space="0" w:color="99B0AB"/>
              <w:right w:val="single" w:sz="4" w:space="0" w:color="99B0AB"/>
            </w:tcBorders>
          </w:tcPr>
          <w:p w14:paraId="49836576" w14:textId="6B219742" w:rsidR="00A16123" w:rsidRPr="00594E69" w:rsidRDefault="00A16123" w:rsidP="0051296D">
            <w:pPr>
              <w:rPr>
                <w:rFonts w:ascii="Myriad Pro" w:hAnsi="Myriad Pro" w:cs="Myriad Pro"/>
                <w:b/>
                <w:bCs/>
                <w:i/>
                <w:iCs/>
                <w:color w:val="231F20"/>
                <w:spacing w:val="1"/>
                <w:w w:val="95"/>
                <w:sz w:val="16"/>
                <w:szCs w:val="16"/>
              </w:rPr>
            </w:pPr>
            <w:r w:rsidRPr="00594E69">
              <w:rPr>
                <w:b/>
                <w:i/>
              </w:rPr>
              <w:t>Amendments to Australian Accounting Standards arising from AASB 15</w:t>
            </w:r>
          </w:p>
          <w:p w14:paraId="50D82DDE" w14:textId="77777777" w:rsidR="00A16123" w:rsidRPr="002B1695" w:rsidRDefault="00A16123" w:rsidP="0051296D">
            <w:pPr>
              <w:rPr>
                <w:rFonts w:ascii="Myriad Pro" w:hAnsi="Myriad Pro" w:cs="Myriad Pro"/>
                <w:b/>
                <w:bCs/>
                <w:i/>
                <w:iCs/>
                <w:color w:val="231F20"/>
                <w:spacing w:val="1"/>
                <w:w w:val="95"/>
                <w:sz w:val="16"/>
                <w:szCs w:val="16"/>
              </w:rPr>
            </w:pPr>
            <w:r w:rsidRPr="007B0835">
              <w:t>This Standard gives effect to the consequential amendments to Australian Accounting Standards (including Interpretations) arising from the issuance of AASB 15. The Authority has not yet determined the application or the potential impact of the Standard.</w:t>
            </w:r>
          </w:p>
        </w:tc>
        <w:tc>
          <w:tcPr>
            <w:tcW w:w="1559" w:type="dxa"/>
            <w:tcBorders>
              <w:top w:val="single" w:sz="4" w:space="0" w:color="99B0AB"/>
              <w:left w:val="single" w:sz="4" w:space="0" w:color="99B0AB"/>
              <w:bottom w:val="single" w:sz="4" w:space="0" w:color="99B0AB"/>
              <w:right w:val="single" w:sz="4" w:space="0" w:color="99B0AB"/>
            </w:tcBorders>
          </w:tcPr>
          <w:p w14:paraId="10647ADD" w14:textId="77777777" w:rsidR="00A16123" w:rsidRPr="00BC0F34" w:rsidRDefault="00A16123" w:rsidP="007B0835">
            <w:pPr>
              <w:rPr>
                <w:rFonts w:cs="Arial"/>
                <w:w w:val="85"/>
              </w:rPr>
            </w:pPr>
            <w:r w:rsidRPr="00BC0F34">
              <w:rPr>
                <w:rFonts w:cs="Arial"/>
                <w:w w:val="85"/>
              </w:rPr>
              <w:t>1 Jan 2017</w:t>
            </w:r>
          </w:p>
        </w:tc>
      </w:tr>
      <w:tr w:rsidR="00A16123" w:rsidRPr="002B1695" w14:paraId="2851D313" w14:textId="77777777" w:rsidTr="00597854">
        <w:trPr>
          <w:trHeight w:hRule="exact" w:val="3128"/>
        </w:trPr>
        <w:tc>
          <w:tcPr>
            <w:tcW w:w="1729" w:type="dxa"/>
            <w:tcBorders>
              <w:top w:val="single" w:sz="4" w:space="0" w:color="99B0AB"/>
              <w:left w:val="single" w:sz="4" w:space="0" w:color="99B0AB"/>
              <w:bottom w:val="single" w:sz="4" w:space="0" w:color="99B0AB"/>
              <w:right w:val="nil"/>
            </w:tcBorders>
            <w:shd w:val="clear" w:color="auto" w:fill="B6C6C2"/>
          </w:tcPr>
          <w:p w14:paraId="5A914419" w14:textId="77777777" w:rsidR="00A16123" w:rsidRPr="002B1695" w:rsidRDefault="00A16123" w:rsidP="00597854">
            <w:r>
              <w:t>AASB 2014-7</w:t>
            </w:r>
          </w:p>
        </w:tc>
        <w:tc>
          <w:tcPr>
            <w:tcW w:w="6214" w:type="dxa"/>
            <w:tcBorders>
              <w:top w:val="single" w:sz="4" w:space="0" w:color="99B0AB"/>
              <w:left w:val="nil"/>
              <w:bottom w:val="single" w:sz="4" w:space="0" w:color="99B0AB"/>
              <w:right w:val="single" w:sz="4" w:space="0" w:color="99B0AB"/>
            </w:tcBorders>
          </w:tcPr>
          <w:p w14:paraId="7ED3025A" w14:textId="2A33336E" w:rsidR="00A16123" w:rsidRPr="0051296D" w:rsidRDefault="00A16123" w:rsidP="0051296D">
            <w:pPr>
              <w:rPr>
                <w:rFonts w:ascii="Myriad Pro" w:hAnsi="Myriad Pro" w:cs="Myriad Pro"/>
                <w:b/>
                <w:bCs/>
                <w:i/>
                <w:iCs/>
                <w:color w:val="231F20"/>
                <w:spacing w:val="1"/>
                <w:w w:val="95"/>
                <w:sz w:val="16"/>
                <w:szCs w:val="16"/>
              </w:rPr>
            </w:pPr>
            <w:r w:rsidRPr="0051296D">
              <w:rPr>
                <w:b/>
                <w:i/>
              </w:rPr>
              <w:t>Amendments to Australian Accounting Standards arising from AASB 9 (December 2014)</w:t>
            </w:r>
          </w:p>
          <w:p w14:paraId="000E2285" w14:textId="77777777" w:rsidR="00A16123" w:rsidRPr="002B1695" w:rsidRDefault="00A16123" w:rsidP="0051296D">
            <w:pPr>
              <w:rPr>
                <w:w w:val="95"/>
              </w:rPr>
            </w:pPr>
            <w:r w:rsidRPr="00597854">
              <w:t>This Standard gives effect to the consequential amendments to Australian Accounting Standards (including Interpretations) arising from the issuance of AASB 9 (December 2014). The Authority has not yet determined the application or the potential impact of the</w:t>
            </w:r>
            <w:r w:rsidRPr="002B1695">
              <w:rPr>
                <w:w w:val="95"/>
              </w:rPr>
              <w:t xml:space="preserve"> </w:t>
            </w:r>
            <w:r w:rsidRPr="00597854">
              <w:t>Standard.</w:t>
            </w:r>
          </w:p>
        </w:tc>
        <w:tc>
          <w:tcPr>
            <w:tcW w:w="1559" w:type="dxa"/>
            <w:tcBorders>
              <w:top w:val="single" w:sz="4" w:space="0" w:color="99B0AB"/>
              <w:left w:val="single" w:sz="4" w:space="0" w:color="99B0AB"/>
              <w:bottom w:val="single" w:sz="4" w:space="0" w:color="99B0AB"/>
              <w:right w:val="single" w:sz="4" w:space="0" w:color="99B0AB"/>
            </w:tcBorders>
          </w:tcPr>
          <w:p w14:paraId="394F0A7B" w14:textId="77777777" w:rsidR="00A16123" w:rsidRPr="00BC0F34" w:rsidRDefault="00A16123" w:rsidP="00597854">
            <w:pPr>
              <w:rPr>
                <w:rFonts w:cs="Arial"/>
                <w:w w:val="85"/>
              </w:rPr>
            </w:pPr>
            <w:r w:rsidRPr="00BC0F34">
              <w:rPr>
                <w:rFonts w:cs="Arial"/>
                <w:w w:val="85"/>
              </w:rPr>
              <w:t>1 Jan 2018</w:t>
            </w:r>
          </w:p>
        </w:tc>
      </w:tr>
      <w:tr w:rsidR="00A16123" w:rsidRPr="002B1695" w14:paraId="639DF393" w14:textId="77777777" w:rsidTr="00597854">
        <w:trPr>
          <w:trHeight w:hRule="exact" w:val="3527"/>
        </w:trPr>
        <w:tc>
          <w:tcPr>
            <w:tcW w:w="1729" w:type="dxa"/>
            <w:tcBorders>
              <w:top w:val="single" w:sz="4" w:space="0" w:color="99B0AB"/>
              <w:left w:val="single" w:sz="4" w:space="0" w:color="99B0AB"/>
              <w:bottom w:val="single" w:sz="4" w:space="0" w:color="99B0AB"/>
              <w:right w:val="nil"/>
            </w:tcBorders>
            <w:shd w:val="clear" w:color="auto" w:fill="B6C6C2"/>
          </w:tcPr>
          <w:p w14:paraId="661B3E77" w14:textId="77777777" w:rsidR="00A16123" w:rsidRPr="002B1695" w:rsidRDefault="00A16123" w:rsidP="00597854">
            <w:r>
              <w:t>AASB 2014-8</w:t>
            </w:r>
          </w:p>
        </w:tc>
        <w:tc>
          <w:tcPr>
            <w:tcW w:w="6214" w:type="dxa"/>
            <w:tcBorders>
              <w:top w:val="single" w:sz="4" w:space="0" w:color="99B0AB"/>
              <w:left w:val="nil"/>
              <w:bottom w:val="single" w:sz="4" w:space="0" w:color="99B0AB"/>
              <w:right w:val="single" w:sz="4" w:space="0" w:color="99B0AB"/>
            </w:tcBorders>
          </w:tcPr>
          <w:p w14:paraId="61EA6281" w14:textId="0E218FBA" w:rsidR="00A16123" w:rsidRPr="0051296D" w:rsidRDefault="00A16123" w:rsidP="0051296D">
            <w:pPr>
              <w:rPr>
                <w:b/>
                <w:i/>
                <w:w w:val="95"/>
              </w:rPr>
            </w:pPr>
            <w:r w:rsidRPr="0051296D">
              <w:rPr>
                <w:b/>
                <w:i/>
              </w:rPr>
              <w:t>Amendments to Australian Accounting Standards arising from AASB 9 (December 2014) – Application of AASB 9 (December 2009) and AASB 9 (December 2010) [AASB 9 (2009</w:t>
            </w:r>
            <w:r w:rsidR="00597854" w:rsidRPr="0051296D">
              <w:rPr>
                <w:b/>
                <w:i/>
              </w:rPr>
              <w:t xml:space="preserve"> </w:t>
            </w:r>
            <w:r w:rsidRPr="0051296D">
              <w:rPr>
                <w:b/>
                <w:i/>
              </w:rPr>
              <w:t>&amp; 2010)]</w:t>
            </w:r>
          </w:p>
          <w:p w14:paraId="77D1CA7F" w14:textId="5DAC50B7" w:rsidR="00A16123" w:rsidRPr="002B1695" w:rsidRDefault="00A16123" w:rsidP="0051296D">
            <w:pPr>
              <w:rPr>
                <w:rFonts w:ascii="Myriad Pro" w:hAnsi="Myriad Pro" w:cs="Myriad Pro"/>
                <w:b/>
                <w:bCs/>
                <w:i/>
                <w:iCs/>
                <w:color w:val="231F20"/>
                <w:spacing w:val="1"/>
                <w:w w:val="95"/>
                <w:sz w:val="16"/>
                <w:szCs w:val="16"/>
              </w:rPr>
            </w:pPr>
            <w:r w:rsidRPr="00597854">
              <w:t>This Standard makes amendments to AASB 9</w:t>
            </w:r>
            <w:r w:rsidR="009214A9">
              <w:t xml:space="preserve"> </w:t>
            </w:r>
            <w:r w:rsidRPr="009214A9">
              <w:rPr>
                <w:i/>
              </w:rPr>
              <w:t>Financial Instruments</w:t>
            </w:r>
            <w:r w:rsidRPr="00597854">
              <w:t xml:space="preserve"> (December 2009) and AASB 9 </w:t>
            </w:r>
            <w:r w:rsidRPr="009214A9">
              <w:rPr>
                <w:i/>
              </w:rPr>
              <w:t>Financial Instruments</w:t>
            </w:r>
            <w:r w:rsidRPr="00597854">
              <w:t xml:space="preserve"> (December 2010), arising from the issuance of AASB 9 </w:t>
            </w:r>
            <w:r w:rsidRPr="009214A9">
              <w:rPr>
                <w:i/>
              </w:rPr>
              <w:t>Financial Instruments</w:t>
            </w:r>
            <w:r w:rsidRPr="00597854">
              <w:t xml:space="preserve"> in December 2014. The Authority has not yet determined the application or the potential impact of the Standard.</w:t>
            </w:r>
          </w:p>
        </w:tc>
        <w:tc>
          <w:tcPr>
            <w:tcW w:w="1559" w:type="dxa"/>
            <w:tcBorders>
              <w:top w:val="single" w:sz="4" w:space="0" w:color="99B0AB"/>
              <w:left w:val="single" w:sz="4" w:space="0" w:color="99B0AB"/>
              <w:bottom w:val="single" w:sz="4" w:space="0" w:color="99B0AB"/>
              <w:right w:val="single" w:sz="4" w:space="0" w:color="99B0AB"/>
            </w:tcBorders>
          </w:tcPr>
          <w:p w14:paraId="46526FF5" w14:textId="77777777" w:rsidR="00A16123" w:rsidRPr="00BC0F34" w:rsidRDefault="00A16123" w:rsidP="00597854">
            <w:pPr>
              <w:rPr>
                <w:rFonts w:cs="Arial"/>
                <w:w w:val="85"/>
              </w:rPr>
            </w:pPr>
            <w:r w:rsidRPr="00BC0F34">
              <w:rPr>
                <w:rFonts w:cs="Arial"/>
                <w:w w:val="85"/>
              </w:rPr>
              <w:t>1 Jan 2015</w:t>
            </w:r>
          </w:p>
        </w:tc>
      </w:tr>
      <w:tr w:rsidR="00A16123" w:rsidRPr="002B1695" w14:paraId="259B68C7" w14:textId="77777777" w:rsidTr="001B568C">
        <w:trPr>
          <w:trHeight w:hRule="exact" w:val="3558"/>
        </w:trPr>
        <w:tc>
          <w:tcPr>
            <w:tcW w:w="1729" w:type="dxa"/>
            <w:tcBorders>
              <w:top w:val="single" w:sz="4" w:space="0" w:color="99B0AB"/>
              <w:left w:val="single" w:sz="4" w:space="0" w:color="99B0AB"/>
              <w:bottom w:val="single" w:sz="4" w:space="0" w:color="99B0AB"/>
              <w:right w:val="nil"/>
            </w:tcBorders>
            <w:shd w:val="clear" w:color="auto" w:fill="B6C6C2"/>
          </w:tcPr>
          <w:p w14:paraId="3D964BFC" w14:textId="77777777" w:rsidR="00A16123" w:rsidRPr="002B1695" w:rsidRDefault="00A16123" w:rsidP="001B568C">
            <w:r>
              <w:lastRenderedPageBreak/>
              <w:t>AASB 2014-9</w:t>
            </w:r>
          </w:p>
        </w:tc>
        <w:tc>
          <w:tcPr>
            <w:tcW w:w="6214" w:type="dxa"/>
            <w:tcBorders>
              <w:top w:val="single" w:sz="4" w:space="0" w:color="99B0AB"/>
              <w:left w:val="nil"/>
              <w:bottom w:val="single" w:sz="4" w:space="0" w:color="99B0AB"/>
              <w:right w:val="single" w:sz="4" w:space="0" w:color="99B0AB"/>
            </w:tcBorders>
          </w:tcPr>
          <w:p w14:paraId="41E53966" w14:textId="70D4FD5B" w:rsidR="00A16123" w:rsidRPr="0051296D" w:rsidRDefault="00A16123" w:rsidP="0051296D">
            <w:pPr>
              <w:rPr>
                <w:rFonts w:ascii="Myriad Pro" w:hAnsi="Myriad Pro" w:cs="Myriad Pro"/>
                <w:b/>
                <w:bCs/>
                <w:i/>
                <w:iCs/>
                <w:color w:val="231F20"/>
                <w:spacing w:val="1"/>
                <w:w w:val="95"/>
                <w:sz w:val="16"/>
                <w:szCs w:val="16"/>
              </w:rPr>
            </w:pPr>
            <w:r w:rsidRPr="0051296D">
              <w:rPr>
                <w:b/>
                <w:i/>
              </w:rPr>
              <w:t>Amendments to Australian Accounting Standards – Equity Method in Separate Financial Statements [AASB 1, 127 &amp; 128]</w:t>
            </w:r>
          </w:p>
          <w:p w14:paraId="11D7E589" w14:textId="77777777" w:rsidR="00A16123" w:rsidRPr="002B1695" w:rsidRDefault="00A16123" w:rsidP="0051296D">
            <w:pPr>
              <w:rPr>
                <w:rFonts w:ascii="Myriad Pro" w:hAnsi="Myriad Pro" w:cs="Myriad Pro"/>
                <w:b/>
                <w:bCs/>
                <w:i/>
                <w:iCs/>
                <w:color w:val="231F20"/>
                <w:spacing w:val="1"/>
                <w:w w:val="95"/>
                <w:sz w:val="16"/>
                <w:szCs w:val="16"/>
              </w:rPr>
            </w:pPr>
            <w:r w:rsidRPr="001B568C">
              <w:t>This Standard amends AASB 127, and consequentially amends AASB 1 and AASB 128, to allow entities to use the equity method of accounting for investments in subsidiaries, joint ventures and associates in their separate financial statements. The Authority has not yet determined the application or the potential impact of the Standard.</w:t>
            </w:r>
          </w:p>
        </w:tc>
        <w:tc>
          <w:tcPr>
            <w:tcW w:w="1559" w:type="dxa"/>
            <w:tcBorders>
              <w:top w:val="single" w:sz="4" w:space="0" w:color="99B0AB"/>
              <w:left w:val="single" w:sz="4" w:space="0" w:color="99B0AB"/>
              <w:bottom w:val="single" w:sz="4" w:space="0" w:color="99B0AB"/>
              <w:right w:val="single" w:sz="4" w:space="0" w:color="99B0AB"/>
            </w:tcBorders>
          </w:tcPr>
          <w:p w14:paraId="228D6654" w14:textId="77777777" w:rsidR="00A16123" w:rsidRPr="00BC0F34" w:rsidRDefault="00A16123" w:rsidP="001B568C">
            <w:pPr>
              <w:rPr>
                <w:rFonts w:cs="Arial"/>
                <w:w w:val="85"/>
              </w:rPr>
            </w:pPr>
            <w:r w:rsidRPr="00BC0F34">
              <w:rPr>
                <w:rFonts w:cs="Arial"/>
                <w:w w:val="85"/>
              </w:rPr>
              <w:t>1 Jan 2016</w:t>
            </w:r>
          </w:p>
        </w:tc>
      </w:tr>
      <w:tr w:rsidR="00A16123" w:rsidRPr="002B1695" w14:paraId="609B22A6" w14:textId="77777777" w:rsidTr="001B568C">
        <w:trPr>
          <w:trHeight w:hRule="exact" w:val="3552"/>
        </w:trPr>
        <w:tc>
          <w:tcPr>
            <w:tcW w:w="1729" w:type="dxa"/>
            <w:tcBorders>
              <w:top w:val="single" w:sz="4" w:space="0" w:color="99B0AB"/>
              <w:left w:val="single" w:sz="4" w:space="0" w:color="99B0AB"/>
              <w:bottom w:val="single" w:sz="4" w:space="0" w:color="99B0AB"/>
              <w:right w:val="nil"/>
            </w:tcBorders>
            <w:shd w:val="clear" w:color="auto" w:fill="B6C6C2"/>
          </w:tcPr>
          <w:p w14:paraId="560F5FFA" w14:textId="77777777" w:rsidR="00A16123" w:rsidRPr="002B1695" w:rsidRDefault="00A16123" w:rsidP="001B568C">
            <w:r>
              <w:t>AASB 2014-10</w:t>
            </w:r>
          </w:p>
        </w:tc>
        <w:tc>
          <w:tcPr>
            <w:tcW w:w="6214" w:type="dxa"/>
            <w:tcBorders>
              <w:top w:val="single" w:sz="4" w:space="0" w:color="99B0AB"/>
              <w:left w:val="nil"/>
              <w:bottom w:val="single" w:sz="4" w:space="0" w:color="99B0AB"/>
              <w:right w:val="single" w:sz="4" w:space="0" w:color="99B0AB"/>
            </w:tcBorders>
          </w:tcPr>
          <w:p w14:paraId="401490FB" w14:textId="36087C87" w:rsidR="00A16123" w:rsidRPr="0051296D" w:rsidRDefault="00A16123" w:rsidP="0051296D">
            <w:pPr>
              <w:rPr>
                <w:rFonts w:ascii="Myriad Pro" w:hAnsi="Myriad Pro" w:cs="Myriad Pro"/>
                <w:b/>
                <w:bCs/>
                <w:i/>
                <w:iCs/>
                <w:color w:val="231F20"/>
                <w:spacing w:val="1"/>
                <w:w w:val="95"/>
                <w:sz w:val="16"/>
                <w:szCs w:val="16"/>
              </w:rPr>
            </w:pPr>
            <w:r w:rsidRPr="0051296D">
              <w:rPr>
                <w:b/>
                <w:i/>
              </w:rPr>
              <w:t>Amendments to Australian Accounting Standards – Sale or Contribution of Assets between an Investor and its Associate or Joint Venture [AASB 10 &amp; 128]</w:t>
            </w:r>
          </w:p>
          <w:p w14:paraId="700AC9B8" w14:textId="77777777" w:rsidR="00A16123" w:rsidRPr="002B1695" w:rsidRDefault="00A16123" w:rsidP="0051296D">
            <w:pPr>
              <w:rPr>
                <w:rFonts w:ascii="Myriad Pro" w:hAnsi="Myriad Pro" w:cs="Myriad Pro"/>
                <w:b/>
                <w:bCs/>
                <w:i/>
                <w:iCs/>
                <w:color w:val="231F20"/>
                <w:spacing w:val="1"/>
                <w:w w:val="95"/>
                <w:sz w:val="16"/>
                <w:szCs w:val="16"/>
              </w:rPr>
            </w:pPr>
            <w:r w:rsidRPr="001B568C">
              <w:rPr>
                <w:rStyle w:val="Normal-ActChar"/>
                <w:i w:val="0"/>
              </w:rPr>
              <w:t>This Standard amends AASB 10 and AASB 128 to address an inconsistency between the requirements in AASB 10 and those in AASB 128 (August 2011), in dealing with the sale or contribution of assets between an investor and its associate or joint venture. The Authority has not yet determined the application or the potential impact of the</w:t>
            </w:r>
            <w:r w:rsidRPr="002B1695">
              <w:rPr>
                <w:rFonts w:ascii="Myriad Pro" w:hAnsi="Myriad Pro" w:cs="Myriad Pro"/>
                <w:b/>
                <w:bCs/>
                <w:i/>
                <w:iCs/>
                <w:color w:val="231F20"/>
                <w:spacing w:val="1"/>
                <w:w w:val="95"/>
                <w:sz w:val="16"/>
                <w:szCs w:val="16"/>
              </w:rPr>
              <w:t xml:space="preserve"> </w:t>
            </w:r>
            <w:r w:rsidRPr="001B568C">
              <w:t>Standard.</w:t>
            </w:r>
          </w:p>
        </w:tc>
        <w:tc>
          <w:tcPr>
            <w:tcW w:w="1559" w:type="dxa"/>
            <w:tcBorders>
              <w:top w:val="single" w:sz="4" w:space="0" w:color="99B0AB"/>
              <w:left w:val="single" w:sz="4" w:space="0" w:color="99B0AB"/>
              <w:bottom w:val="single" w:sz="4" w:space="0" w:color="99B0AB"/>
              <w:right w:val="single" w:sz="4" w:space="0" w:color="99B0AB"/>
            </w:tcBorders>
          </w:tcPr>
          <w:p w14:paraId="68E97E32" w14:textId="77777777" w:rsidR="00A16123" w:rsidRPr="00BC0F34" w:rsidRDefault="00A16123" w:rsidP="001B568C">
            <w:pPr>
              <w:rPr>
                <w:rFonts w:cs="Arial"/>
                <w:w w:val="85"/>
              </w:rPr>
            </w:pPr>
            <w:r w:rsidRPr="00BC0F34">
              <w:rPr>
                <w:rFonts w:cs="Arial"/>
                <w:w w:val="85"/>
              </w:rPr>
              <w:t>1 Jan 2016</w:t>
            </w:r>
          </w:p>
        </w:tc>
      </w:tr>
      <w:tr w:rsidR="00A16123" w:rsidRPr="002B1695" w14:paraId="6A7E3D9C" w14:textId="77777777" w:rsidTr="001B568C">
        <w:trPr>
          <w:trHeight w:hRule="exact" w:val="3545"/>
        </w:trPr>
        <w:tc>
          <w:tcPr>
            <w:tcW w:w="1729" w:type="dxa"/>
            <w:tcBorders>
              <w:top w:val="single" w:sz="4" w:space="0" w:color="99B0AB"/>
              <w:left w:val="single" w:sz="4" w:space="0" w:color="99B0AB"/>
              <w:bottom w:val="single" w:sz="4" w:space="0" w:color="99B0AB"/>
              <w:right w:val="nil"/>
            </w:tcBorders>
            <w:shd w:val="clear" w:color="auto" w:fill="B6C6C2"/>
          </w:tcPr>
          <w:p w14:paraId="3A8D1604" w14:textId="77777777" w:rsidR="00A16123" w:rsidRPr="002B1695" w:rsidRDefault="00A16123" w:rsidP="001B568C">
            <w:r>
              <w:t>AASB 2015-1</w:t>
            </w:r>
          </w:p>
        </w:tc>
        <w:tc>
          <w:tcPr>
            <w:tcW w:w="6214" w:type="dxa"/>
            <w:tcBorders>
              <w:top w:val="single" w:sz="4" w:space="0" w:color="99B0AB"/>
              <w:left w:val="nil"/>
              <w:bottom w:val="single" w:sz="4" w:space="0" w:color="99B0AB"/>
              <w:right w:val="single" w:sz="4" w:space="0" w:color="99B0AB"/>
            </w:tcBorders>
          </w:tcPr>
          <w:p w14:paraId="7BF40630" w14:textId="11552750" w:rsidR="00A16123" w:rsidRPr="0051296D" w:rsidRDefault="00A16123" w:rsidP="0051296D">
            <w:pPr>
              <w:rPr>
                <w:b/>
                <w:i/>
              </w:rPr>
            </w:pPr>
            <w:r w:rsidRPr="0051296D">
              <w:rPr>
                <w:b/>
                <w:i/>
              </w:rPr>
              <w:t>Amendments to Australian Accounting Standards – Annual Improvements to Australian Accounting Standards 2012–2014 Cycle [AASB 1, 2, 3, 5, 7, 11, 110, 119, 121, 133, 134,</w:t>
            </w:r>
            <w:r w:rsidR="001B568C" w:rsidRPr="0051296D">
              <w:rPr>
                <w:b/>
                <w:i/>
              </w:rPr>
              <w:t xml:space="preserve"> </w:t>
            </w:r>
            <w:r w:rsidRPr="0051296D">
              <w:rPr>
                <w:b/>
                <w:i/>
              </w:rPr>
              <w:t>137 &amp; 140]</w:t>
            </w:r>
          </w:p>
          <w:p w14:paraId="6571AC34" w14:textId="77777777" w:rsidR="00A16123" w:rsidRPr="002B1695" w:rsidRDefault="00A16123" w:rsidP="0051296D">
            <w:pPr>
              <w:rPr>
                <w:rFonts w:ascii="Myriad Pro" w:hAnsi="Myriad Pro" w:cs="Myriad Pro"/>
                <w:b/>
                <w:bCs/>
                <w:i/>
                <w:iCs/>
                <w:color w:val="231F20"/>
                <w:spacing w:val="1"/>
                <w:w w:val="95"/>
                <w:sz w:val="16"/>
                <w:szCs w:val="16"/>
              </w:rPr>
            </w:pPr>
            <w:r w:rsidRPr="001B568C">
              <w:t>These amendments arise from the issuance of International Financial Reporting Standard Annual Improvements to IFRSs 2012–2014 Cycle in September 2014, and editorial corrections. The Authority has not yet determined the application or the potential impact of the Standard.</w:t>
            </w:r>
          </w:p>
        </w:tc>
        <w:tc>
          <w:tcPr>
            <w:tcW w:w="1559" w:type="dxa"/>
            <w:tcBorders>
              <w:top w:val="single" w:sz="4" w:space="0" w:color="99B0AB"/>
              <w:left w:val="single" w:sz="4" w:space="0" w:color="99B0AB"/>
              <w:bottom w:val="single" w:sz="4" w:space="0" w:color="99B0AB"/>
              <w:right w:val="single" w:sz="4" w:space="0" w:color="99B0AB"/>
            </w:tcBorders>
          </w:tcPr>
          <w:p w14:paraId="54E82FCA" w14:textId="77777777" w:rsidR="00A16123" w:rsidRPr="00BC0F34" w:rsidRDefault="00A16123" w:rsidP="001B568C">
            <w:pPr>
              <w:rPr>
                <w:rFonts w:cs="Arial"/>
                <w:w w:val="85"/>
              </w:rPr>
            </w:pPr>
            <w:r w:rsidRPr="00BC0F34">
              <w:rPr>
                <w:rFonts w:cs="Arial"/>
                <w:w w:val="85"/>
              </w:rPr>
              <w:t>1 Jan 2016</w:t>
            </w:r>
          </w:p>
        </w:tc>
      </w:tr>
      <w:tr w:rsidR="00A16123" w:rsidRPr="002B1695" w14:paraId="1FEB0667" w14:textId="77777777" w:rsidTr="00080C54">
        <w:trPr>
          <w:trHeight w:hRule="exact" w:val="3983"/>
        </w:trPr>
        <w:tc>
          <w:tcPr>
            <w:tcW w:w="1729" w:type="dxa"/>
            <w:tcBorders>
              <w:top w:val="single" w:sz="4" w:space="0" w:color="99B0AB"/>
              <w:left w:val="single" w:sz="4" w:space="0" w:color="99B0AB"/>
              <w:bottom w:val="single" w:sz="4" w:space="0" w:color="99B0AB"/>
              <w:right w:val="nil"/>
            </w:tcBorders>
            <w:shd w:val="clear" w:color="auto" w:fill="B6C6C2"/>
          </w:tcPr>
          <w:p w14:paraId="3988098E" w14:textId="77777777" w:rsidR="00A16123" w:rsidRPr="002B1695" w:rsidRDefault="00A16123" w:rsidP="00080C54">
            <w:r>
              <w:lastRenderedPageBreak/>
              <w:t>AASB 2015-2</w:t>
            </w:r>
          </w:p>
        </w:tc>
        <w:tc>
          <w:tcPr>
            <w:tcW w:w="6214" w:type="dxa"/>
            <w:tcBorders>
              <w:top w:val="single" w:sz="4" w:space="0" w:color="99B0AB"/>
              <w:left w:val="nil"/>
              <w:bottom w:val="single" w:sz="4" w:space="0" w:color="99B0AB"/>
              <w:right w:val="single" w:sz="4" w:space="0" w:color="99B0AB"/>
            </w:tcBorders>
          </w:tcPr>
          <w:p w14:paraId="5698A665" w14:textId="32332105" w:rsidR="00A16123" w:rsidRPr="0051296D" w:rsidRDefault="00A16123" w:rsidP="0051296D">
            <w:pPr>
              <w:rPr>
                <w:rFonts w:ascii="Myriad Pro" w:hAnsi="Myriad Pro" w:cs="Myriad Pro"/>
                <w:b/>
                <w:bCs/>
                <w:i/>
                <w:iCs/>
                <w:color w:val="231F20"/>
                <w:spacing w:val="1"/>
                <w:w w:val="95"/>
                <w:sz w:val="16"/>
                <w:szCs w:val="16"/>
              </w:rPr>
            </w:pPr>
            <w:r w:rsidRPr="0051296D">
              <w:rPr>
                <w:b/>
                <w:i/>
              </w:rPr>
              <w:t>Amendments to Australian Accounting Standards – Disclosure Initiative: Amendments to AASB 101 [AASB 7, 101, 134 &amp; 1049]</w:t>
            </w:r>
          </w:p>
          <w:p w14:paraId="39345BD7" w14:textId="1AABE5CB" w:rsidR="00A16123" w:rsidRPr="002B1695" w:rsidRDefault="00A16123" w:rsidP="0051296D">
            <w:pPr>
              <w:rPr>
                <w:rFonts w:ascii="Myriad Pro" w:hAnsi="Myriad Pro" w:cs="Myriad Pro"/>
                <w:b/>
                <w:bCs/>
                <w:i/>
                <w:iCs/>
                <w:color w:val="231F20"/>
                <w:spacing w:val="1"/>
                <w:w w:val="95"/>
                <w:sz w:val="16"/>
                <w:szCs w:val="16"/>
              </w:rPr>
            </w:pPr>
            <w:r w:rsidRPr="00080C54">
              <w:t xml:space="preserve">This Standard amends AASB 101 to provide clarification regarding the disclosure requirements in AASB 101. Specifically, the Standard proposes narrow-focus amendments to </w:t>
            </w:r>
            <w:r w:rsidR="0051296D">
              <w:t>address</w:t>
            </w:r>
            <w:r w:rsidRPr="00080C54">
              <w:t xml:space="preserve"> some of the concerns expressed about existing presentation and disclosure requirements and to ensure entities are able to use judgement when applying a Standard in determining what information to disclose in their financial statements. There is no financial impact</w:t>
            </w:r>
            <w:r w:rsidRPr="002B1695">
              <w:rPr>
                <w:rFonts w:ascii="Myriad Pro" w:hAnsi="Myriad Pro" w:cs="Myriad Pro"/>
                <w:b/>
                <w:bCs/>
                <w:i/>
                <w:iCs/>
                <w:color w:val="231F20"/>
                <w:spacing w:val="1"/>
                <w:w w:val="95"/>
                <w:sz w:val="16"/>
                <w:szCs w:val="16"/>
              </w:rPr>
              <w:t>.</w:t>
            </w:r>
          </w:p>
        </w:tc>
        <w:tc>
          <w:tcPr>
            <w:tcW w:w="1559" w:type="dxa"/>
            <w:tcBorders>
              <w:top w:val="single" w:sz="4" w:space="0" w:color="99B0AB"/>
              <w:left w:val="single" w:sz="4" w:space="0" w:color="99B0AB"/>
              <w:bottom w:val="single" w:sz="4" w:space="0" w:color="99B0AB"/>
              <w:right w:val="single" w:sz="4" w:space="0" w:color="99B0AB"/>
            </w:tcBorders>
          </w:tcPr>
          <w:p w14:paraId="28B41735" w14:textId="77777777" w:rsidR="00A16123" w:rsidRPr="00BC0F34" w:rsidRDefault="00A16123" w:rsidP="00080C54">
            <w:pPr>
              <w:rPr>
                <w:rFonts w:cs="Arial"/>
                <w:w w:val="85"/>
              </w:rPr>
            </w:pPr>
            <w:r w:rsidRPr="00BC0F34">
              <w:rPr>
                <w:rFonts w:cs="Arial"/>
                <w:w w:val="85"/>
              </w:rPr>
              <w:t>1 Jan 2016</w:t>
            </w:r>
          </w:p>
        </w:tc>
      </w:tr>
      <w:tr w:rsidR="00A16123" w:rsidRPr="002B1695" w14:paraId="63EBBF41" w14:textId="77777777" w:rsidTr="00BC0F34">
        <w:trPr>
          <w:trHeight w:hRule="exact" w:val="2551"/>
        </w:trPr>
        <w:tc>
          <w:tcPr>
            <w:tcW w:w="1729" w:type="dxa"/>
            <w:tcBorders>
              <w:top w:val="single" w:sz="4" w:space="0" w:color="99B0AB"/>
              <w:left w:val="single" w:sz="4" w:space="0" w:color="99B0AB"/>
              <w:bottom w:val="single" w:sz="4" w:space="0" w:color="99B0AB"/>
              <w:right w:val="nil"/>
            </w:tcBorders>
            <w:shd w:val="clear" w:color="auto" w:fill="B6C6C2"/>
          </w:tcPr>
          <w:p w14:paraId="16614F19" w14:textId="77777777" w:rsidR="00A16123" w:rsidRPr="002B1695" w:rsidRDefault="00A16123" w:rsidP="00BC0F34">
            <w:r>
              <w:t>AASB 2015-3</w:t>
            </w:r>
          </w:p>
        </w:tc>
        <w:tc>
          <w:tcPr>
            <w:tcW w:w="6214" w:type="dxa"/>
            <w:tcBorders>
              <w:top w:val="single" w:sz="4" w:space="0" w:color="99B0AB"/>
              <w:left w:val="nil"/>
              <w:bottom w:val="single" w:sz="4" w:space="0" w:color="99B0AB"/>
              <w:right w:val="single" w:sz="4" w:space="0" w:color="99B0AB"/>
            </w:tcBorders>
          </w:tcPr>
          <w:p w14:paraId="3E37344D" w14:textId="3B096A25" w:rsidR="00A16123" w:rsidRPr="0051296D" w:rsidRDefault="00A16123" w:rsidP="0051296D">
            <w:pPr>
              <w:rPr>
                <w:b/>
                <w:i/>
                <w:w w:val="95"/>
              </w:rPr>
            </w:pPr>
            <w:r w:rsidRPr="0051296D">
              <w:rPr>
                <w:b/>
                <w:i/>
              </w:rPr>
              <w:t>Amendments to Australian Accounting Standards arising from the Withdrawal of AASB 1031 Materiality</w:t>
            </w:r>
          </w:p>
          <w:p w14:paraId="66DE3334" w14:textId="23DE19E8" w:rsidR="00A16123" w:rsidRPr="002B1695" w:rsidRDefault="00A16123" w:rsidP="0051296D">
            <w:pPr>
              <w:rPr>
                <w:rFonts w:ascii="Myriad Pro" w:hAnsi="Myriad Pro" w:cs="Myriad Pro"/>
                <w:bCs/>
                <w:iCs/>
                <w:color w:val="231F20"/>
                <w:spacing w:val="1"/>
                <w:w w:val="95"/>
                <w:sz w:val="16"/>
                <w:szCs w:val="16"/>
              </w:rPr>
            </w:pPr>
            <w:r w:rsidRPr="00BC0F34">
              <w:t>This Standard completes the withdrawal of references to</w:t>
            </w:r>
            <w:r w:rsidR="0051296D">
              <w:t xml:space="preserve"> AASB 1031 in all Australian</w:t>
            </w:r>
            <w:r w:rsidRPr="00BC0F34">
              <w:t xml:space="preserve"> Accounting Standards and Interpretations, allowing that Standard to effectively be withdrawn. There is no</w:t>
            </w:r>
            <w:r w:rsidRPr="002B1695">
              <w:rPr>
                <w:rFonts w:ascii="Myriad Pro" w:hAnsi="Myriad Pro" w:cs="Myriad Pro"/>
                <w:bCs/>
                <w:iCs/>
                <w:color w:val="231F20"/>
                <w:spacing w:val="1"/>
                <w:w w:val="95"/>
                <w:sz w:val="16"/>
                <w:szCs w:val="16"/>
              </w:rPr>
              <w:t xml:space="preserve"> </w:t>
            </w:r>
            <w:r w:rsidRPr="00BC0F34">
              <w:t>financial impact.</w:t>
            </w:r>
          </w:p>
        </w:tc>
        <w:tc>
          <w:tcPr>
            <w:tcW w:w="1559" w:type="dxa"/>
            <w:tcBorders>
              <w:top w:val="single" w:sz="4" w:space="0" w:color="99B0AB"/>
              <w:left w:val="single" w:sz="4" w:space="0" w:color="99B0AB"/>
              <w:bottom w:val="single" w:sz="4" w:space="0" w:color="99B0AB"/>
              <w:right w:val="single" w:sz="4" w:space="0" w:color="99B0AB"/>
            </w:tcBorders>
          </w:tcPr>
          <w:p w14:paraId="755F4BCC" w14:textId="77777777" w:rsidR="00A16123" w:rsidRPr="00BC0F34" w:rsidRDefault="00A16123" w:rsidP="00BC0F34">
            <w:pPr>
              <w:rPr>
                <w:rFonts w:cs="Arial"/>
                <w:w w:val="85"/>
              </w:rPr>
            </w:pPr>
            <w:r w:rsidRPr="00BC0F34">
              <w:rPr>
                <w:rFonts w:cs="Arial"/>
              </w:rPr>
              <w:t>1 Jul 2015</w:t>
            </w:r>
          </w:p>
        </w:tc>
      </w:tr>
      <w:tr w:rsidR="00A16123" w:rsidRPr="002B1695" w14:paraId="27F293D6" w14:textId="77777777" w:rsidTr="00BE0C48">
        <w:trPr>
          <w:trHeight w:hRule="exact" w:val="3098"/>
        </w:trPr>
        <w:tc>
          <w:tcPr>
            <w:tcW w:w="1729" w:type="dxa"/>
            <w:tcBorders>
              <w:top w:val="single" w:sz="4" w:space="0" w:color="99B0AB"/>
              <w:left w:val="single" w:sz="4" w:space="0" w:color="99B0AB"/>
              <w:bottom w:val="single" w:sz="4" w:space="0" w:color="99B0AB"/>
              <w:right w:val="nil"/>
            </w:tcBorders>
            <w:shd w:val="clear" w:color="auto" w:fill="B6C6C2"/>
          </w:tcPr>
          <w:p w14:paraId="6614FAE6" w14:textId="77777777" w:rsidR="00A16123" w:rsidRPr="002B1695" w:rsidRDefault="00A16123" w:rsidP="00BE0C48">
            <w:r>
              <w:t>AASB 2015-6</w:t>
            </w:r>
          </w:p>
        </w:tc>
        <w:tc>
          <w:tcPr>
            <w:tcW w:w="6214" w:type="dxa"/>
            <w:tcBorders>
              <w:top w:val="single" w:sz="4" w:space="0" w:color="99B0AB"/>
              <w:left w:val="nil"/>
              <w:bottom w:val="single" w:sz="4" w:space="0" w:color="99B0AB"/>
              <w:right w:val="single" w:sz="4" w:space="0" w:color="99B0AB"/>
            </w:tcBorders>
          </w:tcPr>
          <w:p w14:paraId="2F67514C" w14:textId="50781E6F" w:rsidR="00A16123" w:rsidRPr="00C562D1" w:rsidRDefault="00A16123" w:rsidP="00C562D1">
            <w:pPr>
              <w:rPr>
                <w:rFonts w:ascii="Myriad Pro" w:hAnsi="Myriad Pro" w:cs="Myriad Pro"/>
                <w:b/>
                <w:bCs/>
                <w:i/>
                <w:iCs/>
                <w:color w:val="231F20"/>
                <w:spacing w:val="1"/>
                <w:w w:val="95"/>
                <w:sz w:val="16"/>
                <w:szCs w:val="16"/>
              </w:rPr>
            </w:pPr>
            <w:r w:rsidRPr="00C562D1">
              <w:rPr>
                <w:b/>
                <w:i/>
              </w:rPr>
              <w:t>Amendments to Australian Accounting Standards – Extending Related Party Disclosures to Not-for-Profit Public Sector Entities [AASB 10, 124 &amp; 1049]</w:t>
            </w:r>
          </w:p>
          <w:p w14:paraId="29A6A116" w14:textId="77777777" w:rsidR="00A16123" w:rsidRPr="002B1695" w:rsidRDefault="00A16123" w:rsidP="00C562D1">
            <w:pPr>
              <w:rPr>
                <w:rFonts w:ascii="Myriad Pro" w:hAnsi="Myriad Pro" w:cs="Myriad Pro"/>
                <w:b/>
                <w:bCs/>
                <w:i/>
                <w:iCs/>
                <w:color w:val="231F20"/>
                <w:spacing w:val="1"/>
                <w:w w:val="95"/>
                <w:sz w:val="16"/>
                <w:szCs w:val="16"/>
              </w:rPr>
            </w:pPr>
            <w:r w:rsidRPr="00BE0C48">
              <w:t>The amendments extend the scope of AASB 124 to include application by not-for-profit public sector entities. Implementation guidance is included to assist application of the Standard by not-for-profit public sector entities. There is no financial impact</w:t>
            </w:r>
            <w:r w:rsidRPr="002B1695">
              <w:rPr>
                <w:rFonts w:ascii="Myriad Pro" w:hAnsi="Myriad Pro" w:cs="Myriad Pro"/>
                <w:b/>
                <w:bCs/>
                <w:i/>
                <w:iCs/>
                <w:color w:val="231F20"/>
                <w:spacing w:val="1"/>
                <w:w w:val="95"/>
                <w:sz w:val="16"/>
                <w:szCs w:val="16"/>
              </w:rPr>
              <w:t>.</w:t>
            </w:r>
          </w:p>
        </w:tc>
        <w:tc>
          <w:tcPr>
            <w:tcW w:w="1559" w:type="dxa"/>
            <w:tcBorders>
              <w:top w:val="single" w:sz="4" w:space="0" w:color="99B0AB"/>
              <w:left w:val="single" w:sz="4" w:space="0" w:color="99B0AB"/>
              <w:bottom w:val="single" w:sz="4" w:space="0" w:color="99B0AB"/>
              <w:right w:val="single" w:sz="4" w:space="0" w:color="99B0AB"/>
            </w:tcBorders>
          </w:tcPr>
          <w:p w14:paraId="787E7F9D" w14:textId="77777777" w:rsidR="00A16123" w:rsidRPr="00BC0F34" w:rsidRDefault="00A16123" w:rsidP="000C5C83">
            <w:pPr>
              <w:rPr>
                <w:rFonts w:cs="Arial"/>
                <w:color w:val="231F20"/>
                <w:w w:val="85"/>
              </w:rPr>
            </w:pPr>
            <w:r w:rsidRPr="00BE0C48">
              <w:t>1 Jan 2016</w:t>
            </w:r>
          </w:p>
        </w:tc>
      </w:tr>
      <w:tr w:rsidR="00A16123" w:rsidRPr="002B1695" w14:paraId="094BCA06" w14:textId="77777777" w:rsidTr="00D6537E">
        <w:trPr>
          <w:trHeight w:hRule="exact" w:val="3128"/>
        </w:trPr>
        <w:tc>
          <w:tcPr>
            <w:tcW w:w="1729" w:type="dxa"/>
            <w:tcBorders>
              <w:top w:val="single" w:sz="4" w:space="0" w:color="99B0AB"/>
              <w:left w:val="single" w:sz="4" w:space="0" w:color="99B0AB"/>
              <w:bottom w:val="single" w:sz="4" w:space="0" w:color="99B0AB"/>
              <w:right w:val="nil"/>
            </w:tcBorders>
            <w:shd w:val="clear" w:color="auto" w:fill="B6C6C2"/>
          </w:tcPr>
          <w:p w14:paraId="201E3E81" w14:textId="77777777" w:rsidR="00A16123" w:rsidRPr="002B1695" w:rsidRDefault="00A16123" w:rsidP="00BE0C48">
            <w:r>
              <w:t>AASB 2015-7</w:t>
            </w:r>
          </w:p>
        </w:tc>
        <w:tc>
          <w:tcPr>
            <w:tcW w:w="6214" w:type="dxa"/>
            <w:tcBorders>
              <w:top w:val="single" w:sz="4" w:space="0" w:color="99B0AB"/>
              <w:left w:val="nil"/>
              <w:bottom w:val="single" w:sz="4" w:space="0" w:color="99B0AB"/>
              <w:right w:val="single" w:sz="4" w:space="0" w:color="99B0AB"/>
            </w:tcBorders>
          </w:tcPr>
          <w:p w14:paraId="050F8A2B" w14:textId="2B3468AD" w:rsidR="00A16123" w:rsidRPr="00C562D1" w:rsidRDefault="00A16123" w:rsidP="00C562D1">
            <w:pPr>
              <w:rPr>
                <w:b/>
                <w:i/>
              </w:rPr>
            </w:pPr>
            <w:r w:rsidRPr="00C562D1">
              <w:rPr>
                <w:b/>
                <w:i/>
              </w:rPr>
              <w:t>Amendments to Australian Accounting Standards – Fair Value Disclosures of Not-for-Profit Public Sector Entities</w:t>
            </w:r>
          </w:p>
          <w:p w14:paraId="40344A2B" w14:textId="77777777" w:rsidR="00A16123" w:rsidRPr="002B1695" w:rsidRDefault="00A16123" w:rsidP="00C562D1">
            <w:pPr>
              <w:rPr>
                <w:rFonts w:ascii="Myriad Pro" w:hAnsi="Myriad Pro" w:cs="Myriad Pro"/>
                <w:b/>
                <w:bCs/>
                <w:i/>
                <w:iCs/>
                <w:color w:val="231F20"/>
                <w:spacing w:val="1"/>
                <w:w w:val="95"/>
                <w:sz w:val="16"/>
                <w:szCs w:val="16"/>
              </w:rPr>
            </w:pPr>
            <w:r w:rsidRPr="00BE0C48">
              <w:t>This Standard relieves not-for-profit public sector entities from the reporting burden associated with various disclosures required by AASB 13 for assets within the scope of AASB 116 that are held primarily for their current service potential rather than to generate future net cash inflows. It has no financial impact.</w:t>
            </w:r>
          </w:p>
        </w:tc>
        <w:tc>
          <w:tcPr>
            <w:tcW w:w="1559" w:type="dxa"/>
            <w:tcBorders>
              <w:top w:val="single" w:sz="4" w:space="0" w:color="99B0AB"/>
              <w:left w:val="single" w:sz="4" w:space="0" w:color="99B0AB"/>
              <w:bottom w:val="single" w:sz="4" w:space="0" w:color="99B0AB"/>
              <w:right w:val="single" w:sz="4" w:space="0" w:color="99B0AB"/>
            </w:tcBorders>
          </w:tcPr>
          <w:p w14:paraId="310E3674" w14:textId="77777777" w:rsidR="00A16123" w:rsidRPr="00BC0F34" w:rsidRDefault="00A16123" w:rsidP="000C5C83">
            <w:pPr>
              <w:rPr>
                <w:rFonts w:cs="Arial"/>
                <w:color w:val="231F20"/>
                <w:w w:val="85"/>
              </w:rPr>
            </w:pPr>
            <w:r w:rsidRPr="00BE0C48">
              <w:t>1 Jul 2015</w:t>
            </w:r>
          </w:p>
        </w:tc>
      </w:tr>
    </w:tbl>
    <w:p w14:paraId="2C814A80" w14:textId="77777777" w:rsidR="00A16123" w:rsidRPr="00860E05" w:rsidRDefault="00A16123" w:rsidP="00860E05"/>
    <w:p w14:paraId="0139464D" w14:textId="548881B0" w:rsidR="000262F8" w:rsidRDefault="000262F8" w:rsidP="00AC1B30"/>
    <w:p w14:paraId="5BB36251" w14:textId="77777777" w:rsidR="00F576B8" w:rsidRDefault="00F576B8" w:rsidP="00F576B8">
      <w:pPr>
        <w:pStyle w:val="Heading2nonumber"/>
        <w:numPr>
          <w:ilvl w:val="0"/>
          <w:numId w:val="15"/>
        </w:numPr>
        <w:jc w:val="left"/>
      </w:pPr>
      <w:bookmarkStart w:id="686" w:name="_Toc430091364"/>
      <w:r w:rsidRPr="00F576B8">
        <w:lastRenderedPageBreak/>
        <w:t>Interest revenue</w:t>
      </w:r>
      <w:bookmarkEnd w:id="686"/>
      <w:r w:rsidRPr="00F576B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2075"/>
        <w:gridCol w:w="1999"/>
      </w:tblGrid>
      <w:tr w:rsidR="00F576B8" w14:paraId="2C24E5CC" w14:textId="77777777" w:rsidTr="00F576B8">
        <w:tc>
          <w:tcPr>
            <w:tcW w:w="5070" w:type="dxa"/>
          </w:tcPr>
          <w:p w14:paraId="66E37EE8" w14:textId="77777777" w:rsidR="00F576B8" w:rsidRDefault="00F576B8" w:rsidP="00F576B8"/>
        </w:tc>
        <w:tc>
          <w:tcPr>
            <w:tcW w:w="2126" w:type="dxa"/>
          </w:tcPr>
          <w:p w14:paraId="408869E4" w14:textId="77695946" w:rsidR="00F576B8" w:rsidRDefault="00F576B8" w:rsidP="00F576B8">
            <w:pPr>
              <w:jc w:val="right"/>
            </w:pPr>
            <w:r>
              <w:t>2015</w:t>
            </w:r>
          </w:p>
        </w:tc>
        <w:tc>
          <w:tcPr>
            <w:tcW w:w="2046" w:type="dxa"/>
          </w:tcPr>
          <w:p w14:paraId="4C5320FA" w14:textId="1F92C380" w:rsidR="00F576B8" w:rsidRDefault="00F576B8" w:rsidP="00F576B8">
            <w:pPr>
              <w:jc w:val="right"/>
            </w:pPr>
            <w:r>
              <w:t>2014</w:t>
            </w:r>
          </w:p>
        </w:tc>
      </w:tr>
      <w:tr w:rsidR="00F576B8" w14:paraId="07D6CB2B" w14:textId="77777777" w:rsidTr="00F576B8">
        <w:tc>
          <w:tcPr>
            <w:tcW w:w="5070" w:type="dxa"/>
          </w:tcPr>
          <w:p w14:paraId="1E9087D2" w14:textId="77777777" w:rsidR="00F576B8" w:rsidRDefault="00F576B8" w:rsidP="00F576B8"/>
        </w:tc>
        <w:tc>
          <w:tcPr>
            <w:tcW w:w="2126" w:type="dxa"/>
          </w:tcPr>
          <w:p w14:paraId="29B74C6C" w14:textId="52EEDA06" w:rsidR="00F576B8" w:rsidRDefault="00F576B8" w:rsidP="00F576B8">
            <w:pPr>
              <w:jc w:val="right"/>
            </w:pPr>
            <w:r>
              <w:t>$000</w:t>
            </w:r>
          </w:p>
        </w:tc>
        <w:tc>
          <w:tcPr>
            <w:tcW w:w="2046" w:type="dxa"/>
          </w:tcPr>
          <w:p w14:paraId="77FB897F" w14:textId="302F09B3" w:rsidR="00F576B8" w:rsidRDefault="00F576B8" w:rsidP="00F576B8">
            <w:pPr>
              <w:jc w:val="right"/>
            </w:pPr>
            <w:r>
              <w:t>$000</w:t>
            </w:r>
          </w:p>
        </w:tc>
      </w:tr>
      <w:tr w:rsidR="00F576B8" w14:paraId="31778E1A" w14:textId="77777777" w:rsidTr="00F576B8">
        <w:tc>
          <w:tcPr>
            <w:tcW w:w="5070" w:type="dxa"/>
          </w:tcPr>
          <w:p w14:paraId="563CF807" w14:textId="77F1A879" w:rsidR="00F576B8" w:rsidRDefault="00F576B8" w:rsidP="00F576B8">
            <w:r>
              <w:t>General Account</w:t>
            </w:r>
          </w:p>
        </w:tc>
        <w:tc>
          <w:tcPr>
            <w:tcW w:w="2126" w:type="dxa"/>
            <w:shd w:val="clear" w:color="auto" w:fill="F5EDC1" w:themeFill="accent4"/>
          </w:tcPr>
          <w:p w14:paraId="7C04025A" w14:textId="0CD927D7" w:rsidR="00F576B8" w:rsidRDefault="00F576B8" w:rsidP="00F576B8">
            <w:pPr>
              <w:jc w:val="right"/>
            </w:pPr>
            <w:r>
              <w:t>620</w:t>
            </w:r>
          </w:p>
        </w:tc>
        <w:tc>
          <w:tcPr>
            <w:tcW w:w="2046" w:type="dxa"/>
            <w:shd w:val="clear" w:color="auto" w:fill="D4E2E0" w:themeFill="accent5"/>
          </w:tcPr>
          <w:p w14:paraId="40DB206B" w14:textId="01DA1C94" w:rsidR="00F576B8" w:rsidRDefault="00F576B8" w:rsidP="00F576B8">
            <w:pPr>
              <w:jc w:val="right"/>
            </w:pPr>
            <w:r>
              <w:t>577</w:t>
            </w:r>
          </w:p>
        </w:tc>
      </w:tr>
      <w:tr w:rsidR="00F576B8" w14:paraId="49BD1F5F" w14:textId="77777777" w:rsidTr="000439BA">
        <w:tc>
          <w:tcPr>
            <w:tcW w:w="5070" w:type="dxa"/>
          </w:tcPr>
          <w:p w14:paraId="52933E21" w14:textId="0D4C772A" w:rsidR="00F576B8" w:rsidRDefault="00F576B8" w:rsidP="00F576B8">
            <w:r>
              <w:t>Employers’ Indemnity Supplementation Account (see note 30)</w:t>
            </w:r>
          </w:p>
        </w:tc>
        <w:tc>
          <w:tcPr>
            <w:tcW w:w="2126" w:type="dxa"/>
            <w:shd w:val="clear" w:color="auto" w:fill="F5EDC1" w:themeFill="accent4"/>
          </w:tcPr>
          <w:p w14:paraId="75C36B26" w14:textId="49842DE5" w:rsidR="00F576B8" w:rsidRDefault="00F576B8" w:rsidP="00F576B8">
            <w:pPr>
              <w:jc w:val="right"/>
            </w:pPr>
            <w:r>
              <w:t>2,143</w:t>
            </w:r>
          </w:p>
        </w:tc>
        <w:tc>
          <w:tcPr>
            <w:tcW w:w="2046" w:type="dxa"/>
            <w:shd w:val="clear" w:color="auto" w:fill="D4E2E0" w:themeFill="accent5"/>
          </w:tcPr>
          <w:p w14:paraId="64F297F9" w14:textId="6EE18766" w:rsidR="00F576B8" w:rsidRDefault="00F576B8" w:rsidP="00F576B8">
            <w:pPr>
              <w:jc w:val="right"/>
            </w:pPr>
            <w:r>
              <w:t>1,850</w:t>
            </w:r>
          </w:p>
        </w:tc>
      </w:tr>
      <w:tr w:rsidR="00F576B8" w14:paraId="3E9C8C66" w14:textId="77777777" w:rsidTr="000439BA">
        <w:tc>
          <w:tcPr>
            <w:tcW w:w="5070" w:type="dxa"/>
          </w:tcPr>
          <w:p w14:paraId="401C96BA" w14:textId="77777777" w:rsidR="00F576B8" w:rsidRDefault="00F576B8" w:rsidP="00F576B8"/>
        </w:tc>
        <w:tc>
          <w:tcPr>
            <w:tcW w:w="2126" w:type="dxa"/>
            <w:tcBorders>
              <w:bottom w:val="single" w:sz="4" w:space="0" w:color="auto"/>
            </w:tcBorders>
            <w:shd w:val="clear" w:color="auto" w:fill="F5EDC1" w:themeFill="accent4"/>
          </w:tcPr>
          <w:p w14:paraId="23CF237B" w14:textId="16C302B8" w:rsidR="00F576B8" w:rsidRPr="00F576B8" w:rsidRDefault="00F576B8" w:rsidP="00F576B8">
            <w:pPr>
              <w:jc w:val="right"/>
              <w:rPr>
                <w:b/>
              </w:rPr>
            </w:pPr>
            <w:r w:rsidRPr="00F576B8">
              <w:rPr>
                <w:b/>
              </w:rPr>
              <w:t>2,763</w:t>
            </w:r>
          </w:p>
        </w:tc>
        <w:tc>
          <w:tcPr>
            <w:tcW w:w="2046" w:type="dxa"/>
            <w:tcBorders>
              <w:bottom w:val="single" w:sz="4" w:space="0" w:color="auto"/>
            </w:tcBorders>
            <w:shd w:val="clear" w:color="auto" w:fill="D4E2E0" w:themeFill="accent5"/>
          </w:tcPr>
          <w:p w14:paraId="5C90EB37" w14:textId="524C0244" w:rsidR="00F576B8" w:rsidRPr="00F576B8" w:rsidRDefault="00F576B8" w:rsidP="00F576B8">
            <w:pPr>
              <w:jc w:val="right"/>
              <w:rPr>
                <w:b/>
              </w:rPr>
            </w:pPr>
            <w:r w:rsidRPr="00F576B8">
              <w:rPr>
                <w:b/>
              </w:rPr>
              <w:t>2,427</w:t>
            </w:r>
          </w:p>
        </w:tc>
      </w:tr>
    </w:tbl>
    <w:p w14:paraId="7A2902B1" w14:textId="77777777" w:rsidR="00F576B8" w:rsidRDefault="00F576B8" w:rsidP="00F576B8"/>
    <w:p w14:paraId="369A82FC" w14:textId="0961E9A6" w:rsidR="00F576B8" w:rsidRDefault="00F576B8" w:rsidP="00F576B8">
      <w:pPr>
        <w:pStyle w:val="Heading2nonumber"/>
        <w:numPr>
          <w:ilvl w:val="0"/>
          <w:numId w:val="15"/>
        </w:numPr>
      </w:pPr>
      <w:bookmarkStart w:id="687" w:name="_Toc430091365"/>
      <w:r>
        <w:t>Other revenue</w:t>
      </w:r>
      <w:bookmarkEnd w:id="6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2082"/>
        <w:gridCol w:w="1998"/>
      </w:tblGrid>
      <w:tr w:rsidR="00F576B8" w14:paraId="4670E3BD" w14:textId="77777777" w:rsidTr="000C5C83">
        <w:tc>
          <w:tcPr>
            <w:tcW w:w="5070" w:type="dxa"/>
          </w:tcPr>
          <w:p w14:paraId="7378676A" w14:textId="2B27D57B" w:rsidR="00F576B8" w:rsidRPr="000439BA" w:rsidRDefault="000439BA" w:rsidP="000C5C83">
            <w:pPr>
              <w:rPr>
                <w:b/>
                <w:i/>
              </w:rPr>
            </w:pPr>
            <w:r w:rsidRPr="000439BA">
              <w:rPr>
                <w:b/>
                <w:i/>
              </w:rPr>
              <w:t>General Account</w:t>
            </w:r>
          </w:p>
        </w:tc>
        <w:tc>
          <w:tcPr>
            <w:tcW w:w="2126" w:type="dxa"/>
          </w:tcPr>
          <w:p w14:paraId="6D243714" w14:textId="70FD98B1" w:rsidR="00F576B8" w:rsidRDefault="00F576B8" w:rsidP="000C5C83">
            <w:pPr>
              <w:jc w:val="right"/>
            </w:pPr>
          </w:p>
        </w:tc>
        <w:tc>
          <w:tcPr>
            <w:tcW w:w="2046" w:type="dxa"/>
          </w:tcPr>
          <w:p w14:paraId="2161F7EC" w14:textId="4BD7A6D3" w:rsidR="00F576B8" w:rsidRDefault="00F576B8" w:rsidP="000C5C83">
            <w:pPr>
              <w:jc w:val="right"/>
            </w:pPr>
          </w:p>
        </w:tc>
      </w:tr>
      <w:tr w:rsidR="00F576B8" w14:paraId="579FCA85" w14:textId="77777777" w:rsidTr="000C5C83">
        <w:tc>
          <w:tcPr>
            <w:tcW w:w="5070" w:type="dxa"/>
          </w:tcPr>
          <w:p w14:paraId="73DD9CAE" w14:textId="32358795" w:rsidR="00F576B8" w:rsidRDefault="000439BA" w:rsidP="000C5C83">
            <w:r>
              <w:t>Recoveries from uninsured employers</w:t>
            </w:r>
          </w:p>
        </w:tc>
        <w:tc>
          <w:tcPr>
            <w:tcW w:w="2126" w:type="dxa"/>
            <w:shd w:val="clear" w:color="auto" w:fill="F5EDC1" w:themeFill="accent4"/>
          </w:tcPr>
          <w:p w14:paraId="17D0A2F1" w14:textId="4A9F25F0" w:rsidR="00F576B8" w:rsidRDefault="000439BA" w:rsidP="000C5C83">
            <w:pPr>
              <w:jc w:val="right"/>
            </w:pPr>
            <w:r>
              <w:t>155</w:t>
            </w:r>
          </w:p>
        </w:tc>
        <w:tc>
          <w:tcPr>
            <w:tcW w:w="2046" w:type="dxa"/>
            <w:shd w:val="clear" w:color="auto" w:fill="D4E2E0" w:themeFill="accent5"/>
          </w:tcPr>
          <w:p w14:paraId="3A07C866" w14:textId="567F349D" w:rsidR="00F576B8" w:rsidRDefault="000439BA" w:rsidP="000C5C83">
            <w:pPr>
              <w:jc w:val="right"/>
            </w:pPr>
            <w:r>
              <w:t>61</w:t>
            </w:r>
          </w:p>
        </w:tc>
      </w:tr>
      <w:tr w:rsidR="00F576B8" w14:paraId="1A66E1D0" w14:textId="77777777" w:rsidTr="000439BA">
        <w:tc>
          <w:tcPr>
            <w:tcW w:w="5070" w:type="dxa"/>
          </w:tcPr>
          <w:p w14:paraId="28292583" w14:textId="63A7E971" w:rsidR="00F576B8" w:rsidRDefault="000439BA" w:rsidP="000C5C83">
            <w:r>
              <w:t>Other</w:t>
            </w:r>
            <w:r w:rsidRPr="000439BA">
              <w:rPr>
                <w:vertAlign w:val="superscript"/>
              </w:rPr>
              <w:t>(a)</w:t>
            </w:r>
          </w:p>
        </w:tc>
        <w:tc>
          <w:tcPr>
            <w:tcW w:w="2126" w:type="dxa"/>
            <w:shd w:val="clear" w:color="auto" w:fill="F5EDC1" w:themeFill="accent4"/>
          </w:tcPr>
          <w:p w14:paraId="4D90DA39" w14:textId="3BB37070" w:rsidR="00F576B8" w:rsidRDefault="000439BA" w:rsidP="000C5C83">
            <w:pPr>
              <w:jc w:val="right"/>
            </w:pPr>
            <w:r>
              <w:t>949</w:t>
            </w:r>
          </w:p>
        </w:tc>
        <w:tc>
          <w:tcPr>
            <w:tcW w:w="2046" w:type="dxa"/>
            <w:shd w:val="clear" w:color="auto" w:fill="D4E2E0" w:themeFill="accent5"/>
          </w:tcPr>
          <w:p w14:paraId="4910890F" w14:textId="6DED511A" w:rsidR="00F576B8" w:rsidRDefault="000439BA" w:rsidP="000C5C83">
            <w:pPr>
              <w:jc w:val="right"/>
            </w:pPr>
            <w:r>
              <w:t>719</w:t>
            </w:r>
          </w:p>
        </w:tc>
      </w:tr>
      <w:tr w:rsidR="000439BA" w14:paraId="21E272BE" w14:textId="77777777" w:rsidTr="000439BA">
        <w:tc>
          <w:tcPr>
            <w:tcW w:w="5070" w:type="dxa"/>
          </w:tcPr>
          <w:p w14:paraId="07FF6DCC" w14:textId="77777777" w:rsidR="000439BA" w:rsidRDefault="000439BA" w:rsidP="000C5C83"/>
        </w:tc>
        <w:tc>
          <w:tcPr>
            <w:tcW w:w="2126" w:type="dxa"/>
            <w:tcBorders>
              <w:bottom w:val="single" w:sz="4" w:space="0" w:color="auto"/>
            </w:tcBorders>
            <w:shd w:val="clear" w:color="auto" w:fill="F5EDC1" w:themeFill="accent4"/>
          </w:tcPr>
          <w:p w14:paraId="6D23D90A" w14:textId="07589587" w:rsidR="000439BA" w:rsidRPr="000439BA" w:rsidRDefault="000439BA" w:rsidP="000C5C83">
            <w:pPr>
              <w:jc w:val="right"/>
              <w:rPr>
                <w:b/>
              </w:rPr>
            </w:pPr>
            <w:r w:rsidRPr="000439BA">
              <w:rPr>
                <w:b/>
              </w:rPr>
              <w:t>1,104</w:t>
            </w:r>
          </w:p>
        </w:tc>
        <w:tc>
          <w:tcPr>
            <w:tcW w:w="2046" w:type="dxa"/>
            <w:tcBorders>
              <w:bottom w:val="single" w:sz="4" w:space="0" w:color="auto"/>
            </w:tcBorders>
            <w:shd w:val="clear" w:color="auto" w:fill="D4E2E0" w:themeFill="accent5"/>
          </w:tcPr>
          <w:p w14:paraId="134A3BBD" w14:textId="6C6D1FDA" w:rsidR="000439BA" w:rsidRPr="000439BA" w:rsidRDefault="000439BA" w:rsidP="000C5C83">
            <w:pPr>
              <w:jc w:val="right"/>
              <w:rPr>
                <w:b/>
              </w:rPr>
            </w:pPr>
            <w:r w:rsidRPr="000439BA">
              <w:rPr>
                <w:b/>
              </w:rPr>
              <w:t>780</w:t>
            </w:r>
          </w:p>
        </w:tc>
      </w:tr>
    </w:tbl>
    <w:p w14:paraId="2D1B158C" w14:textId="3AF42A94" w:rsidR="00F576B8" w:rsidRDefault="000439BA" w:rsidP="000439BA">
      <w:r>
        <w:br/>
        <w:t>(a) Other is mainly comprised of fines, infringements, avoided premiums and contribution from Executive Vehicle Scheme.</w:t>
      </w:r>
    </w:p>
    <w:p w14:paraId="42CFF215" w14:textId="77777777" w:rsidR="000439BA" w:rsidRDefault="000439BA" w:rsidP="000439BA"/>
    <w:p w14:paraId="03166392" w14:textId="3F6090E0" w:rsidR="00F576B8" w:rsidRDefault="000439BA" w:rsidP="00F576B8">
      <w:pPr>
        <w:pStyle w:val="Heading2nonumber"/>
        <w:numPr>
          <w:ilvl w:val="0"/>
          <w:numId w:val="15"/>
        </w:numPr>
      </w:pPr>
      <w:bookmarkStart w:id="688" w:name="_Toc430091366"/>
      <w:r>
        <w:t>Employers’ Indemnity Supplementation Fund</w:t>
      </w:r>
      <w:bookmarkEnd w:id="6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2079"/>
        <w:gridCol w:w="2007"/>
      </w:tblGrid>
      <w:tr w:rsidR="00F576B8" w14:paraId="70330D0B" w14:textId="77777777" w:rsidTr="000C5C83">
        <w:tc>
          <w:tcPr>
            <w:tcW w:w="5070" w:type="dxa"/>
          </w:tcPr>
          <w:p w14:paraId="1F7B4857" w14:textId="4D387F80" w:rsidR="00F576B8" w:rsidRDefault="000439BA" w:rsidP="000C5C83">
            <w:r>
              <w:t>Surcharge</w:t>
            </w:r>
            <w:r w:rsidRPr="000439BA">
              <w:rPr>
                <w:vertAlign w:val="superscript"/>
              </w:rPr>
              <w:t>(i)</w:t>
            </w:r>
          </w:p>
        </w:tc>
        <w:tc>
          <w:tcPr>
            <w:tcW w:w="2126" w:type="dxa"/>
            <w:shd w:val="clear" w:color="auto" w:fill="F5EDC1" w:themeFill="accent4"/>
          </w:tcPr>
          <w:p w14:paraId="5792F87D" w14:textId="0B802B6B" w:rsidR="00F576B8" w:rsidRDefault="000439BA" w:rsidP="000C5C83">
            <w:pPr>
              <w:jc w:val="right"/>
            </w:pPr>
            <w:r>
              <w:t>2</w:t>
            </w:r>
          </w:p>
        </w:tc>
        <w:tc>
          <w:tcPr>
            <w:tcW w:w="2046" w:type="dxa"/>
            <w:shd w:val="clear" w:color="auto" w:fill="D4E2E0" w:themeFill="accent5"/>
          </w:tcPr>
          <w:p w14:paraId="3C53A6CE" w14:textId="4F0E5A26" w:rsidR="00F576B8" w:rsidRDefault="000439BA" w:rsidP="000C5C83">
            <w:pPr>
              <w:jc w:val="right"/>
            </w:pPr>
            <w:r>
              <w:t>12</w:t>
            </w:r>
          </w:p>
        </w:tc>
      </w:tr>
      <w:tr w:rsidR="00F576B8" w14:paraId="477D2910" w14:textId="77777777" w:rsidTr="000439BA">
        <w:tc>
          <w:tcPr>
            <w:tcW w:w="5070" w:type="dxa"/>
          </w:tcPr>
          <w:p w14:paraId="71884186" w14:textId="74A53912" w:rsidR="00F576B8" w:rsidRDefault="000439BA" w:rsidP="000C5C83">
            <w:r>
              <w:t>Recovery</w:t>
            </w:r>
            <w:r w:rsidRPr="000439BA">
              <w:rPr>
                <w:vertAlign w:val="superscript"/>
              </w:rPr>
              <w:t>(ii)</w:t>
            </w:r>
          </w:p>
        </w:tc>
        <w:tc>
          <w:tcPr>
            <w:tcW w:w="2126" w:type="dxa"/>
            <w:shd w:val="clear" w:color="auto" w:fill="F5EDC1" w:themeFill="accent4"/>
          </w:tcPr>
          <w:p w14:paraId="1346AC7D" w14:textId="018B5C82" w:rsidR="00F576B8" w:rsidRDefault="000439BA" w:rsidP="000C5C83">
            <w:pPr>
              <w:jc w:val="right"/>
            </w:pPr>
            <w:r>
              <w:t>9,494</w:t>
            </w:r>
          </w:p>
        </w:tc>
        <w:tc>
          <w:tcPr>
            <w:tcW w:w="2046" w:type="dxa"/>
            <w:shd w:val="clear" w:color="auto" w:fill="D4E2E0" w:themeFill="accent5"/>
          </w:tcPr>
          <w:p w14:paraId="1954062A" w14:textId="5A68892B" w:rsidR="00F576B8" w:rsidRDefault="000439BA" w:rsidP="000C5C83">
            <w:pPr>
              <w:jc w:val="right"/>
            </w:pPr>
            <w:r>
              <w:t>9,993</w:t>
            </w:r>
          </w:p>
        </w:tc>
      </w:tr>
      <w:tr w:rsidR="000439BA" w14:paraId="630F36B8" w14:textId="77777777" w:rsidTr="000439BA">
        <w:tc>
          <w:tcPr>
            <w:tcW w:w="5070" w:type="dxa"/>
          </w:tcPr>
          <w:p w14:paraId="6F897493" w14:textId="77777777" w:rsidR="000439BA" w:rsidRDefault="000439BA" w:rsidP="000C5C83"/>
        </w:tc>
        <w:tc>
          <w:tcPr>
            <w:tcW w:w="2126" w:type="dxa"/>
            <w:tcBorders>
              <w:bottom w:val="single" w:sz="4" w:space="0" w:color="auto"/>
            </w:tcBorders>
            <w:shd w:val="clear" w:color="auto" w:fill="F5EDC1" w:themeFill="accent4"/>
          </w:tcPr>
          <w:p w14:paraId="074A2491" w14:textId="59B32475" w:rsidR="000439BA" w:rsidRPr="000439BA" w:rsidRDefault="000439BA" w:rsidP="000C5C83">
            <w:pPr>
              <w:jc w:val="right"/>
              <w:rPr>
                <w:b/>
              </w:rPr>
            </w:pPr>
            <w:r w:rsidRPr="000439BA">
              <w:rPr>
                <w:b/>
              </w:rPr>
              <w:t>9,496</w:t>
            </w:r>
          </w:p>
        </w:tc>
        <w:tc>
          <w:tcPr>
            <w:tcW w:w="2046" w:type="dxa"/>
            <w:tcBorders>
              <w:bottom w:val="single" w:sz="4" w:space="0" w:color="auto"/>
            </w:tcBorders>
            <w:shd w:val="clear" w:color="auto" w:fill="D4E2E0" w:themeFill="accent5"/>
          </w:tcPr>
          <w:p w14:paraId="42697736" w14:textId="488A80C2" w:rsidR="000439BA" w:rsidRPr="000439BA" w:rsidRDefault="000439BA" w:rsidP="000C5C83">
            <w:pPr>
              <w:jc w:val="right"/>
              <w:rPr>
                <w:b/>
              </w:rPr>
            </w:pPr>
            <w:r w:rsidRPr="000439BA">
              <w:rPr>
                <w:b/>
              </w:rPr>
              <w:t>10,005</w:t>
            </w:r>
          </w:p>
        </w:tc>
      </w:tr>
    </w:tbl>
    <w:p w14:paraId="279D204F" w14:textId="0C526295" w:rsidR="00F576B8" w:rsidRDefault="005A5B6F" w:rsidP="00F576B8">
      <w:r>
        <w:br/>
        <w:t>(i) Represents funds collected from the Supplementation Fund Levy</w:t>
      </w:r>
    </w:p>
    <w:p w14:paraId="4C584970" w14:textId="7F1D633A" w:rsidR="005A5B6F" w:rsidRDefault="005A5B6F" w:rsidP="00F576B8">
      <w:r>
        <w:t>(ii) Dividends received from the liquidation of HIH, CIC and FAI Insurance</w:t>
      </w:r>
    </w:p>
    <w:p w14:paraId="2B3C3F1A" w14:textId="77777777" w:rsidR="00F576B8" w:rsidRDefault="00F576B8" w:rsidP="00F576B8"/>
    <w:p w14:paraId="504D567F" w14:textId="76ED6A8F" w:rsidR="009878A3" w:rsidRDefault="009878A3" w:rsidP="009878A3">
      <w:pPr>
        <w:pStyle w:val="Heading2nonumber"/>
        <w:numPr>
          <w:ilvl w:val="0"/>
          <w:numId w:val="15"/>
        </w:numPr>
      </w:pPr>
      <w:bookmarkStart w:id="689" w:name="_Toc430091367"/>
      <w:r>
        <w:lastRenderedPageBreak/>
        <w:t>Claims Expenses</w:t>
      </w:r>
      <w:bookmarkEnd w:id="6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2075"/>
        <w:gridCol w:w="1999"/>
      </w:tblGrid>
      <w:tr w:rsidR="002818AA" w14:paraId="2BBD35F8" w14:textId="77777777" w:rsidTr="002818AA">
        <w:tc>
          <w:tcPr>
            <w:tcW w:w="5070" w:type="dxa"/>
          </w:tcPr>
          <w:p w14:paraId="58B3552E" w14:textId="77777777" w:rsidR="002818AA" w:rsidRDefault="002818AA" w:rsidP="000C5C83"/>
        </w:tc>
        <w:tc>
          <w:tcPr>
            <w:tcW w:w="2126" w:type="dxa"/>
            <w:shd w:val="clear" w:color="auto" w:fill="FFFFFF" w:themeFill="background1"/>
          </w:tcPr>
          <w:p w14:paraId="72D7B953" w14:textId="086D2486" w:rsidR="002818AA" w:rsidRDefault="002818AA" w:rsidP="000C5C83">
            <w:pPr>
              <w:jc w:val="right"/>
            </w:pPr>
            <w:r>
              <w:t>2015</w:t>
            </w:r>
          </w:p>
        </w:tc>
        <w:tc>
          <w:tcPr>
            <w:tcW w:w="2046" w:type="dxa"/>
            <w:shd w:val="clear" w:color="auto" w:fill="FFFFFF" w:themeFill="background1"/>
          </w:tcPr>
          <w:p w14:paraId="58ED8968" w14:textId="5E1EDE8D" w:rsidR="002818AA" w:rsidRDefault="002818AA" w:rsidP="000C5C83">
            <w:pPr>
              <w:jc w:val="right"/>
            </w:pPr>
            <w:r>
              <w:t>2014</w:t>
            </w:r>
          </w:p>
        </w:tc>
      </w:tr>
      <w:tr w:rsidR="002818AA" w14:paraId="32B99446" w14:textId="77777777" w:rsidTr="002818AA">
        <w:tc>
          <w:tcPr>
            <w:tcW w:w="5070" w:type="dxa"/>
          </w:tcPr>
          <w:p w14:paraId="75A284F3" w14:textId="77777777" w:rsidR="002818AA" w:rsidRDefault="002818AA" w:rsidP="000C5C83"/>
        </w:tc>
        <w:tc>
          <w:tcPr>
            <w:tcW w:w="2126" w:type="dxa"/>
            <w:shd w:val="clear" w:color="auto" w:fill="FFFFFF" w:themeFill="background1"/>
          </w:tcPr>
          <w:p w14:paraId="76D362AC" w14:textId="614CB810" w:rsidR="002818AA" w:rsidRDefault="002818AA" w:rsidP="000C5C83">
            <w:pPr>
              <w:jc w:val="right"/>
            </w:pPr>
            <w:r>
              <w:t>$000</w:t>
            </w:r>
          </w:p>
        </w:tc>
        <w:tc>
          <w:tcPr>
            <w:tcW w:w="2046" w:type="dxa"/>
            <w:shd w:val="clear" w:color="auto" w:fill="FFFFFF" w:themeFill="background1"/>
          </w:tcPr>
          <w:p w14:paraId="267D5F31" w14:textId="573E2CC8" w:rsidR="002818AA" w:rsidRDefault="002818AA" w:rsidP="000C5C83">
            <w:pPr>
              <w:jc w:val="right"/>
            </w:pPr>
            <w:r>
              <w:t>$000</w:t>
            </w:r>
          </w:p>
        </w:tc>
      </w:tr>
      <w:tr w:rsidR="00F576B8" w14:paraId="50F27D4A" w14:textId="77777777" w:rsidTr="000C5C83">
        <w:tc>
          <w:tcPr>
            <w:tcW w:w="5070" w:type="dxa"/>
          </w:tcPr>
          <w:p w14:paraId="2B338CA8" w14:textId="2EB8EE2B" w:rsidR="00F576B8" w:rsidRDefault="005B04F9" w:rsidP="000C5C83">
            <w:r>
              <w:t>Workers’ compensation claims – Employers’ Indemnity Supplementation Fund (see note 27 &amp; 30)</w:t>
            </w:r>
          </w:p>
        </w:tc>
        <w:tc>
          <w:tcPr>
            <w:tcW w:w="2126" w:type="dxa"/>
            <w:shd w:val="clear" w:color="auto" w:fill="F5EDC1" w:themeFill="accent4"/>
          </w:tcPr>
          <w:p w14:paraId="73A7C1C0" w14:textId="0795A657" w:rsidR="00F576B8" w:rsidRDefault="005B04F9" w:rsidP="000C5C83">
            <w:pPr>
              <w:jc w:val="right"/>
            </w:pPr>
            <w:r>
              <w:t>802</w:t>
            </w:r>
          </w:p>
        </w:tc>
        <w:tc>
          <w:tcPr>
            <w:tcW w:w="2046" w:type="dxa"/>
            <w:shd w:val="clear" w:color="auto" w:fill="D4E2E0" w:themeFill="accent5"/>
          </w:tcPr>
          <w:p w14:paraId="05C0CFD9" w14:textId="131B0C5C" w:rsidR="00F576B8" w:rsidRDefault="005B04F9" w:rsidP="000C5C83">
            <w:pPr>
              <w:jc w:val="right"/>
            </w:pPr>
            <w:r>
              <w:t>5,469</w:t>
            </w:r>
          </w:p>
        </w:tc>
      </w:tr>
      <w:tr w:rsidR="00F576B8" w14:paraId="6F94B2C1" w14:textId="77777777" w:rsidTr="005B04F9">
        <w:tc>
          <w:tcPr>
            <w:tcW w:w="5070" w:type="dxa"/>
          </w:tcPr>
          <w:p w14:paraId="01BD6856" w14:textId="70AC1B1D" w:rsidR="00F576B8" w:rsidRDefault="005B04F9" w:rsidP="000C5C83">
            <w:r>
              <w:t>Uninsured claims – General Fund (see note 27)</w:t>
            </w:r>
          </w:p>
        </w:tc>
        <w:tc>
          <w:tcPr>
            <w:tcW w:w="2126" w:type="dxa"/>
            <w:shd w:val="clear" w:color="auto" w:fill="F5EDC1" w:themeFill="accent4"/>
          </w:tcPr>
          <w:p w14:paraId="5A5866A9" w14:textId="159914DC" w:rsidR="00F576B8" w:rsidRDefault="005B04F9" w:rsidP="000C5C83">
            <w:pPr>
              <w:jc w:val="right"/>
            </w:pPr>
            <w:r>
              <w:t>461</w:t>
            </w:r>
          </w:p>
        </w:tc>
        <w:tc>
          <w:tcPr>
            <w:tcW w:w="2046" w:type="dxa"/>
            <w:shd w:val="clear" w:color="auto" w:fill="D4E2E0" w:themeFill="accent5"/>
          </w:tcPr>
          <w:p w14:paraId="0C673CD0" w14:textId="2CC1F000" w:rsidR="00F576B8" w:rsidRDefault="005B04F9" w:rsidP="000C5C83">
            <w:pPr>
              <w:jc w:val="right"/>
            </w:pPr>
            <w:r>
              <w:t>2,371</w:t>
            </w:r>
          </w:p>
        </w:tc>
      </w:tr>
      <w:tr w:rsidR="005B04F9" w14:paraId="2E7D1C0D" w14:textId="77777777" w:rsidTr="005B04F9">
        <w:tc>
          <w:tcPr>
            <w:tcW w:w="5070" w:type="dxa"/>
          </w:tcPr>
          <w:p w14:paraId="16C185ED" w14:textId="77777777" w:rsidR="005B04F9" w:rsidRDefault="005B04F9" w:rsidP="000C5C83"/>
        </w:tc>
        <w:tc>
          <w:tcPr>
            <w:tcW w:w="2126" w:type="dxa"/>
            <w:tcBorders>
              <w:bottom w:val="single" w:sz="4" w:space="0" w:color="auto"/>
            </w:tcBorders>
            <w:shd w:val="clear" w:color="auto" w:fill="F5EDC1" w:themeFill="accent4"/>
          </w:tcPr>
          <w:p w14:paraId="193B95C3" w14:textId="10A9E229" w:rsidR="005B04F9" w:rsidRPr="005B04F9" w:rsidRDefault="005B04F9" w:rsidP="000C5C83">
            <w:pPr>
              <w:jc w:val="right"/>
              <w:rPr>
                <w:b/>
              </w:rPr>
            </w:pPr>
            <w:r w:rsidRPr="005B04F9">
              <w:rPr>
                <w:b/>
              </w:rPr>
              <w:t>1,263</w:t>
            </w:r>
          </w:p>
        </w:tc>
        <w:tc>
          <w:tcPr>
            <w:tcW w:w="2046" w:type="dxa"/>
            <w:tcBorders>
              <w:bottom w:val="single" w:sz="4" w:space="0" w:color="auto"/>
            </w:tcBorders>
            <w:shd w:val="clear" w:color="auto" w:fill="D4E2E0" w:themeFill="accent5"/>
          </w:tcPr>
          <w:p w14:paraId="1DED2A51" w14:textId="605604A7" w:rsidR="005B04F9" w:rsidRPr="005B04F9" w:rsidRDefault="005B04F9" w:rsidP="000C5C83">
            <w:pPr>
              <w:jc w:val="right"/>
              <w:rPr>
                <w:b/>
              </w:rPr>
            </w:pPr>
            <w:r w:rsidRPr="005B04F9">
              <w:rPr>
                <w:b/>
              </w:rPr>
              <w:t>7,840</w:t>
            </w:r>
          </w:p>
        </w:tc>
      </w:tr>
    </w:tbl>
    <w:p w14:paraId="17063BEF" w14:textId="77777777" w:rsidR="000439BA" w:rsidRDefault="000439BA" w:rsidP="00F576B8"/>
    <w:p w14:paraId="2EF15DB8" w14:textId="1BE00329" w:rsidR="002818AA" w:rsidRDefault="002818AA" w:rsidP="00F576B8">
      <w:pPr>
        <w:pStyle w:val="Heading2nonumber"/>
        <w:numPr>
          <w:ilvl w:val="0"/>
          <w:numId w:val="15"/>
        </w:numPr>
      </w:pPr>
      <w:bookmarkStart w:id="690" w:name="_Toc430091368"/>
      <w:r>
        <w:t>Net gain/(loss) on disposal of non-current assets</w:t>
      </w:r>
      <w:bookmarkEnd w:id="6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2077"/>
        <w:gridCol w:w="2000"/>
      </w:tblGrid>
      <w:tr w:rsidR="000439BA" w14:paraId="2649AA6D" w14:textId="77777777" w:rsidTr="00EC0C2D">
        <w:tc>
          <w:tcPr>
            <w:tcW w:w="5070" w:type="dxa"/>
          </w:tcPr>
          <w:p w14:paraId="17982732" w14:textId="08AA657A" w:rsidR="000439BA" w:rsidRPr="00EC0C2D" w:rsidRDefault="00EC0C2D" w:rsidP="00EC0C2D">
            <w:pPr>
              <w:rPr>
                <w:i/>
              </w:rPr>
            </w:pPr>
            <w:r w:rsidRPr="00EC0C2D">
              <w:rPr>
                <w:i/>
                <w:spacing w:val="-2"/>
              </w:rPr>
              <w:t>P</w:t>
            </w:r>
            <w:r w:rsidRPr="00EC0C2D">
              <w:rPr>
                <w:i/>
                <w:spacing w:val="-1"/>
              </w:rPr>
              <w:t>r</w:t>
            </w:r>
            <w:r w:rsidRPr="00EC0C2D">
              <w:rPr>
                <w:i/>
              </w:rPr>
              <w:t>o</w:t>
            </w:r>
            <w:r w:rsidRPr="00EC0C2D">
              <w:rPr>
                <w:i/>
                <w:spacing w:val="-2"/>
              </w:rPr>
              <w:t>c</w:t>
            </w:r>
            <w:r w:rsidRPr="00EC0C2D">
              <w:rPr>
                <w:i/>
              </w:rPr>
              <w:t>eeds f</w:t>
            </w:r>
            <w:r w:rsidRPr="00EC0C2D">
              <w:rPr>
                <w:i/>
                <w:spacing w:val="-1"/>
              </w:rPr>
              <w:t>r</w:t>
            </w:r>
            <w:r w:rsidRPr="00EC0C2D">
              <w:rPr>
                <w:i/>
              </w:rPr>
              <w:t>om Disposal of Non</w:t>
            </w:r>
            <w:r w:rsidRPr="00EC0C2D">
              <w:rPr>
                <w:i/>
                <w:spacing w:val="2"/>
              </w:rPr>
              <w:t>-</w:t>
            </w:r>
            <w:r w:rsidRPr="00EC0C2D">
              <w:rPr>
                <w:i/>
                <w:spacing w:val="-1"/>
              </w:rPr>
              <w:t>C</w:t>
            </w:r>
            <w:r w:rsidRPr="00EC0C2D">
              <w:rPr>
                <w:i/>
              </w:rPr>
              <w:t>ur</w:t>
            </w:r>
            <w:r w:rsidRPr="00EC0C2D">
              <w:rPr>
                <w:i/>
                <w:spacing w:val="-1"/>
              </w:rPr>
              <w:t>r</w:t>
            </w:r>
            <w:r w:rsidRPr="00EC0C2D">
              <w:rPr>
                <w:i/>
              </w:rPr>
              <w:t>ent Assets</w:t>
            </w:r>
          </w:p>
        </w:tc>
        <w:tc>
          <w:tcPr>
            <w:tcW w:w="2126" w:type="dxa"/>
            <w:shd w:val="clear" w:color="auto" w:fill="FFFFFF" w:themeFill="background1"/>
          </w:tcPr>
          <w:p w14:paraId="43246196" w14:textId="77777777" w:rsidR="000439BA" w:rsidRDefault="000439BA" w:rsidP="000C5C83">
            <w:pPr>
              <w:jc w:val="right"/>
            </w:pPr>
          </w:p>
        </w:tc>
        <w:tc>
          <w:tcPr>
            <w:tcW w:w="2046" w:type="dxa"/>
            <w:shd w:val="clear" w:color="auto" w:fill="FFFFFF" w:themeFill="background1"/>
          </w:tcPr>
          <w:p w14:paraId="65C088B6" w14:textId="77777777" w:rsidR="000439BA" w:rsidRDefault="000439BA" w:rsidP="000C5C83">
            <w:pPr>
              <w:jc w:val="right"/>
            </w:pPr>
          </w:p>
        </w:tc>
      </w:tr>
      <w:tr w:rsidR="000439BA" w14:paraId="5235BE53" w14:textId="77777777" w:rsidTr="00EC0C2D">
        <w:tc>
          <w:tcPr>
            <w:tcW w:w="5070" w:type="dxa"/>
          </w:tcPr>
          <w:p w14:paraId="731BD82F" w14:textId="0C03A588" w:rsidR="000439BA" w:rsidRDefault="00EC0C2D" w:rsidP="000C5C83">
            <w:r>
              <w:t>Vehicles</w:t>
            </w:r>
          </w:p>
        </w:tc>
        <w:tc>
          <w:tcPr>
            <w:tcW w:w="2126" w:type="dxa"/>
            <w:shd w:val="clear" w:color="auto" w:fill="F5EDC1" w:themeFill="accent4"/>
          </w:tcPr>
          <w:p w14:paraId="0E4172F2" w14:textId="02F20C54" w:rsidR="000439BA" w:rsidRDefault="00EC0C2D" w:rsidP="000C5C83">
            <w:pPr>
              <w:jc w:val="right"/>
            </w:pPr>
            <w:r>
              <w:t>63</w:t>
            </w:r>
          </w:p>
        </w:tc>
        <w:tc>
          <w:tcPr>
            <w:tcW w:w="2046" w:type="dxa"/>
            <w:shd w:val="clear" w:color="auto" w:fill="D4E2E0" w:themeFill="accent5"/>
          </w:tcPr>
          <w:p w14:paraId="7FE368BB" w14:textId="1ACFB5A7" w:rsidR="000439BA" w:rsidRDefault="00EC0C2D" w:rsidP="000C5C83">
            <w:pPr>
              <w:jc w:val="right"/>
            </w:pPr>
            <w:r>
              <w:t>53</w:t>
            </w:r>
          </w:p>
        </w:tc>
      </w:tr>
      <w:tr w:rsidR="00EC0C2D" w14:paraId="6C130EBE" w14:textId="77777777" w:rsidTr="00EC0C2D">
        <w:tc>
          <w:tcPr>
            <w:tcW w:w="5070" w:type="dxa"/>
          </w:tcPr>
          <w:p w14:paraId="4624D59E" w14:textId="77777777" w:rsidR="00EC0C2D" w:rsidRDefault="00EC0C2D" w:rsidP="000C5C83"/>
        </w:tc>
        <w:tc>
          <w:tcPr>
            <w:tcW w:w="2126" w:type="dxa"/>
            <w:tcBorders>
              <w:bottom w:val="single" w:sz="4" w:space="0" w:color="auto"/>
            </w:tcBorders>
            <w:shd w:val="clear" w:color="auto" w:fill="F5EDC1" w:themeFill="accent4"/>
          </w:tcPr>
          <w:p w14:paraId="0E23F6DB" w14:textId="322980C4" w:rsidR="00EC0C2D" w:rsidRPr="00EC0C2D" w:rsidRDefault="00EC0C2D" w:rsidP="000C5C83">
            <w:pPr>
              <w:jc w:val="right"/>
              <w:rPr>
                <w:b/>
              </w:rPr>
            </w:pPr>
            <w:r w:rsidRPr="00EC0C2D">
              <w:rPr>
                <w:b/>
              </w:rPr>
              <w:t>63</w:t>
            </w:r>
          </w:p>
        </w:tc>
        <w:tc>
          <w:tcPr>
            <w:tcW w:w="2046" w:type="dxa"/>
            <w:tcBorders>
              <w:bottom w:val="single" w:sz="4" w:space="0" w:color="auto"/>
            </w:tcBorders>
            <w:shd w:val="clear" w:color="auto" w:fill="D4E2E0" w:themeFill="accent5"/>
          </w:tcPr>
          <w:p w14:paraId="14C1DB9F" w14:textId="7D3DAEB3" w:rsidR="00EC0C2D" w:rsidRPr="00EC0C2D" w:rsidRDefault="00EC0C2D" w:rsidP="000C5C83">
            <w:pPr>
              <w:jc w:val="right"/>
              <w:rPr>
                <w:b/>
              </w:rPr>
            </w:pPr>
            <w:r w:rsidRPr="00EC0C2D">
              <w:rPr>
                <w:b/>
              </w:rPr>
              <w:t>53</w:t>
            </w:r>
          </w:p>
        </w:tc>
      </w:tr>
      <w:tr w:rsidR="00EC0C2D" w14:paraId="20C53152" w14:textId="77777777" w:rsidTr="000C5C83">
        <w:tc>
          <w:tcPr>
            <w:tcW w:w="5070" w:type="dxa"/>
          </w:tcPr>
          <w:p w14:paraId="2727DD4D" w14:textId="77777777" w:rsidR="00EC0C2D" w:rsidRDefault="00EC0C2D" w:rsidP="000C5C83">
            <w:pPr>
              <w:rPr>
                <w:i/>
                <w:spacing w:val="-2"/>
              </w:rPr>
            </w:pPr>
          </w:p>
          <w:p w14:paraId="14B50ACA" w14:textId="12BE3C9C" w:rsidR="00EC0C2D" w:rsidRPr="00EC0C2D" w:rsidRDefault="00EC0C2D" w:rsidP="000C5C83">
            <w:pPr>
              <w:rPr>
                <w:i/>
              </w:rPr>
            </w:pPr>
            <w:r>
              <w:rPr>
                <w:i/>
                <w:spacing w:val="-2"/>
              </w:rPr>
              <w:t>Costs of Disposal of Non-Current Assets</w:t>
            </w:r>
          </w:p>
        </w:tc>
        <w:tc>
          <w:tcPr>
            <w:tcW w:w="2126" w:type="dxa"/>
            <w:shd w:val="clear" w:color="auto" w:fill="FFFFFF" w:themeFill="background1"/>
          </w:tcPr>
          <w:p w14:paraId="006BA607" w14:textId="77777777" w:rsidR="00EC0C2D" w:rsidRDefault="00EC0C2D" w:rsidP="000C5C83">
            <w:pPr>
              <w:jc w:val="right"/>
            </w:pPr>
          </w:p>
        </w:tc>
        <w:tc>
          <w:tcPr>
            <w:tcW w:w="2046" w:type="dxa"/>
            <w:shd w:val="clear" w:color="auto" w:fill="FFFFFF" w:themeFill="background1"/>
          </w:tcPr>
          <w:p w14:paraId="3CCD0853" w14:textId="77777777" w:rsidR="00EC0C2D" w:rsidRDefault="00EC0C2D" w:rsidP="000C5C83">
            <w:pPr>
              <w:jc w:val="right"/>
            </w:pPr>
          </w:p>
        </w:tc>
      </w:tr>
      <w:tr w:rsidR="00EC0C2D" w14:paraId="0423ADC5" w14:textId="77777777" w:rsidTr="000C5C83">
        <w:tc>
          <w:tcPr>
            <w:tcW w:w="5070" w:type="dxa"/>
          </w:tcPr>
          <w:p w14:paraId="4801DB93" w14:textId="6EA4078C" w:rsidR="00EC0C2D" w:rsidRDefault="00EC0C2D" w:rsidP="000C5C83">
            <w:r>
              <w:t>Equipment</w:t>
            </w:r>
          </w:p>
        </w:tc>
        <w:tc>
          <w:tcPr>
            <w:tcW w:w="2126" w:type="dxa"/>
            <w:shd w:val="clear" w:color="auto" w:fill="F5EDC1" w:themeFill="accent4"/>
          </w:tcPr>
          <w:p w14:paraId="0A516681" w14:textId="25C28697" w:rsidR="00EC0C2D" w:rsidRDefault="00EC0C2D" w:rsidP="000C5C83">
            <w:pPr>
              <w:jc w:val="right"/>
            </w:pPr>
            <w:r>
              <w:t>(6)</w:t>
            </w:r>
          </w:p>
        </w:tc>
        <w:tc>
          <w:tcPr>
            <w:tcW w:w="2046" w:type="dxa"/>
            <w:shd w:val="clear" w:color="auto" w:fill="D4E2E0" w:themeFill="accent5"/>
          </w:tcPr>
          <w:p w14:paraId="6FD61D01" w14:textId="32B20495" w:rsidR="00EC0C2D" w:rsidRDefault="00EC0C2D" w:rsidP="000C5C83">
            <w:pPr>
              <w:jc w:val="right"/>
            </w:pPr>
            <w:r>
              <w:t>(9)</w:t>
            </w:r>
          </w:p>
        </w:tc>
      </w:tr>
      <w:tr w:rsidR="00EC0C2D" w14:paraId="201C0978" w14:textId="77777777" w:rsidTr="000C5C83">
        <w:tc>
          <w:tcPr>
            <w:tcW w:w="5070" w:type="dxa"/>
          </w:tcPr>
          <w:p w14:paraId="7884A93C" w14:textId="726684AB" w:rsidR="00EC0C2D" w:rsidRDefault="00EC0C2D" w:rsidP="000C5C83">
            <w:r>
              <w:t>IT hardware</w:t>
            </w:r>
          </w:p>
        </w:tc>
        <w:tc>
          <w:tcPr>
            <w:tcW w:w="2126" w:type="dxa"/>
            <w:shd w:val="clear" w:color="auto" w:fill="F5EDC1" w:themeFill="accent4"/>
          </w:tcPr>
          <w:p w14:paraId="145D6A0C" w14:textId="61FC8B55" w:rsidR="00EC0C2D" w:rsidRDefault="00EC0C2D" w:rsidP="000C5C83">
            <w:pPr>
              <w:jc w:val="right"/>
            </w:pPr>
            <w:r>
              <w:t>-</w:t>
            </w:r>
          </w:p>
        </w:tc>
        <w:tc>
          <w:tcPr>
            <w:tcW w:w="2046" w:type="dxa"/>
            <w:shd w:val="clear" w:color="auto" w:fill="D4E2E0" w:themeFill="accent5"/>
          </w:tcPr>
          <w:p w14:paraId="5EB9FC97" w14:textId="307A156B" w:rsidR="00EC0C2D" w:rsidRDefault="00EC0C2D" w:rsidP="000C5C83">
            <w:pPr>
              <w:jc w:val="right"/>
            </w:pPr>
            <w:r>
              <w:t>(16)</w:t>
            </w:r>
          </w:p>
        </w:tc>
      </w:tr>
      <w:tr w:rsidR="00EC0C2D" w14:paraId="6F2EBFB1" w14:textId="77777777" w:rsidTr="000C5C83">
        <w:tc>
          <w:tcPr>
            <w:tcW w:w="5070" w:type="dxa"/>
          </w:tcPr>
          <w:p w14:paraId="5B2EFD2A" w14:textId="56948608" w:rsidR="00EC0C2D" w:rsidRDefault="00EC0C2D" w:rsidP="000C5C83">
            <w:r>
              <w:t>Vehicles</w:t>
            </w:r>
          </w:p>
        </w:tc>
        <w:tc>
          <w:tcPr>
            <w:tcW w:w="2126" w:type="dxa"/>
            <w:shd w:val="clear" w:color="auto" w:fill="F5EDC1" w:themeFill="accent4"/>
          </w:tcPr>
          <w:p w14:paraId="34B31631" w14:textId="1AE6CAC8" w:rsidR="00EC0C2D" w:rsidRDefault="00EC0C2D" w:rsidP="000C5C83">
            <w:pPr>
              <w:jc w:val="right"/>
            </w:pPr>
            <w:r>
              <w:t>(69)</w:t>
            </w:r>
          </w:p>
        </w:tc>
        <w:tc>
          <w:tcPr>
            <w:tcW w:w="2046" w:type="dxa"/>
            <w:shd w:val="clear" w:color="auto" w:fill="D4E2E0" w:themeFill="accent5"/>
          </w:tcPr>
          <w:p w14:paraId="556718C9" w14:textId="22FE2763" w:rsidR="00EC0C2D" w:rsidRDefault="00EC0C2D" w:rsidP="000C5C83">
            <w:pPr>
              <w:jc w:val="right"/>
            </w:pPr>
            <w:r>
              <w:t>(58)</w:t>
            </w:r>
          </w:p>
        </w:tc>
      </w:tr>
      <w:tr w:rsidR="00EC0C2D" w14:paraId="71C67747" w14:textId="77777777" w:rsidTr="00E15C7C">
        <w:tc>
          <w:tcPr>
            <w:tcW w:w="5070" w:type="dxa"/>
          </w:tcPr>
          <w:p w14:paraId="286909CF" w14:textId="77777777" w:rsidR="00EC0C2D" w:rsidRDefault="00EC0C2D" w:rsidP="000C5C83"/>
        </w:tc>
        <w:tc>
          <w:tcPr>
            <w:tcW w:w="2126" w:type="dxa"/>
            <w:tcBorders>
              <w:bottom w:val="single" w:sz="4" w:space="0" w:color="auto"/>
            </w:tcBorders>
            <w:shd w:val="clear" w:color="auto" w:fill="F5EDC1" w:themeFill="accent4"/>
          </w:tcPr>
          <w:p w14:paraId="60AA15F3" w14:textId="65DAD9C0" w:rsidR="00EC0C2D" w:rsidRPr="00EC0C2D" w:rsidRDefault="00EC0C2D" w:rsidP="000C5C83">
            <w:pPr>
              <w:jc w:val="right"/>
              <w:rPr>
                <w:b/>
              </w:rPr>
            </w:pPr>
            <w:r w:rsidRPr="00EC0C2D">
              <w:rPr>
                <w:b/>
              </w:rPr>
              <w:t>(75)</w:t>
            </w:r>
          </w:p>
        </w:tc>
        <w:tc>
          <w:tcPr>
            <w:tcW w:w="2046" w:type="dxa"/>
            <w:tcBorders>
              <w:bottom w:val="single" w:sz="4" w:space="0" w:color="auto"/>
            </w:tcBorders>
            <w:shd w:val="clear" w:color="auto" w:fill="D4E2E0" w:themeFill="accent5"/>
          </w:tcPr>
          <w:p w14:paraId="7818FD9D" w14:textId="17E07770" w:rsidR="00EC0C2D" w:rsidRPr="00EC0C2D" w:rsidRDefault="00EC0C2D" w:rsidP="000C5C83">
            <w:pPr>
              <w:jc w:val="right"/>
              <w:rPr>
                <w:b/>
              </w:rPr>
            </w:pPr>
            <w:r w:rsidRPr="00EC0C2D">
              <w:rPr>
                <w:b/>
              </w:rPr>
              <w:t>(83)</w:t>
            </w:r>
          </w:p>
        </w:tc>
      </w:tr>
      <w:tr w:rsidR="00EC0C2D" w:rsidRPr="00EC0C2D" w14:paraId="13F21A6D" w14:textId="77777777" w:rsidTr="00E15C7C">
        <w:tc>
          <w:tcPr>
            <w:tcW w:w="5070" w:type="dxa"/>
          </w:tcPr>
          <w:p w14:paraId="67CE2286" w14:textId="1952D19E" w:rsidR="00EC0C2D" w:rsidRPr="00EC0C2D" w:rsidRDefault="00EC0C2D" w:rsidP="000C5C83">
            <w:pPr>
              <w:rPr>
                <w:b/>
              </w:rPr>
            </w:pPr>
            <w:r w:rsidRPr="00EC0C2D">
              <w:rPr>
                <w:b/>
              </w:rPr>
              <w:t>Net loss</w:t>
            </w:r>
          </w:p>
        </w:tc>
        <w:tc>
          <w:tcPr>
            <w:tcW w:w="2126" w:type="dxa"/>
            <w:tcBorders>
              <w:top w:val="single" w:sz="4" w:space="0" w:color="auto"/>
              <w:bottom w:val="single" w:sz="4" w:space="0" w:color="auto"/>
            </w:tcBorders>
            <w:shd w:val="clear" w:color="auto" w:fill="F5EDC1" w:themeFill="accent4"/>
          </w:tcPr>
          <w:p w14:paraId="6A0F6537" w14:textId="045D32EE" w:rsidR="00EC0C2D" w:rsidRPr="00EC0C2D" w:rsidRDefault="00F75207" w:rsidP="000C5C83">
            <w:pPr>
              <w:jc w:val="right"/>
              <w:rPr>
                <w:b/>
              </w:rPr>
            </w:pPr>
            <w:r>
              <w:rPr>
                <w:b/>
              </w:rPr>
              <w:t>(12</w:t>
            </w:r>
            <w:r w:rsidR="00EC0C2D">
              <w:rPr>
                <w:b/>
              </w:rPr>
              <w:t>)</w:t>
            </w:r>
          </w:p>
        </w:tc>
        <w:tc>
          <w:tcPr>
            <w:tcW w:w="2046" w:type="dxa"/>
            <w:tcBorders>
              <w:top w:val="single" w:sz="4" w:space="0" w:color="auto"/>
              <w:bottom w:val="single" w:sz="4" w:space="0" w:color="auto"/>
            </w:tcBorders>
            <w:shd w:val="clear" w:color="auto" w:fill="D4E2E0" w:themeFill="accent5"/>
          </w:tcPr>
          <w:p w14:paraId="6BAAD674" w14:textId="526E6241" w:rsidR="00EC0C2D" w:rsidRPr="00EC0C2D" w:rsidRDefault="00EC0C2D" w:rsidP="000C5C83">
            <w:pPr>
              <w:jc w:val="right"/>
              <w:rPr>
                <w:b/>
              </w:rPr>
            </w:pPr>
            <w:r>
              <w:rPr>
                <w:b/>
              </w:rPr>
              <w:t>(30)</w:t>
            </w:r>
          </w:p>
        </w:tc>
      </w:tr>
    </w:tbl>
    <w:p w14:paraId="06E7B0F4" w14:textId="77777777" w:rsidR="002818AA" w:rsidRDefault="002818AA" w:rsidP="00F576B8"/>
    <w:p w14:paraId="23C79D81" w14:textId="77777777" w:rsidR="00EC0C2D" w:rsidRDefault="00EC0C2D" w:rsidP="00F576B8"/>
    <w:p w14:paraId="3BF2202D" w14:textId="77777777" w:rsidR="00EC0C2D" w:rsidRDefault="00EC0C2D" w:rsidP="00F576B8"/>
    <w:p w14:paraId="099AB028" w14:textId="77777777" w:rsidR="007D3095" w:rsidRDefault="007D3095" w:rsidP="00F576B8"/>
    <w:p w14:paraId="52C92EAC" w14:textId="456A7ED6" w:rsidR="00EC0C2D" w:rsidRDefault="00E15C7C" w:rsidP="00F576B8">
      <w:pPr>
        <w:pStyle w:val="Heading2nonumber"/>
        <w:numPr>
          <w:ilvl w:val="0"/>
          <w:numId w:val="15"/>
        </w:numPr>
      </w:pPr>
      <w:bookmarkStart w:id="691" w:name="_Toc430091369"/>
      <w:r>
        <w:t>Employee benefits experience</w:t>
      </w:r>
      <w:bookmarkEnd w:id="6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2079"/>
        <w:gridCol w:w="2002"/>
      </w:tblGrid>
      <w:tr w:rsidR="002818AA" w14:paraId="5C2DCD7E" w14:textId="77777777" w:rsidTr="000C5C83">
        <w:tc>
          <w:tcPr>
            <w:tcW w:w="5070" w:type="dxa"/>
          </w:tcPr>
          <w:p w14:paraId="017C2EE0" w14:textId="77777777" w:rsidR="002818AA" w:rsidRDefault="002818AA" w:rsidP="000C5C83"/>
        </w:tc>
        <w:tc>
          <w:tcPr>
            <w:tcW w:w="2126" w:type="dxa"/>
          </w:tcPr>
          <w:p w14:paraId="141EFDA0" w14:textId="77777777" w:rsidR="002818AA" w:rsidRDefault="002818AA" w:rsidP="000C5C83">
            <w:pPr>
              <w:jc w:val="right"/>
            </w:pPr>
            <w:r>
              <w:t>2015</w:t>
            </w:r>
          </w:p>
        </w:tc>
        <w:tc>
          <w:tcPr>
            <w:tcW w:w="2046" w:type="dxa"/>
          </w:tcPr>
          <w:p w14:paraId="03F4AA16" w14:textId="77777777" w:rsidR="002818AA" w:rsidRDefault="002818AA" w:rsidP="000C5C83">
            <w:pPr>
              <w:jc w:val="right"/>
            </w:pPr>
            <w:r>
              <w:t>2014</w:t>
            </w:r>
          </w:p>
        </w:tc>
      </w:tr>
      <w:tr w:rsidR="002818AA" w14:paraId="5480C556" w14:textId="77777777" w:rsidTr="000C5C83">
        <w:tc>
          <w:tcPr>
            <w:tcW w:w="5070" w:type="dxa"/>
          </w:tcPr>
          <w:p w14:paraId="64314582" w14:textId="77777777" w:rsidR="002818AA" w:rsidRDefault="002818AA" w:rsidP="000C5C83"/>
        </w:tc>
        <w:tc>
          <w:tcPr>
            <w:tcW w:w="2126" w:type="dxa"/>
          </w:tcPr>
          <w:p w14:paraId="51446F95" w14:textId="77777777" w:rsidR="002818AA" w:rsidRDefault="002818AA" w:rsidP="000C5C83">
            <w:pPr>
              <w:jc w:val="right"/>
            </w:pPr>
            <w:r>
              <w:t>$000</w:t>
            </w:r>
          </w:p>
        </w:tc>
        <w:tc>
          <w:tcPr>
            <w:tcW w:w="2046" w:type="dxa"/>
          </w:tcPr>
          <w:p w14:paraId="49797B6C" w14:textId="77777777" w:rsidR="002818AA" w:rsidRDefault="002818AA" w:rsidP="000C5C83">
            <w:pPr>
              <w:jc w:val="right"/>
            </w:pPr>
            <w:r>
              <w:t>$000</w:t>
            </w:r>
          </w:p>
        </w:tc>
      </w:tr>
      <w:tr w:rsidR="002818AA" w14:paraId="508F2385" w14:textId="77777777" w:rsidTr="000C5C83">
        <w:tc>
          <w:tcPr>
            <w:tcW w:w="5070" w:type="dxa"/>
          </w:tcPr>
          <w:p w14:paraId="6B1F4BAE" w14:textId="6F80702D" w:rsidR="002818AA" w:rsidRDefault="00E15C7C" w:rsidP="00E15C7C">
            <w:r w:rsidRPr="00E15C7C">
              <w:t>Wages and salaries</w:t>
            </w:r>
            <w:r w:rsidRPr="00E15C7C">
              <w:rPr>
                <w:w w:val="90"/>
                <w:position w:val="6"/>
                <w:vertAlign w:val="superscript"/>
              </w:rPr>
              <w:t>(a)</w:t>
            </w:r>
          </w:p>
        </w:tc>
        <w:tc>
          <w:tcPr>
            <w:tcW w:w="2126" w:type="dxa"/>
            <w:shd w:val="clear" w:color="auto" w:fill="F5EDC1" w:themeFill="accent4"/>
          </w:tcPr>
          <w:p w14:paraId="2AA75171" w14:textId="3EEC90BF" w:rsidR="002818AA" w:rsidRDefault="00E15C7C" w:rsidP="000C5C83">
            <w:pPr>
              <w:jc w:val="right"/>
            </w:pPr>
            <w:r>
              <w:t>12,514</w:t>
            </w:r>
          </w:p>
        </w:tc>
        <w:tc>
          <w:tcPr>
            <w:tcW w:w="2046" w:type="dxa"/>
            <w:shd w:val="clear" w:color="auto" w:fill="D4E2E0" w:themeFill="accent5"/>
          </w:tcPr>
          <w:p w14:paraId="6FEC1FDC" w14:textId="1479CDCD" w:rsidR="002818AA" w:rsidRDefault="00E15C7C" w:rsidP="000C5C83">
            <w:pPr>
              <w:jc w:val="right"/>
            </w:pPr>
            <w:r>
              <w:t>12,644</w:t>
            </w:r>
          </w:p>
        </w:tc>
      </w:tr>
      <w:tr w:rsidR="002818AA" w14:paraId="52247297" w14:textId="77777777" w:rsidTr="000C5C83">
        <w:tc>
          <w:tcPr>
            <w:tcW w:w="5070" w:type="dxa"/>
          </w:tcPr>
          <w:p w14:paraId="1E529509" w14:textId="7E146555" w:rsidR="002818AA" w:rsidRDefault="00E15C7C" w:rsidP="00E15C7C">
            <w:r w:rsidRPr="00E15C7C">
              <w:t>Superannuation - defined contribution plans</w:t>
            </w:r>
            <w:r w:rsidRPr="00E15C7C">
              <w:rPr>
                <w:w w:val="90"/>
                <w:position w:val="6"/>
                <w:vertAlign w:val="superscript"/>
              </w:rPr>
              <w:t>(b)</w:t>
            </w:r>
          </w:p>
        </w:tc>
        <w:tc>
          <w:tcPr>
            <w:tcW w:w="2126" w:type="dxa"/>
            <w:shd w:val="clear" w:color="auto" w:fill="F5EDC1" w:themeFill="accent4"/>
          </w:tcPr>
          <w:p w14:paraId="612C4D70" w14:textId="2D5C69C2" w:rsidR="002818AA" w:rsidRDefault="00E15C7C" w:rsidP="000C5C83">
            <w:pPr>
              <w:jc w:val="right"/>
            </w:pPr>
            <w:r>
              <w:t>1,253</w:t>
            </w:r>
          </w:p>
        </w:tc>
        <w:tc>
          <w:tcPr>
            <w:tcW w:w="2046" w:type="dxa"/>
            <w:shd w:val="clear" w:color="auto" w:fill="D4E2E0" w:themeFill="accent5"/>
          </w:tcPr>
          <w:p w14:paraId="7BA3B35A" w14:textId="4D51F13F" w:rsidR="002818AA" w:rsidRDefault="00E15C7C" w:rsidP="000C5C83">
            <w:pPr>
              <w:jc w:val="right"/>
            </w:pPr>
            <w:r>
              <w:t>1,209</w:t>
            </w:r>
          </w:p>
        </w:tc>
      </w:tr>
      <w:tr w:rsidR="00E15C7C" w14:paraId="06E0374C" w14:textId="77777777" w:rsidTr="00E15C7C">
        <w:tc>
          <w:tcPr>
            <w:tcW w:w="5070" w:type="dxa"/>
          </w:tcPr>
          <w:p w14:paraId="364A9855" w14:textId="047BC367" w:rsidR="00E15C7C" w:rsidRDefault="00E15C7C" w:rsidP="000C5C83">
            <w:r w:rsidRPr="00E15C7C">
              <w:t>Superannuation - defined benefit plans (see note 27 'Provisions')</w:t>
            </w:r>
          </w:p>
        </w:tc>
        <w:tc>
          <w:tcPr>
            <w:tcW w:w="2126" w:type="dxa"/>
            <w:shd w:val="clear" w:color="auto" w:fill="F5EDC1" w:themeFill="accent4"/>
          </w:tcPr>
          <w:p w14:paraId="66C2C979" w14:textId="1B03F6E6" w:rsidR="00E15C7C" w:rsidRDefault="00E15C7C" w:rsidP="000C5C83">
            <w:pPr>
              <w:jc w:val="right"/>
            </w:pPr>
            <w:r>
              <w:t>192</w:t>
            </w:r>
          </w:p>
        </w:tc>
        <w:tc>
          <w:tcPr>
            <w:tcW w:w="2046" w:type="dxa"/>
            <w:shd w:val="clear" w:color="auto" w:fill="D4E2E0" w:themeFill="accent5"/>
          </w:tcPr>
          <w:p w14:paraId="59B81A92" w14:textId="02239D0A" w:rsidR="00E15C7C" w:rsidRDefault="00E15C7C" w:rsidP="000C5C83">
            <w:pPr>
              <w:jc w:val="right"/>
            </w:pPr>
            <w:r>
              <w:t>199</w:t>
            </w:r>
          </w:p>
        </w:tc>
      </w:tr>
      <w:tr w:rsidR="00E15C7C" w14:paraId="065F83D1" w14:textId="77777777" w:rsidTr="00E15C7C">
        <w:tc>
          <w:tcPr>
            <w:tcW w:w="5070" w:type="dxa"/>
          </w:tcPr>
          <w:p w14:paraId="7DAC7E0B" w14:textId="77777777" w:rsidR="00E15C7C" w:rsidRPr="00E15C7C" w:rsidRDefault="00E15C7C" w:rsidP="000C5C83"/>
        </w:tc>
        <w:tc>
          <w:tcPr>
            <w:tcW w:w="2126" w:type="dxa"/>
            <w:tcBorders>
              <w:bottom w:val="single" w:sz="4" w:space="0" w:color="auto"/>
            </w:tcBorders>
            <w:shd w:val="clear" w:color="auto" w:fill="F5EDC1" w:themeFill="accent4"/>
          </w:tcPr>
          <w:p w14:paraId="5D6C75DD" w14:textId="19509AC1" w:rsidR="00E15C7C" w:rsidRPr="00E15C7C" w:rsidRDefault="00E15C7C" w:rsidP="000C5C83">
            <w:pPr>
              <w:jc w:val="right"/>
              <w:rPr>
                <w:b/>
              </w:rPr>
            </w:pPr>
            <w:r w:rsidRPr="00E15C7C">
              <w:rPr>
                <w:b/>
              </w:rPr>
              <w:t>13,959</w:t>
            </w:r>
          </w:p>
        </w:tc>
        <w:tc>
          <w:tcPr>
            <w:tcW w:w="2046" w:type="dxa"/>
            <w:tcBorders>
              <w:bottom w:val="single" w:sz="4" w:space="0" w:color="auto"/>
            </w:tcBorders>
            <w:shd w:val="clear" w:color="auto" w:fill="D4E2E0" w:themeFill="accent5"/>
          </w:tcPr>
          <w:p w14:paraId="24F28185" w14:textId="444DAFEF" w:rsidR="00E15C7C" w:rsidRPr="00E15C7C" w:rsidRDefault="00E15C7C" w:rsidP="000C5C83">
            <w:pPr>
              <w:jc w:val="right"/>
              <w:rPr>
                <w:b/>
              </w:rPr>
            </w:pPr>
            <w:r w:rsidRPr="00E15C7C">
              <w:rPr>
                <w:b/>
              </w:rPr>
              <w:t>14,052</w:t>
            </w:r>
          </w:p>
        </w:tc>
      </w:tr>
    </w:tbl>
    <w:p w14:paraId="16EA88AC" w14:textId="77777777" w:rsidR="00E15C7C" w:rsidRDefault="00E15C7C" w:rsidP="00E15C7C">
      <w:pPr>
        <w:kinsoku w:val="0"/>
        <w:overflowPunct w:val="0"/>
        <w:spacing w:before="3" w:line="140" w:lineRule="exact"/>
        <w:rPr>
          <w:sz w:val="14"/>
          <w:szCs w:val="14"/>
        </w:rPr>
      </w:pPr>
    </w:p>
    <w:p w14:paraId="4B974190" w14:textId="63C8490D" w:rsidR="00E15C7C" w:rsidRDefault="00E15C7C" w:rsidP="00E15C7C">
      <w:r>
        <w:t xml:space="preserve">(a) </w:t>
      </w:r>
      <w:r w:rsidRPr="00E15C7C">
        <w:t>Includes the value of the fringe benefit to the employee plus the fri</w:t>
      </w:r>
      <w:r w:rsidR="00CB53E7">
        <w:t xml:space="preserve">nge benefits tax component and </w:t>
      </w:r>
      <w:r w:rsidRPr="00E15C7C">
        <w:t>leave entitlements, including the superannuation contribution  component.</w:t>
      </w:r>
    </w:p>
    <w:p w14:paraId="3E89E808" w14:textId="62396C4D" w:rsidR="00E15C7C" w:rsidRDefault="00E15C7C" w:rsidP="00E15C7C">
      <w:pPr>
        <w:rPr>
          <w:color w:val="000000"/>
        </w:rPr>
      </w:pPr>
      <w:r>
        <w:t xml:space="preserve">(b) </w:t>
      </w:r>
      <w:r w:rsidRPr="00E15C7C">
        <w:t>Defined contribution plans include West State, Gold State and GESB Super Scheme (contributions paid).</w:t>
      </w:r>
    </w:p>
    <w:p w14:paraId="5B4CDE19" w14:textId="6C60CA6F" w:rsidR="004E224E" w:rsidRDefault="00E15C7C" w:rsidP="00F576B8">
      <w:r w:rsidRPr="00E15C7C">
        <w:t>Employment on-costs such as workers’ compensation ins</w:t>
      </w:r>
      <w:r w:rsidR="00DA7EA8">
        <w:t xml:space="preserve">urance are included at note 16 </w:t>
      </w:r>
      <w:r w:rsidRPr="00E15C7C">
        <w:t>‘Other expenses’. The employment on-costs liability is included at note 27</w:t>
      </w:r>
      <w:r>
        <w:t xml:space="preserve"> </w:t>
      </w:r>
      <w:r w:rsidRPr="00E15C7C">
        <w:rPr>
          <w:i/>
        </w:rPr>
        <w:t>‘Provisions’</w:t>
      </w:r>
      <w:r>
        <w:t>.</w:t>
      </w:r>
    </w:p>
    <w:p w14:paraId="398299E5" w14:textId="77777777" w:rsidR="004E224E" w:rsidRDefault="004E224E">
      <w:pPr>
        <w:keepLines w:val="0"/>
        <w:spacing w:after="0" w:line="240" w:lineRule="auto"/>
      </w:pPr>
      <w:r>
        <w:br w:type="page"/>
      </w:r>
    </w:p>
    <w:p w14:paraId="3A7FAF48" w14:textId="77777777" w:rsidR="002818AA" w:rsidRDefault="002818AA" w:rsidP="00F576B8"/>
    <w:p w14:paraId="109EEDAC" w14:textId="7D0D9FB5" w:rsidR="00E15C7C" w:rsidRDefault="004E224E" w:rsidP="00F576B8">
      <w:pPr>
        <w:pStyle w:val="Heading2nonumber"/>
        <w:numPr>
          <w:ilvl w:val="0"/>
          <w:numId w:val="15"/>
        </w:numPr>
      </w:pPr>
      <w:bookmarkStart w:id="692" w:name="_Toc430091370"/>
      <w:r>
        <w:t>Supplies and services</w:t>
      </w:r>
      <w:bookmarkEnd w:id="6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2076"/>
        <w:gridCol w:w="1999"/>
      </w:tblGrid>
      <w:tr w:rsidR="004E224E" w14:paraId="0C5E77E2" w14:textId="77777777" w:rsidTr="004E224E">
        <w:tc>
          <w:tcPr>
            <w:tcW w:w="5070" w:type="dxa"/>
          </w:tcPr>
          <w:p w14:paraId="684A7C2E" w14:textId="77777777" w:rsidR="004E224E" w:rsidRPr="004E224E" w:rsidRDefault="004E224E" w:rsidP="004E224E"/>
        </w:tc>
        <w:tc>
          <w:tcPr>
            <w:tcW w:w="2126" w:type="dxa"/>
            <w:shd w:val="clear" w:color="auto" w:fill="FFFFFF" w:themeFill="background1"/>
          </w:tcPr>
          <w:p w14:paraId="0C8ACDC6" w14:textId="1F29D113" w:rsidR="004E224E" w:rsidRDefault="004E224E" w:rsidP="000C5C83">
            <w:pPr>
              <w:jc w:val="right"/>
            </w:pPr>
            <w:r>
              <w:t>2015</w:t>
            </w:r>
          </w:p>
        </w:tc>
        <w:tc>
          <w:tcPr>
            <w:tcW w:w="2046" w:type="dxa"/>
            <w:shd w:val="clear" w:color="auto" w:fill="FFFFFF" w:themeFill="background1"/>
          </w:tcPr>
          <w:p w14:paraId="4404EF55" w14:textId="224693AE" w:rsidR="004E224E" w:rsidRDefault="004E224E" w:rsidP="000C5C83">
            <w:pPr>
              <w:jc w:val="right"/>
            </w:pPr>
            <w:r>
              <w:t>2014</w:t>
            </w:r>
          </w:p>
        </w:tc>
      </w:tr>
      <w:tr w:rsidR="004E224E" w14:paraId="506719B2" w14:textId="77777777" w:rsidTr="004E224E">
        <w:tc>
          <w:tcPr>
            <w:tcW w:w="5070" w:type="dxa"/>
          </w:tcPr>
          <w:p w14:paraId="02A43B32" w14:textId="77777777" w:rsidR="004E224E" w:rsidRPr="004E224E" w:rsidRDefault="004E224E" w:rsidP="004E224E"/>
        </w:tc>
        <w:tc>
          <w:tcPr>
            <w:tcW w:w="2126" w:type="dxa"/>
            <w:shd w:val="clear" w:color="auto" w:fill="FFFFFF" w:themeFill="background1"/>
          </w:tcPr>
          <w:p w14:paraId="717FAAD4" w14:textId="089C4285" w:rsidR="004E224E" w:rsidRDefault="004E224E" w:rsidP="000C5C83">
            <w:pPr>
              <w:jc w:val="right"/>
            </w:pPr>
            <w:r>
              <w:t>$000</w:t>
            </w:r>
          </w:p>
        </w:tc>
        <w:tc>
          <w:tcPr>
            <w:tcW w:w="2046" w:type="dxa"/>
            <w:shd w:val="clear" w:color="auto" w:fill="FFFFFF" w:themeFill="background1"/>
          </w:tcPr>
          <w:p w14:paraId="49C973AA" w14:textId="6DB0A6A7" w:rsidR="004E224E" w:rsidRDefault="004E224E" w:rsidP="000C5C83">
            <w:pPr>
              <w:jc w:val="right"/>
            </w:pPr>
            <w:r>
              <w:t>$000</w:t>
            </w:r>
          </w:p>
        </w:tc>
      </w:tr>
      <w:tr w:rsidR="006A4792" w14:paraId="2C4C64DC" w14:textId="77777777" w:rsidTr="000C5C83">
        <w:tc>
          <w:tcPr>
            <w:tcW w:w="5070" w:type="dxa"/>
          </w:tcPr>
          <w:p w14:paraId="0FC0E7B2" w14:textId="51DB8CB1" w:rsidR="006A4792" w:rsidRDefault="004E224E" w:rsidP="004E224E">
            <w:r w:rsidRPr="004E224E">
              <w:t>Communications</w:t>
            </w:r>
          </w:p>
        </w:tc>
        <w:tc>
          <w:tcPr>
            <w:tcW w:w="2126" w:type="dxa"/>
            <w:shd w:val="clear" w:color="auto" w:fill="F5EDC1" w:themeFill="accent4"/>
          </w:tcPr>
          <w:p w14:paraId="76854ECF" w14:textId="6EB1541D" w:rsidR="006A4792" w:rsidRDefault="004E224E" w:rsidP="000C5C83">
            <w:pPr>
              <w:jc w:val="right"/>
            </w:pPr>
            <w:r>
              <w:t>144</w:t>
            </w:r>
          </w:p>
        </w:tc>
        <w:tc>
          <w:tcPr>
            <w:tcW w:w="2046" w:type="dxa"/>
            <w:shd w:val="clear" w:color="auto" w:fill="D4E2E0" w:themeFill="accent5"/>
          </w:tcPr>
          <w:p w14:paraId="732D4F69" w14:textId="23F4D95E" w:rsidR="006A4792" w:rsidRDefault="004E224E" w:rsidP="000C5C83">
            <w:pPr>
              <w:jc w:val="right"/>
            </w:pPr>
            <w:r>
              <w:t>146</w:t>
            </w:r>
          </w:p>
        </w:tc>
      </w:tr>
      <w:tr w:rsidR="006A4792" w14:paraId="5E7E8DE6" w14:textId="77777777" w:rsidTr="000C5C83">
        <w:tc>
          <w:tcPr>
            <w:tcW w:w="5070" w:type="dxa"/>
          </w:tcPr>
          <w:p w14:paraId="09C60D30" w14:textId="0343B628" w:rsidR="006A4792" w:rsidRDefault="004E224E" w:rsidP="000C5C83">
            <w:r>
              <w:t>Consultants and contractors</w:t>
            </w:r>
          </w:p>
        </w:tc>
        <w:tc>
          <w:tcPr>
            <w:tcW w:w="2126" w:type="dxa"/>
            <w:shd w:val="clear" w:color="auto" w:fill="F5EDC1" w:themeFill="accent4"/>
          </w:tcPr>
          <w:p w14:paraId="0DF4A5EF" w14:textId="57AFC930" w:rsidR="006A4792" w:rsidRDefault="004E224E" w:rsidP="000C5C83">
            <w:pPr>
              <w:jc w:val="right"/>
            </w:pPr>
            <w:r>
              <w:t>2,169</w:t>
            </w:r>
          </w:p>
        </w:tc>
        <w:tc>
          <w:tcPr>
            <w:tcW w:w="2046" w:type="dxa"/>
            <w:shd w:val="clear" w:color="auto" w:fill="D4E2E0" w:themeFill="accent5"/>
          </w:tcPr>
          <w:p w14:paraId="7D8E7DD7" w14:textId="0DC61A2C" w:rsidR="006A4792" w:rsidRDefault="004E224E" w:rsidP="000C5C83">
            <w:pPr>
              <w:jc w:val="right"/>
            </w:pPr>
            <w:r>
              <w:t>1,848</w:t>
            </w:r>
          </w:p>
        </w:tc>
      </w:tr>
      <w:tr w:rsidR="004E224E" w14:paraId="79E26D9F" w14:textId="77777777" w:rsidTr="000C5C83">
        <w:tc>
          <w:tcPr>
            <w:tcW w:w="5070" w:type="dxa"/>
          </w:tcPr>
          <w:p w14:paraId="6CD15D6A" w14:textId="03E6CB67" w:rsidR="004E224E" w:rsidRDefault="004E224E" w:rsidP="000C5C83">
            <w:r>
              <w:t>Consumables</w:t>
            </w:r>
          </w:p>
        </w:tc>
        <w:tc>
          <w:tcPr>
            <w:tcW w:w="2126" w:type="dxa"/>
            <w:shd w:val="clear" w:color="auto" w:fill="F5EDC1" w:themeFill="accent4"/>
          </w:tcPr>
          <w:p w14:paraId="36F9AF89" w14:textId="4815D17C" w:rsidR="004E224E" w:rsidRDefault="004E224E" w:rsidP="000C5C83">
            <w:pPr>
              <w:jc w:val="right"/>
            </w:pPr>
            <w:r>
              <w:t>747</w:t>
            </w:r>
          </w:p>
        </w:tc>
        <w:tc>
          <w:tcPr>
            <w:tcW w:w="2046" w:type="dxa"/>
            <w:shd w:val="clear" w:color="auto" w:fill="D4E2E0" w:themeFill="accent5"/>
          </w:tcPr>
          <w:p w14:paraId="23CFE720" w14:textId="08125C30" w:rsidR="004E224E" w:rsidRDefault="004E224E" w:rsidP="000C5C83">
            <w:pPr>
              <w:jc w:val="right"/>
            </w:pPr>
            <w:r>
              <w:t>658</w:t>
            </w:r>
          </w:p>
        </w:tc>
      </w:tr>
      <w:tr w:rsidR="004E224E" w14:paraId="0628C134" w14:textId="77777777" w:rsidTr="000C5C83">
        <w:tc>
          <w:tcPr>
            <w:tcW w:w="5070" w:type="dxa"/>
          </w:tcPr>
          <w:p w14:paraId="20EE3808" w14:textId="4367649F" w:rsidR="004E224E" w:rsidRDefault="004E224E" w:rsidP="000C5C83">
            <w:r>
              <w:t>Insurance</w:t>
            </w:r>
          </w:p>
        </w:tc>
        <w:tc>
          <w:tcPr>
            <w:tcW w:w="2126" w:type="dxa"/>
            <w:shd w:val="clear" w:color="auto" w:fill="F5EDC1" w:themeFill="accent4"/>
          </w:tcPr>
          <w:p w14:paraId="6DE849C5" w14:textId="708BF0AA" w:rsidR="004E224E" w:rsidRDefault="004E224E" w:rsidP="000C5C83">
            <w:pPr>
              <w:jc w:val="right"/>
            </w:pPr>
            <w:r>
              <w:t>43</w:t>
            </w:r>
          </w:p>
        </w:tc>
        <w:tc>
          <w:tcPr>
            <w:tcW w:w="2046" w:type="dxa"/>
            <w:shd w:val="clear" w:color="auto" w:fill="D4E2E0" w:themeFill="accent5"/>
          </w:tcPr>
          <w:p w14:paraId="0362F39F" w14:textId="439C9FD8" w:rsidR="004E224E" w:rsidRDefault="004E224E" w:rsidP="000C5C83">
            <w:pPr>
              <w:jc w:val="right"/>
            </w:pPr>
            <w:r>
              <w:t>39</w:t>
            </w:r>
          </w:p>
        </w:tc>
      </w:tr>
      <w:tr w:rsidR="004E224E" w14:paraId="400CCCAE" w14:textId="77777777" w:rsidTr="000C5C83">
        <w:tc>
          <w:tcPr>
            <w:tcW w:w="5070" w:type="dxa"/>
          </w:tcPr>
          <w:p w14:paraId="2F6CD74B" w14:textId="6AAD057F" w:rsidR="004E224E" w:rsidRDefault="004E224E" w:rsidP="000C5C83">
            <w:r>
              <w:t>Training</w:t>
            </w:r>
          </w:p>
        </w:tc>
        <w:tc>
          <w:tcPr>
            <w:tcW w:w="2126" w:type="dxa"/>
            <w:shd w:val="clear" w:color="auto" w:fill="F5EDC1" w:themeFill="accent4"/>
          </w:tcPr>
          <w:p w14:paraId="7D8C35D4" w14:textId="0AB8C5C9" w:rsidR="004E224E" w:rsidRDefault="004E224E" w:rsidP="000C5C83">
            <w:pPr>
              <w:jc w:val="right"/>
            </w:pPr>
            <w:r>
              <w:t>144</w:t>
            </w:r>
          </w:p>
        </w:tc>
        <w:tc>
          <w:tcPr>
            <w:tcW w:w="2046" w:type="dxa"/>
            <w:shd w:val="clear" w:color="auto" w:fill="D4E2E0" w:themeFill="accent5"/>
          </w:tcPr>
          <w:p w14:paraId="06FA0134" w14:textId="6D887207" w:rsidR="004E224E" w:rsidRDefault="004E224E" w:rsidP="000C5C83">
            <w:pPr>
              <w:jc w:val="right"/>
            </w:pPr>
            <w:r>
              <w:t>143</w:t>
            </w:r>
          </w:p>
        </w:tc>
      </w:tr>
      <w:tr w:rsidR="004E224E" w14:paraId="537BFCCC" w14:textId="77777777" w:rsidTr="000C5C83">
        <w:tc>
          <w:tcPr>
            <w:tcW w:w="5070" w:type="dxa"/>
          </w:tcPr>
          <w:p w14:paraId="09F8D7F8" w14:textId="569DF447" w:rsidR="004E224E" w:rsidRDefault="004E224E" w:rsidP="000C5C83">
            <w:r>
              <w:t>Travel</w:t>
            </w:r>
          </w:p>
        </w:tc>
        <w:tc>
          <w:tcPr>
            <w:tcW w:w="2126" w:type="dxa"/>
            <w:shd w:val="clear" w:color="auto" w:fill="F5EDC1" w:themeFill="accent4"/>
          </w:tcPr>
          <w:p w14:paraId="2A820981" w14:textId="04B11D4A" w:rsidR="004E224E" w:rsidRDefault="004E224E" w:rsidP="000C5C83">
            <w:pPr>
              <w:jc w:val="right"/>
            </w:pPr>
            <w:r>
              <w:t>22</w:t>
            </w:r>
          </w:p>
        </w:tc>
        <w:tc>
          <w:tcPr>
            <w:tcW w:w="2046" w:type="dxa"/>
            <w:shd w:val="clear" w:color="auto" w:fill="D4E2E0" w:themeFill="accent5"/>
          </w:tcPr>
          <w:p w14:paraId="59B36D7B" w14:textId="19BD5D07" w:rsidR="004E224E" w:rsidRDefault="004E224E" w:rsidP="000C5C83">
            <w:pPr>
              <w:jc w:val="right"/>
            </w:pPr>
            <w:r>
              <w:t>21</w:t>
            </w:r>
          </w:p>
        </w:tc>
      </w:tr>
      <w:tr w:rsidR="004E224E" w14:paraId="20178B09" w14:textId="77777777" w:rsidTr="004E224E">
        <w:tc>
          <w:tcPr>
            <w:tcW w:w="5070" w:type="dxa"/>
          </w:tcPr>
          <w:p w14:paraId="60FBE768" w14:textId="423D9D34" w:rsidR="004E224E" w:rsidRDefault="004E224E" w:rsidP="000C5C83">
            <w:r>
              <w:t>Other</w:t>
            </w:r>
          </w:p>
        </w:tc>
        <w:tc>
          <w:tcPr>
            <w:tcW w:w="2126" w:type="dxa"/>
            <w:shd w:val="clear" w:color="auto" w:fill="F5EDC1" w:themeFill="accent4"/>
          </w:tcPr>
          <w:p w14:paraId="3AE9681C" w14:textId="50C4B1ED" w:rsidR="004E224E" w:rsidRDefault="004E224E" w:rsidP="000C5C83">
            <w:pPr>
              <w:jc w:val="right"/>
            </w:pPr>
            <w:r>
              <w:t>46</w:t>
            </w:r>
          </w:p>
        </w:tc>
        <w:tc>
          <w:tcPr>
            <w:tcW w:w="2046" w:type="dxa"/>
            <w:shd w:val="clear" w:color="auto" w:fill="D4E2E0" w:themeFill="accent5"/>
          </w:tcPr>
          <w:p w14:paraId="274BC028" w14:textId="24EAA95D" w:rsidR="004E224E" w:rsidRDefault="004E224E" w:rsidP="000C5C83">
            <w:pPr>
              <w:jc w:val="right"/>
            </w:pPr>
            <w:r>
              <w:t>53</w:t>
            </w:r>
          </w:p>
        </w:tc>
      </w:tr>
      <w:tr w:rsidR="004E224E" w14:paraId="0BA9F395" w14:textId="77777777" w:rsidTr="004E224E">
        <w:tc>
          <w:tcPr>
            <w:tcW w:w="5070" w:type="dxa"/>
          </w:tcPr>
          <w:p w14:paraId="797EC1E2" w14:textId="77777777" w:rsidR="004E224E" w:rsidRDefault="004E224E" w:rsidP="000C5C83"/>
        </w:tc>
        <w:tc>
          <w:tcPr>
            <w:tcW w:w="2126" w:type="dxa"/>
            <w:tcBorders>
              <w:bottom w:val="single" w:sz="4" w:space="0" w:color="auto"/>
            </w:tcBorders>
            <w:shd w:val="clear" w:color="auto" w:fill="F5EDC1" w:themeFill="accent4"/>
          </w:tcPr>
          <w:p w14:paraId="0EE0F829" w14:textId="11F25580" w:rsidR="004E224E" w:rsidRPr="004E224E" w:rsidRDefault="004E224E" w:rsidP="000C5C83">
            <w:pPr>
              <w:jc w:val="right"/>
              <w:rPr>
                <w:b/>
              </w:rPr>
            </w:pPr>
            <w:r w:rsidRPr="004E224E">
              <w:rPr>
                <w:b/>
              </w:rPr>
              <w:t>3,315</w:t>
            </w:r>
          </w:p>
        </w:tc>
        <w:tc>
          <w:tcPr>
            <w:tcW w:w="2046" w:type="dxa"/>
            <w:tcBorders>
              <w:bottom w:val="single" w:sz="4" w:space="0" w:color="auto"/>
            </w:tcBorders>
            <w:shd w:val="clear" w:color="auto" w:fill="D4E2E0" w:themeFill="accent5"/>
          </w:tcPr>
          <w:p w14:paraId="679CF683" w14:textId="18C6D616" w:rsidR="004E224E" w:rsidRPr="004E224E" w:rsidRDefault="004E224E" w:rsidP="000C5C83">
            <w:pPr>
              <w:jc w:val="right"/>
              <w:rPr>
                <w:b/>
              </w:rPr>
            </w:pPr>
            <w:r w:rsidRPr="004E224E">
              <w:rPr>
                <w:b/>
              </w:rPr>
              <w:t>2,908</w:t>
            </w:r>
          </w:p>
        </w:tc>
      </w:tr>
    </w:tbl>
    <w:p w14:paraId="295BE318" w14:textId="77777777" w:rsidR="006A4792" w:rsidRDefault="006A4792" w:rsidP="00F576B8"/>
    <w:p w14:paraId="4AD50608" w14:textId="6C1486B2" w:rsidR="00515A79" w:rsidRDefault="00515A79" w:rsidP="00F576B8">
      <w:pPr>
        <w:pStyle w:val="Heading2nonumber"/>
        <w:numPr>
          <w:ilvl w:val="0"/>
          <w:numId w:val="15"/>
        </w:numPr>
      </w:pPr>
      <w:bookmarkStart w:id="693" w:name="_Toc430091371"/>
      <w:r>
        <w:t>Depreciation and amortisation expense</w:t>
      </w:r>
      <w:bookmarkEnd w:id="6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2075"/>
        <w:gridCol w:w="1997"/>
      </w:tblGrid>
      <w:tr w:rsidR="006A4792" w14:paraId="6B81E8A4" w14:textId="77777777" w:rsidTr="000C5C83">
        <w:tc>
          <w:tcPr>
            <w:tcW w:w="5070" w:type="dxa"/>
          </w:tcPr>
          <w:p w14:paraId="68A664A5" w14:textId="7C2CCA39" w:rsidR="006A4792" w:rsidRPr="00515A79" w:rsidRDefault="00515A79" w:rsidP="000C5C83">
            <w:pPr>
              <w:rPr>
                <w:b/>
                <w:i/>
              </w:rPr>
            </w:pPr>
            <w:r w:rsidRPr="00515A79">
              <w:rPr>
                <w:b/>
                <w:i/>
              </w:rPr>
              <w:t>Depreciation</w:t>
            </w:r>
          </w:p>
        </w:tc>
        <w:tc>
          <w:tcPr>
            <w:tcW w:w="2126" w:type="dxa"/>
          </w:tcPr>
          <w:p w14:paraId="52700B98" w14:textId="7B212D6A" w:rsidR="006A4792" w:rsidRDefault="006A4792" w:rsidP="000C5C83">
            <w:pPr>
              <w:jc w:val="right"/>
            </w:pPr>
          </w:p>
        </w:tc>
        <w:tc>
          <w:tcPr>
            <w:tcW w:w="2046" w:type="dxa"/>
          </w:tcPr>
          <w:p w14:paraId="2F79B783" w14:textId="42D839C3" w:rsidR="006A4792" w:rsidRDefault="006A4792" w:rsidP="000C5C83">
            <w:pPr>
              <w:jc w:val="right"/>
            </w:pPr>
          </w:p>
        </w:tc>
      </w:tr>
      <w:tr w:rsidR="006A4792" w14:paraId="40BCD48E" w14:textId="77777777" w:rsidTr="000C5C83">
        <w:tc>
          <w:tcPr>
            <w:tcW w:w="5070" w:type="dxa"/>
          </w:tcPr>
          <w:p w14:paraId="71C6C36D" w14:textId="5D56EB7C" w:rsidR="006A4792" w:rsidRDefault="00515A79" w:rsidP="000C5C83">
            <w:r>
              <w:t>Plant, equipment and vehicles</w:t>
            </w:r>
          </w:p>
        </w:tc>
        <w:tc>
          <w:tcPr>
            <w:tcW w:w="2126" w:type="dxa"/>
            <w:shd w:val="clear" w:color="auto" w:fill="F5EDC1" w:themeFill="accent4"/>
          </w:tcPr>
          <w:p w14:paraId="7144235B" w14:textId="6A94DAC5" w:rsidR="006A4792" w:rsidRDefault="00515A79" w:rsidP="000C5C83">
            <w:pPr>
              <w:jc w:val="right"/>
            </w:pPr>
            <w:r>
              <w:t>222</w:t>
            </w:r>
          </w:p>
        </w:tc>
        <w:tc>
          <w:tcPr>
            <w:tcW w:w="2046" w:type="dxa"/>
            <w:shd w:val="clear" w:color="auto" w:fill="D4E2E0" w:themeFill="accent5"/>
          </w:tcPr>
          <w:p w14:paraId="5E0D5683" w14:textId="6B99B8E4" w:rsidR="006A4792" w:rsidRDefault="00515A79" w:rsidP="000C5C83">
            <w:pPr>
              <w:jc w:val="right"/>
            </w:pPr>
            <w:r>
              <w:t>191</w:t>
            </w:r>
          </w:p>
        </w:tc>
      </w:tr>
      <w:tr w:rsidR="006A4792" w14:paraId="7D337F13" w14:textId="77777777" w:rsidTr="00515A79">
        <w:tc>
          <w:tcPr>
            <w:tcW w:w="5070" w:type="dxa"/>
          </w:tcPr>
          <w:p w14:paraId="273313D2" w14:textId="0356F04D" w:rsidR="006A4792" w:rsidRDefault="00515A79" w:rsidP="000C5C83">
            <w:r>
              <w:t>Buildings</w:t>
            </w:r>
          </w:p>
        </w:tc>
        <w:tc>
          <w:tcPr>
            <w:tcW w:w="2126" w:type="dxa"/>
            <w:shd w:val="clear" w:color="auto" w:fill="F5EDC1" w:themeFill="accent4"/>
          </w:tcPr>
          <w:p w14:paraId="6D8C16A9" w14:textId="394D7BFC" w:rsidR="006A4792" w:rsidRDefault="00515A79" w:rsidP="000C5C83">
            <w:pPr>
              <w:jc w:val="right"/>
            </w:pPr>
            <w:r>
              <w:t>377</w:t>
            </w:r>
          </w:p>
        </w:tc>
        <w:tc>
          <w:tcPr>
            <w:tcW w:w="2046" w:type="dxa"/>
            <w:shd w:val="clear" w:color="auto" w:fill="D4E2E0" w:themeFill="accent5"/>
          </w:tcPr>
          <w:p w14:paraId="324E3427" w14:textId="6C9A4D5C" w:rsidR="006A4792" w:rsidRDefault="00515A79" w:rsidP="000C5C83">
            <w:pPr>
              <w:jc w:val="right"/>
            </w:pPr>
            <w:r>
              <w:t>332</w:t>
            </w:r>
          </w:p>
        </w:tc>
      </w:tr>
      <w:tr w:rsidR="00515A79" w14:paraId="0B7DE0CE" w14:textId="77777777" w:rsidTr="00515A79">
        <w:tc>
          <w:tcPr>
            <w:tcW w:w="5070" w:type="dxa"/>
          </w:tcPr>
          <w:p w14:paraId="295CBA15" w14:textId="7726051E" w:rsidR="00515A79" w:rsidRPr="00515A79" w:rsidRDefault="00515A79" w:rsidP="000C5C83">
            <w:pPr>
              <w:rPr>
                <w:b/>
              </w:rPr>
            </w:pPr>
            <w:r w:rsidRPr="00515A79">
              <w:rPr>
                <w:b/>
              </w:rPr>
              <w:t>Total depreciation</w:t>
            </w:r>
          </w:p>
        </w:tc>
        <w:tc>
          <w:tcPr>
            <w:tcW w:w="2126" w:type="dxa"/>
            <w:tcBorders>
              <w:bottom w:val="single" w:sz="4" w:space="0" w:color="auto"/>
            </w:tcBorders>
            <w:shd w:val="clear" w:color="auto" w:fill="F5EDC1" w:themeFill="accent4"/>
          </w:tcPr>
          <w:p w14:paraId="655B8088" w14:textId="089F4F45" w:rsidR="00515A79" w:rsidRPr="00515A79" w:rsidRDefault="00515A79" w:rsidP="000C5C83">
            <w:pPr>
              <w:jc w:val="right"/>
              <w:rPr>
                <w:b/>
              </w:rPr>
            </w:pPr>
            <w:r w:rsidRPr="00515A79">
              <w:rPr>
                <w:b/>
              </w:rPr>
              <w:t>599</w:t>
            </w:r>
          </w:p>
        </w:tc>
        <w:tc>
          <w:tcPr>
            <w:tcW w:w="2046" w:type="dxa"/>
            <w:tcBorders>
              <w:bottom w:val="single" w:sz="4" w:space="0" w:color="auto"/>
            </w:tcBorders>
            <w:shd w:val="clear" w:color="auto" w:fill="D4E2E0" w:themeFill="accent5"/>
          </w:tcPr>
          <w:p w14:paraId="025ED77F" w14:textId="62B0CC87" w:rsidR="00515A79" w:rsidRPr="00515A79" w:rsidRDefault="00515A79" w:rsidP="000C5C83">
            <w:pPr>
              <w:jc w:val="right"/>
              <w:rPr>
                <w:b/>
              </w:rPr>
            </w:pPr>
            <w:r w:rsidRPr="00515A79">
              <w:rPr>
                <w:b/>
              </w:rPr>
              <w:t>523</w:t>
            </w:r>
          </w:p>
        </w:tc>
      </w:tr>
    </w:tbl>
    <w:p w14:paraId="3816A6DE" w14:textId="77777777" w:rsidR="006A4792" w:rsidRDefault="006A4792" w:rsidP="00F576B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2080"/>
        <w:gridCol w:w="1995"/>
      </w:tblGrid>
      <w:tr w:rsidR="00515A79" w14:paraId="3079199D" w14:textId="77777777" w:rsidTr="000C5C83">
        <w:tc>
          <w:tcPr>
            <w:tcW w:w="5070" w:type="dxa"/>
          </w:tcPr>
          <w:p w14:paraId="2D7093C1" w14:textId="28E52FDF" w:rsidR="00515A79" w:rsidRPr="00515A79" w:rsidRDefault="00515A79" w:rsidP="000C5C83">
            <w:pPr>
              <w:rPr>
                <w:b/>
                <w:i/>
              </w:rPr>
            </w:pPr>
            <w:r w:rsidRPr="00515A79">
              <w:rPr>
                <w:b/>
                <w:i/>
              </w:rPr>
              <w:t>Amortisation</w:t>
            </w:r>
          </w:p>
        </w:tc>
        <w:tc>
          <w:tcPr>
            <w:tcW w:w="2126" w:type="dxa"/>
          </w:tcPr>
          <w:p w14:paraId="52E11799" w14:textId="33A3354E" w:rsidR="00515A79" w:rsidRDefault="00515A79" w:rsidP="000C5C83">
            <w:pPr>
              <w:jc w:val="right"/>
            </w:pPr>
          </w:p>
        </w:tc>
        <w:tc>
          <w:tcPr>
            <w:tcW w:w="2046" w:type="dxa"/>
          </w:tcPr>
          <w:p w14:paraId="2053232C" w14:textId="1740B825" w:rsidR="00515A79" w:rsidRDefault="00515A79" w:rsidP="000C5C83">
            <w:pPr>
              <w:jc w:val="right"/>
            </w:pPr>
          </w:p>
        </w:tc>
      </w:tr>
      <w:tr w:rsidR="00515A79" w14:paraId="7D00C020" w14:textId="77777777" w:rsidTr="000C5C83">
        <w:tc>
          <w:tcPr>
            <w:tcW w:w="5070" w:type="dxa"/>
          </w:tcPr>
          <w:p w14:paraId="30D87294" w14:textId="7B6A3BF9" w:rsidR="00515A79" w:rsidRDefault="00515A79" w:rsidP="000C5C83">
            <w:r>
              <w:t>Intangible assets</w:t>
            </w:r>
          </w:p>
        </w:tc>
        <w:tc>
          <w:tcPr>
            <w:tcW w:w="2126" w:type="dxa"/>
            <w:shd w:val="clear" w:color="auto" w:fill="F5EDC1" w:themeFill="accent4"/>
          </w:tcPr>
          <w:p w14:paraId="7AB069BC" w14:textId="358BC7FA" w:rsidR="00515A79" w:rsidRDefault="00515A79" w:rsidP="000C5C83">
            <w:pPr>
              <w:jc w:val="right"/>
            </w:pPr>
            <w:r>
              <w:t>459</w:t>
            </w:r>
          </w:p>
        </w:tc>
        <w:tc>
          <w:tcPr>
            <w:tcW w:w="2046" w:type="dxa"/>
            <w:shd w:val="clear" w:color="auto" w:fill="D4E2E0" w:themeFill="accent5"/>
          </w:tcPr>
          <w:p w14:paraId="5CD5468F" w14:textId="4E8399B6" w:rsidR="00515A79" w:rsidRDefault="00515A79" w:rsidP="000C5C83">
            <w:pPr>
              <w:jc w:val="right"/>
            </w:pPr>
            <w:r>
              <w:t>361</w:t>
            </w:r>
          </w:p>
        </w:tc>
      </w:tr>
      <w:tr w:rsidR="00515A79" w14:paraId="18011789" w14:textId="77777777" w:rsidTr="00515A79">
        <w:tc>
          <w:tcPr>
            <w:tcW w:w="5070" w:type="dxa"/>
          </w:tcPr>
          <w:p w14:paraId="20D78636" w14:textId="29ACB76E" w:rsidR="00515A79" w:rsidRDefault="00515A79" w:rsidP="000C5C83">
            <w:r>
              <w:t>Total amortisation</w:t>
            </w:r>
          </w:p>
        </w:tc>
        <w:tc>
          <w:tcPr>
            <w:tcW w:w="2126" w:type="dxa"/>
            <w:tcBorders>
              <w:bottom w:val="single" w:sz="4" w:space="0" w:color="auto"/>
            </w:tcBorders>
            <w:shd w:val="clear" w:color="auto" w:fill="F5EDC1" w:themeFill="accent4"/>
          </w:tcPr>
          <w:p w14:paraId="07447F64" w14:textId="6205C868" w:rsidR="00515A79" w:rsidRDefault="00515A79" w:rsidP="000C5C83">
            <w:pPr>
              <w:jc w:val="right"/>
            </w:pPr>
            <w:r>
              <w:t>459</w:t>
            </w:r>
          </w:p>
        </w:tc>
        <w:tc>
          <w:tcPr>
            <w:tcW w:w="2046" w:type="dxa"/>
            <w:tcBorders>
              <w:bottom w:val="single" w:sz="4" w:space="0" w:color="auto"/>
            </w:tcBorders>
            <w:shd w:val="clear" w:color="auto" w:fill="D4E2E0" w:themeFill="accent5"/>
          </w:tcPr>
          <w:p w14:paraId="69D7D486" w14:textId="12E628A2" w:rsidR="00515A79" w:rsidRDefault="00515A79" w:rsidP="000C5C83">
            <w:pPr>
              <w:jc w:val="right"/>
            </w:pPr>
            <w:r>
              <w:t>361</w:t>
            </w:r>
          </w:p>
        </w:tc>
      </w:tr>
      <w:tr w:rsidR="00515A79" w14:paraId="3D8083FE" w14:textId="77777777" w:rsidTr="00515A79">
        <w:tc>
          <w:tcPr>
            <w:tcW w:w="5070" w:type="dxa"/>
          </w:tcPr>
          <w:p w14:paraId="2DAD8945" w14:textId="06548B88" w:rsidR="00515A79" w:rsidRPr="00515A79" w:rsidRDefault="00515A79" w:rsidP="000C5C83">
            <w:pPr>
              <w:rPr>
                <w:b/>
              </w:rPr>
            </w:pPr>
            <w:r w:rsidRPr="00515A79">
              <w:rPr>
                <w:b/>
              </w:rPr>
              <w:t>Total depreciation and amortisation</w:t>
            </w:r>
          </w:p>
        </w:tc>
        <w:tc>
          <w:tcPr>
            <w:tcW w:w="2126" w:type="dxa"/>
            <w:tcBorders>
              <w:top w:val="single" w:sz="4" w:space="0" w:color="auto"/>
              <w:bottom w:val="single" w:sz="4" w:space="0" w:color="auto"/>
            </w:tcBorders>
            <w:shd w:val="clear" w:color="auto" w:fill="F5EDC1" w:themeFill="accent4"/>
          </w:tcPr>
          <w:p w14:paraId="7577EAF7" w14:textId="7479953A" w:rsidR="00515A79" w:rsidRPr="00515A79" w:rsidRDefault="00515A79" w:rsidP="000C5C83">
            <w:pPr>
              <w:jc w:val="right"/>
              <w:rPr>
                <w:b/>
              </w:rPr>
            </w:pPr>
            <w:r w:rsidRPr="00515A79">
              <w:rPr>
                <w:b/>
              </w:rPr>
              <w:t>1,058</w:t>
            </w:r>
          </w:p>
        </w:tc>
        <w:tc>
          <w:tcPr>
            <w:tcW w:w="2046" w:type="dxa"/>
            <w:tcBorders>
              <w:top w:val="single" w:sz="4" w:space="0" w:color="auto"/>
              <w:bottom w:val="single" w:sz="4" w:space="0" w:color="auto"/>
            </w:tcBorders>
            <w:shd w:val="clear" w:color="auto" w:fill="D4E2E0" w:themeFill="accent5"/>
          </w:tcPr>
          <w:p w14:paraId="147DE9D6" w14:textId="775ED471" w:rsidR="00515A79" w:rsidRPr="00515A79" w:rsidRDefault="00515A79" w:rsidP="000C5C83">
            <w:pPr>
              <w:jc w:val="right"/>
              <w:rPr>
                <w:b/>
              </w:rPr>
            </w:pPr>
            <w:r w:rsidRPr="00515A79">
              <w:rPr>
                <w:b/>
              </w:rPr>
              <w:t>884</w:t>
            </w:r>
          </w:p>
        </w:tc>
      </w:tr>
    </w:tbl>
    <w:p w14:paraId="7CF0AA19" w14:textId="77777777" w:rsidR="00515A79" w:rsidRDefault="00515A79" w:rsidP="00F576B8"/>
    <w:p w14:paraId="1CEEA545" w14:textId="14A501E0" w:rsidR="00233400" w:rsidRDefault="00233400" w:rsidP="00233400">
      <w:pPr>
        <w:pStyle w:val="Heading2nonumber"/>
        <w:numPr>
          <w:ilvl w:val="0"/>
          <w:numId w:val="15"/>
        </w:numPr>
      </w:pPr>
      <w:bookmarkStart w:id="694" w:name="_Toc430091372"/>
      <w:r>
        <w:lastRenderedPageBreak/>
        <w:t>Accommodation expenses</w:t>
      </w:r>
      <w:bookmarkEnd w:id="6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2078"/>
        <w:gridCol w:w="2000"/>
      </w:tblGrid>
      <w:tr w:rsidR="00515A79" w14:paraId="0B3E8492" w14:textId="77777777" w:rsidTr="000C5C83">
        <w:tc>
          <w:tcPr>
            <w:tcW w:w="5070" w:type="dxa"/>
          </w:tcPr>
          <w:p w14:paraId="7030486F" w14:textId="77777777" w:rsidR="00515A79" w:rsidRDefault="00515A79" w:rsidP="000C5C83"/>
        </w:tc>
        <w:tc>
          <w:tcPr>
            <w:tcW w:w="2126" w:type="dxa"/>
          </w:tcPr>
          <w:p w14:paraId="0757ABCF" w14:textId="77777777" w:rsidR="00515A79" w:rsidRDefault="00515A79" w:rsidP="000C5C83">
            <w:pPr>
              <w:jc w:val="right"/>
            </w:pPr>
            <w:r>
              <w:t>2015</w:t>
            </w:r>
          </w:p>
        </w:tc>
        <w:tc>
          <w:tcPr>
            <w:tcW w:w="2046" w:type="dxa"/>
          </w:tcPr>
          <w:p w14:paraId="4966E3D0" w14:textId="77777777" w:rsidR="00515A79" w:rsidRDefault="00515A79" w:rsidP="000C5C83">
            <w:pPr>
              <w:jc w:val="right"/>
            </w:pPr>
            <w:r>
              <w:t>2014</w:t>
            </w:r>
          </w:p>
        </w:tc>
      </w:tr>
      <w:tr w:rsidR="00515A79" w14:paraId="2D410302" w14:textId="77777777" w:rsidTr="000C5C83">
        <w:tc>
          <w:tcPr>
            <w:tcW w:w="5070" w:type="dxa"/>
          </w:tcPr>
          <w:p w14:paraId="78709EFD" w14:textId="77777777" w:rsidR="00515A79" w:rsidRDefault="00515A79" w:rsidP="000C5C83"/>
        </w:tc>
        <w:tc>
          <w:tcPr>
            <w:tcW w:w="2126" w:type="dxa"/>
          </w:tcPr>
          <w:p w14:paraId="13905AD5" w14:textId="77777777" w:rsidR="00515A79" w:rsidRDefault="00515A79" w:rsidP="000C5C83">
            <w:pPr>
              <w:jc w:val="right"/>
            </w:pPr>
            <w:r>
              <w:t>$000</w:t>
            </w:r>
          </w:p>
        </w:tc>
        <w:tc>
          <w:tcPr>
            <w:tcW w:w="2046" w:type="dxa"/>
          </w:tcPr>
          <w:p w14:paraId="23F947B7" w14:textId="77777777" w:rsidR="00515A79" w:rsidRDefault="00515A79" w:rsidP="000C5C83">
            <w:pPr>
              <w:jc w:val="right"/>
            </w:pPr>
            <w:r>
              <w:t>$000</w:t>
            </w:r>
          </w:p>
        </w:tc>
      </w:tr>
      <w:tr w:rsidR="00515A79" w14:paraId="51AAC12A" w14:textId="77777777" w:rsidTr="000C5C83">
        <w:tc>
          <w:tcPr>
            <w:tcW w:w="5070" w:type="dxa"/>
          </w:tcPr>
          <w:p w14:paraId="321D412A" w14:textId="19459CC2" w:rsidR="00515A79" w:rsidRDefault="00233400" w:rsidP="000C5C83">
            <w:r>
              <w:t>Outgoings</w:t>
            </w:r>
          </w:p>
        </w:tc>
        <w:tc>
          <w:tcPr>
            <w:tcW w:w="2126" w:type="dxa"/>
            <w:shd w:val="clear" w:color="auto" w:fill="F5EDC1" w:themeFill="accent4"/>
          </w:tcPr>
          <w:p w14:paraId="2759AF24" w14:textId="1E9B82AA" w:rsidR="00515A79" w:rsidRDefault="00233400" w:rsidP="000C5C83">
            <w:pPr>
              <w:jc w:val="right"/>
            </w:pPr>
            <w:r>
              <w:t>296</w:t>
            </w:r>
          </w:p>
        </w:tc>
        <w:tc>
          <w:tcPr>
            <w:tcW w:w="2046" w:type="dxa"/>
            <w:shd w:val="clear" w:color="auto" w:fill="D4E2E0" w:themeFill="accent5"/>
          </w:tcPr>
          <w:p w14:paraId="36A0CB79" w14:textId="4EF07279" w:rsidR="00515A79" w:rsidRDefault="00233400" w:rsidP="000C5C83">
            <w:pPr>
              <w:jc w:val="right"/>
            </w:pPr>
            <w:r>
              <w:t>192</w:t>
            </w:r>
          </w:p>
        </w:tc>
      </w:tr>
      <w:tr w:rsidR="00515A79" w14:paraId="10C665B0" w14:textId="77777777" w:rsidTr="000C5C83">
        <w:tc>
          <w:tcPr>
            <w:tcW w:w="5070" w:type="dxa"/>
          </w:tcPr>
          <w:p w14:paraId="1EC14ACA" w14:textId="53E2CBE7" w:rsidR="00515A79" w:rsidRDefault="00233400" w:rsidP="000C5C83">
            <w:r>
              <w:t>Repairs and maintenance</w:t>
            </w:r>
          </w:p>
        </w:tc>
        <w:tc>
          <w:tcPr>
            <w:tcW w:w="2126" w:type="dxa"/>
            <w:shd w:val="clear" w:color="auto" w:fill="F5EDC1" w:themeFill="accent4"/>
          </w:tcPr>
          <w:p w14:paraId="785EFBC0" w14:textId="3EB53569" w:rsidR="00515A79" w:rsidRDefault="00233400" w:rsidP="000C5C83">
            <w:pPr>
              <w:jc w:val="right"/>
            </w:pPr>
            <w:r>
              <w:t>213</w:t>
            </w:r>
          </w:p>
        </w:tc>
        <w:tc>
          <w:tcPr>
            <w:tcW w:w="2046" w:type="dxa"/>
            <w:shd w:val="clear" w:color="auto" w:fill="D4E2E0" w:themeFill="accent5"/>
          </w:tcPr>
          <w:p w14:paraId="6EECE2D1" w14:textId="48CEC47A" w:rsidR="00515A79" w:rsidRDefault="00233400" w:rsidP="000C5C83">
            <w:pPr>
              <w:jc w:val="right"/>
            </w:pPr>
            <w:r>
              <w:t>190</w:t>
            </w:r>
          </w:p>
        </w:tc>
      </w:tr>
      <w:tr w:rsidR="00233400" w14:paraId="151FBC13" w14:textId="77777777" w:rsidTr="00233400">
        <w:tc>
          <w:tcPr>
            <w:tcW w:w="5070" w:type="dxa"/>
          </w:tcPr>
          <w:p w14:paraId="62016A4A" w14:textId="069FCBC2" w:rsidR="00233400" w:rsidRDefault="00233400" w:rsidP="000C5C83">
            <w:r>
              <w:t xml:space="preserve">Other </w:t>
            </w:r>
          </w:p>
        </w:tc>
        <w:tc>
          <w:tcPr>
            <w:tcW w:w="2126" w:type="dxa"/>
            <w:shd w:val="clear" w:color="auto" w:fill="F5EDC1" w:themeFill="accent4"/>
          </w:tcPr>
          <w:p w14:paraId="6B577E69" w14:textId="3B588447" w:rsidR="00233400" w:rsidRDefault="00233400" w:rsidP="000C5C83">
            <w:pPr>
              <w:jc w:val="right"/>
            </w:pPr>
            <w:r>
              <w:t>165</w:t>
            </w:r>
          </w:p>
        </w:tc>
        <w:tc>
          <w:tcPr>
            <w:tcW w:w="2046" w:type="dxa"/>
            <w:shd w:val="clear" w:color="auto" w:fill="D4E2E0" w:themeFill="accent5"/>
          </w:tcPr>
          <w:p w14:paraId="169960B5" w14:textId="4DD7777A" w:rsidR="00233400" w:rsidRDefault="00233400" w:rsidP="000C5C83">
            <w:pPr>
              <w:jc w:val="right"/>
            </w:pPr>
            <w:r>
              <w:t>205</w:t>
            </w:r>
          </w:p>
        </w:tc>
      </w:tr>
      <w:tr w:rsidR="00233400" w14:paraId="48BA9796" w14:textId="77777777" w:rsidTr="00233400">
        <w:tc>
          <w:tcPr>
            <w:tcW w:w="5070" w:type="dxa"/>
          </w:tcPr>
          <w:p w14:paraId="1631E0BD" w14:textId="77777777" w:rsidR="00233400" w:rsidRDefault="00233400" w:rsidP="000C5C83"/>
        </w:tc>
        <w:tc>
          <w:tcPr>
            <w:tcW w:w="2126" w:type="dxa"/>
            <w:tcBorders>
              <w:bottom w:val="single" w:sz="4" w:space="0" w:color="auto"/>
            </w:tcBorders>
            <w:shd w:val="clear" w:color="auto" w:fill="F5EDC1" w:themeFill="accent4"/>
          </w:tcPr>
          <w:p w14:paraId="128782C3" w14:textId="39563FD1" w:rsidR="00233400" w:rsidRPr="00233400" w:rsidRDefault="00233400" w:rsidP="000C5C83">
            <w:pPr>
              <w:jc w:val="right"/>
              <w:rPr>
                <w:b/>
              </w:rPr>
            </w:pPr>
            <w:r w:rsidRPr="00233400">
              <w:rPr>
                <w:b/>
              </w:rPr>
              <w:t>674</w:t>
            </w:r>
          </w:p>
        </w:tc>
        <w:tc>
          <w:tcPr>
            <w:tcW w:w="2046" w:type="dxa"/>
            <w:tcBorders>
              <w:bottom w:val="single" w:sz="4" w:space="0" w:color="auto"/>
            </w:tcBorders>
            <w:shd w:val="clear" w:color="auto" w:fill="D4E2E0" w:themeFill="accent5"/>
          </w:tcPr>
          <w:p w14:paraId="73B02CFB" w14:textId="3CDB0519" w:rsidR="00233400" w:rsidRPr="00233400" w:rsidRDefault="00233400" w:rsidP="000C5C83">
            <w:pPr>
              <w:jc w:val="right"/>
              <w:rPr>
                <w:b/>
              </w:rPr>
            </w:pPr>
            <w:r w:rsidRPr="00233400">
              <w:rPr>
                <w:b/>
              </w:rPr>
              <w:t>587</w:t>
            </w:r>
          </w:p>
        </w:tc>
      </w:tr>
    </w:tbl>
    <w:p w14:paraId="2637CADC" w14:textId="0A7C6854" w:rsidR="00515A79" w:rsidRDefault="00687EBF" w:rsidP="00687EBF">
      <w:pPr>
        <w:pStyle w:val="Heading2nonumber"/>
        <w:numPr>
          <w:ilvl w:val="0"/>
          <w:numId w:val="15"/>
        </w:numPr>
      </w:pPr>
      <w:bookmarkStart w:id="695" w:name="_Toc430091373"/>
      <w:r>
        <w:t>Other expenses</w:t>
      </w:r>
      <w:bookmarkEnd w:id="6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1794"/>
        <w:gridCol w:w="284"/>
        <w:gridCol w:w="2000"/>
      </w:tblGrid>
      <w:tr w:rsidR="00515A79" w14:paraId="52E8CD92" w14:textId="77777777" w:rsidTr="000C5C83">
        <w:tc>
          <w:tcPr>
            <w:tcW w:w="5070" w:type="dxa"/>
          </w:tcPr>
          <w:p w14:paraId="6FA11D17" w14:textId="72FFED7D" w:rsidR="00515A79" w:rsidRPr="00687EBF" w:rsidRDefault="00687EBF" w:rsidP="000C5C83">
            <w:pPr>
              <w:rPr>
                <w:b/>
                <w:i/>
              </w:rPr>
            </w:pPr>
            <w:r w:rsidRPr="00687EBF">
              <w:rPr>
                <w:b/>
                <w:i/>
              </w:rPr>
              <w:t>General Account</w:t>
            </w:r>
          </w:p>
        </w:tc>
        <w:tc>
          <w:tcPr>
            <w:tcW w:w="2126" w:type="dxa"/>
            <w:gridSpan w:val="2"/>
          </w:tcPr>
          <w:p w14:paraId="12E5E3E2" w14:textId="61BB107E" w:rsidR="00515A79" w:rsidRDefault="00515A79" w:rsidP="000C5C83">
            <w:pPr>
              <w:jc w:val="right"/>
            </w:pPr>
          </w:p>
        </w:tc>
        <w:tc>
          <w:tcPr>
            <w:tcW w:w="2046" w:type="dxa"/>
          </w:tcPr>
          <w:p w14:paraId="18641791" w14:textId="60749188" w:rsidR="00515A79" w:rsidRDefault="00515A79" w:rsidP="000C5C83">
            <w:pPr>
              <w:jc w:val="right"/>
            </w:pPr>
          </w:p>
        </w:tc>
      </w:tr>
      <w:tr w:rsidR="00515A79" w14:paraId="60C0DB4F" w14:textId="77777777" w:rsidTr="000C5C83">
        <w:tc>
          <w:tcPr>
            <w:tcW w:w="5070" w:type="dxa"/>
          </w:tcPr>
          <w:p w14:paraId="48234736" w14:textId="5F46C181" w:rsidR="00515A79" w:rsidRDefault="00687EBF" w:rsidP="000C5C83">
            <w:r>
              <w:t>Joint initiative with WorkSafe</w:t>
            </w:r>
          </w:p>
        </w:tc>
        <w:tc>
          <w:tcPr>
            <w:tcW w:w="2126" w:type="dxa"/>
            <w:gridSpan w:val="2"/>
            <w:shd w:val="clear" w:color="auto" w:fill="F5EDC1" w:themeFill="accent4"/>
          </w:tcPr>
          <w:p w14:paraId="0C6FAF0C" w14:textId="387A5DB0" w:rsidR="00515A79" w:rsidRDefault="00687EBF" w:rsidP="000C5C83">
            <w:pPr>
              <w:jc w:val="right"/>
            </w:pPr>
            <w:r>
              <w:t>5</w:t>
            </w:r>
          </w:p>
        </w:tc>
        <w:tc>
          <w:tcPr>
            <w:tcW w:w="2046" w:type="dxa"/>
            <w:shd w:val="clear" w:color="auto" w:fill="D4E2E0" w:themeFill="accent5"/>
          </w:tcPr>
          <w:p w14:paraId="339B1D53" w14:textId="4968EB06" w:rsidR="00515A79" w:rsidRDefault="00687EBF" w:rsidP="000C5C83">
            <w:pPr>
              <w:jc w:val="right"/>
            </w:pPr>
            <w:r>
              <w:t>253</w:t>
            </w:r>
          </w:p>
        </w:tc>
      </w:tr>
      <w:tr w:rsidR="00515A79" w14:paraId="41222406" w14:textId="77777777" w:rsidTr="000C5C83">
        <w:tc>
          <w:tcPr>
            <w:tcW w:w="5070" w:type="dxa"/>
          </w:tcPr>
          <w:p w14:paraId="61AA3D97" w14:textId="590D26F6" w:rsidR="00515A79" w:rsidRDefault="00687EBF" w:rsidP="000C5C83">
            <w:r>
              <w:t>Employment on-costs</w:t>
            </w:r>
            <w:r w:rsidRPr="00687EBF">
              <w:rPr>
                <w:vertAlign w:val="superscript"/>
              </w:rPr>
              <w:t>(a)</w:t>
            </w:r>
          </w:p>
        </w:tc>
        <w:tc>
          <w:tcPr>
            <w:tcW w:w="2126" w:type="dxa"/>
            <w:gridSpan w:val="2"/>
            <w:shd w:val="clear" w:color="auto" w:fill="F5EDC1" w:themeFill="accent4"/>
          </w:tcPr>
          <w:p w14:paraId="5B09A62A" w14:textId="689C86C7" w:rsidR="00515A79" w:rsidRDefault="00687EBF" w:rsidP="000C5C83">
            <w:pPr>
              <w:jc w:val="right"/>
            </w:pPr>
            <w:r>
              <w:t>734</w:t>
            </w:r>
          </w:p>
        </w:tc>
        <w:tc>
          <w:tcPr>
            <w:tcW w:w="2046" w:type="dxa"/>
            <w:shd w:val="clear" w:color="auto" w:fill="D4E2E0" w:themeFill="accent5"/>
          </w:tcPr>
          <w:p w14:paraId="1C389112" w14:textId="57EB7135" w:rsidR="00515A79" w:rsidRDefault="00687EBF" w:rsidP="000C5C83">
            <w:pPr>
              <w:jc w:val="right"/>
            </w:pPr>
            <w:r>
              <w:t>725</w:t>
            </w:r>
          </w:p>
        </w:tc>
      </w:tr>
      <w:tr w:rsidR="00687EBF" w14:paraId="098BF3E2" w14:textId="77777777" w:rsidTr="000C5C83">
        <w:tc>
          <w:tcPr>
            <w:tcW w:w="5070" w:type="dxa"/>
          </w:tcPr>
          <w:p w14:paraId="17828FFB" w14:textId="5917E085" w:rsidR="00687EBF" w:rsidRDefault="00687EBF" w:rsidP="000C5C83">
            <w:r>
              <w:t>Seminars</w:t>
            </w:r>
          </w:p>
        </w:tc>
        <w:tc>
          <w:tcPr>
            <w:tcW w:w="2126" w:type="dxa"/>
            <w:gridSpan w:val="2"/>
            <w:shd w:val="clear" w:color="auto" w:fill="F5EDC1" w:themeFill="accent4"/>
          </w:tcPr>
          <w:p w14:paraId="06DA478F" w14:textId="040D29BC" w:rsidR="00687EBF" w:rsidRDefault="00687EBF" w:rsidP="000C5C83">
            <w:pPr>
              <w:jc w:val="right"/>
            </w:pPr>
            <w:r>
              <w:t>13</w:t>
            </w:r>
          </w:p>
        </w:tc>
        <w:tc>
          <w:tcPr>
            <w:tcW w:w="2046" w:type="dxa"/>
            <w:shd w:val="clear" w:color="auto" w:fill="D4E2E0" w:themeFill="accent5"/>
          </w:tcPr>
          <w:p w14:paraId="7EF7F557" w14:textId="0806B57E" w:rsidR="00687EBF" w:rsidRDefault="00687EBF" w:rsidP="000C5C83">
            <w:pPr>
              <w:jc w:val="right"/>
            </w:pPr>
            <w:r>
              <w:t>10</w:t>
            </w:r>
          </w:p>
        </w:tc>
      </w:tr>
      <w:tr w:rsidR="00687EBF" w14:paraId="61B99F55" w14:textId="77777777" w:rsidTr="000C5C83">
        <w:tc>
          <w:tcPr>
            <w:tcW w:w="5070" w:type="dxa"/>
          </w:tcPr>
          <w:p w14:paraId="2A9AFF13" w14:textId="29227631" w:rsidR="00687EBF" w:rsidRDefault="00687EBF" w:rsidP="000C5C83">
            <w:r>
              <w:t>Doubtful debts expense</w:t>
            </w:r>
          </w:p>
        </w:tc>
        <w:tc>
          <w:tcPr>
            <w:tcW w:w="2126" w:type="dxa"/>
            <w:gridSpan w:val="2"/>
            <w:shd w:val="clear" w:color="auto" w:fill="F5EDC1" w:themeFill="accent4"/>
          </w:tcPr>
          <w:p w14:paraId="17383766" w14:textId="2A1D0860" w:rsidR="00687EBF" w:rsidRDefault="00687EBF" w:rsidP="000C5C83">
            <w:pPr>
              <w:jc w:val="right"/>
            </w:pPr>
            <w:r>
              <w:t>75</w:t>
            </w:r>
          </w:p>
        </w:tc>
        <w:tc>
          <w:tcPr>
            <w:tcW w:w="2046" w:type="dxa"/>
            <w:shd w:val="clear" w:color="auto" w:fill="D4E2E0" w:themeFill="accent5"/>
          </w:tcPr>
          <w:p w14:paraId="62B20012" w14:textId="36D704CC" w:rsidR="00687EBF" w:rsidRDefault="00687EBF" w:rsidP="000C5C83">
            <w:pPr>
              <w:jc w:val="right"/>
            </w:pPr>
            <w:r>
              <w:t>60</w:t>
            </w:r>
          </w:p>
        </w:tc>
      </w:tr>
      <w:tr w:rsidR="00687EBF" w14:paraId="06F5BF8D" w14:textId="77777777" w:rsidTr="000C5C83">
        <w:tc>
          <w:tcPr>
            <w:tcW w:w="5070" w:type="dxa"/>
          </w:tcPr>
          <w:p w14:paraId="087B65C8" w14:textId="1CC22C03" w:rsidR="00687EBF" w:rsidRDefault="00687EBF" w:rsidP="000C5C83">
            <w:r>
              <w:t>Sitting fees</w:t>
            </w:r>
          </w:p>
        </w:tc>
        <w:tc>
          <w:tcPr>
            <w:tcW w:w="2126" w:type="dxa"/>
            <w:gridSpan w:val="2"/>
            <w:shd w:val="clear" w:color="auto" w:fill="F5EDC1" w:themeFill="accent4"/>
          </w:tcPr>
          <w:p w14:paraId="00FC6A2C" w14:textId="601F33DF" w:rsidR="00687EBF" w:rsidRDefault="00687EBF" w:rsidP="000C5C83">
            <w:pPr>
              <w:jc w:val="right"/>
            </w:pPr>
            <w:r>
              <w:t>84</w:t>
            </w:r>
          </w:p>
        </w:tc>
        <w:tc>
          <w:tcPr>
            <w:tcW w:w="2046" w:type="dxa"/>
            <w:shd w:val="clear" w:color="auto" w:fill="D4E2E0" w:themeFill="accent5"/>
          </w:tcPr>
          <w:p w14:paraId="6E81DC85" w14:textId="2815E87A" w:rsidR="00687EBF" w:rsidRDefault="00687EBF" w:rsidP="000C5C83">
            <w:pPr>
              <w:jc w:val="right"/>
            </w:pPr>
            <w:r>
              <w:t>82</w:t>
            </w:r>
          </w:p>
        </w:tc>
      </w:tr>
      <w:tr w:rsidR="00687EBF" w14:paraId="3CA70C49" w14:textId="77777777" w:rsidTr="000C5C83">
        <w:tc>
          <w:tcPr>
            <w:tcW w:w="5070" w:type="dxa"/>
          </w:tcPr>
          <w:p w14:paraId="5B68B080" w14:textId="6F8F1233" w:rsidR="00687EBF" w:rsidRDefault="00687EBF" w:rsidP="000C5C83">
            <w:r>
              <w:t>Staff wellness programs</w:t>
            </w:r>
          </w:p>
        </w:tc>
        <w:tc>
          <w:tcPr>
            <w:tcW w:w="2126" w:type="dxa"/>
            <w:gridSpan w:val="2"/>
            <w:shd w:val="clear" w:color="auto" w:fill="F5EDC1" w:themeFill="accent4"/>
          </w:tcPr>
          <w:p w14:paraId="5A4805FA" w14:textId="5EBA2BE1" w:rsidR="00687EBF" w:rsidRDefault="00687EBF" w:rsidP="000C5C83">
            <w:pPr>
              <w:jc w:val="right"/>
            </w:pPr>
            <w:r>
              <w:t>61</w:t>
            </w:r>
          </w:p>
        </w:tc>
        <w:tc>
          <w:tcPr>
            <w:tcW w:w="2046" w:type="dxa"/>
            <w:shd w:val="clear" w:color="auto" w:fill="D4E2E0" w:themeFill="accent5"/>
          </w:tcPr>
          <w:p w14:paraId="181A1BBE" w14:textId="27325299" w:rsidR="00687EBF" w:rsidRDefault="00687EBF" w:rsidP="000C5C83">
            <w:pPr>
              <w:jc w:val="right"/>
            </w:pPr>
            <w:r>
              <w:t>60</w:t>
            </w:r>
          </w:p>
        </w:tc>
      </w:tr>
      <w:tr w:rsidR="00687EBF" w14:paraId="29D880A3" w14:textId="77777777" w:rsidTr="000C5C83">
        <w:tc>
          <w:tcPr>
            <w:tcW w:w="5070" w:type="dxa"/>
          </w:tcPr>
          <w:p w14:paraId="4F97750D" w14:textId="71CBC52E" w:rsidR="00687EBF" w:rsidRDefault="00687EBF" w:rsidP="000C5C83">
            <w:r>
              <w:t>Audit Fees</w:t>
            </w:r>
          </w:p>
        </w:tc>
        <w:tc>
          <w:tcPr>
            <w:tcW w:w="2126" w:type="dxa"/>
            <w:gridSpan w:val="2"/>
            <w:shd w:val="clear" w:color="auto" w:fill="F5EDC1" w:themeFill="accent4"/>
          </w:tcPr>
          <w:p w14:paraId="0072458C" w14:textId="315858FE" w:rsidR="00687EBF" w:rsidRDefault="00687EBF" w:rsidP="000C5C83">
            <w:pPr>
              <w:jc w:val="right"/>
            </w:pPr>
            <w:r>
              <w:t>187</w:t>
            </w:r>
          </w:p>
        </w:tc>
        <w:tc>
          <w:tcPr>
            <w:tcW w:w="2046" w:type="dxa"/>
            <w:shd w:val="clear" w:color="auto" w:fill="D4E2E0" w:themeFill="accent5"/>
          </w:tcPr>
          <w:p w14:paraId="3AE2CCD3" w14:textId="255AD5AD" w:rsidR="00687EBF" w:rsidRDefault="00687EBF" w:rsidP="000C5C83">
            <w:pPr>
              <w:jc w:val="right"/>
            </w:pPr>
            <w:r>
              <w:t>194</w:t>
            </w:r>
          </w:p>
        </w:tc>
      </w:tr>
      <w:tr w:rsidR="00687EBF" w14:paraId="7D818B8C" w14:textId="77777777" w:rsidTr="000C5C83">
        <w:tc>
          <w:tcPr>
            <w:tcW w:w="5070" w:type="dxa"/>
          </w:tcPr>
          <w:p w14:paraId="6E54EC1E" w14:textId="6DD36E38" w:rsidR="00687EBF" w:rsidRDefault="00687EBF" w:rsidP="00687EBF">
            <w:pPr>
              <w:spacing w:line="240" w:lineRule="auto"/>
            </w:pPr>
            <w:r>
              <w:t>Administration fee paid to Insurance Commission of WA for Uninsured General Fund Claims</w:t>
            </w:r>
          </w:p>
        </w:tc>
        <w:tc>
          <w:tcPr>
            <w:tcW w:w="2126" w:type="dxa"/>
            <w:gridSpan w:val="2"/>
            <w:shd w:val="clear" w:color="auto" w:fill="F5EDC1" w:themeFill="accent4"/>
          </w:tcPr>
          <w:p w14:paraId="4AF33362" w14:textId="63385DFE" w:rsidR="00687EBF" w:rsidRDefault="00687EBF" w:rsidP="000C5C83">
            <w:pPr>
              <w:jc w:val="right"/>
            </w:pPr>
            <w:r>
              <w:t>55</w:t>
            </w:r>
          </w:p>
        </w:tc>
        <w:tc>
          <w:tcPr>
            <w:tcW w:w="2046" w:type="dxa"/>
            <w:shd w:val="clear" w:color="auto" w:fill="D4E2E0" w:themeFill="accent5"/>
          </w:tcPr>
          <w:p w14:paraId="6F07136F" w14:textId="047AB8A9" w:rsidR="00687EBF" w:rsidRDefault="00687EBF" w:rsidP="000C5C83">
            <w:pPr>
              <w:jc w:val="right"/>
            </w:pPr>
            <w:r>
              <w:t>33</w:t>
            </w:r>
          </w:p>
        </w:tc>
      </w:tr>
      <w:tr w:rsidR="00687EBF" w14:paraId="3153652E" w14:textId="77777777" w:rsidTr="000C5C83">
        <w:tc>
          <w:tcPr>
            <w:tcW w:w="5070" w:type="dxa"/>
          </w:tcPr>
          <w:p w14:paraId="513BB279" w14:textId="675D61D6" w:rsidR="00687EBF" w:rsidRDefault="00687EBF" w:rsidP="000C5C83">
            <w:r>
              <w:t>Other</w:t>
            </w:r>
          </w:p>
        </w:tc>
        <w:tc>
          <w:tcPr>
            <w:tcW w:w="2126" w:type="dxa"/>
            <w:gridSpan w:val="2"/>
            <w:shd w:val="clear" w:color="auto" w:fill="F5EDC1" w:themeFill="accent4"/>
          </w:tcPr>
          <w:p w14:paraId="7A3ABAFF" w14:textId="047F3D91" w:rsidR="00687EBF" w:rsidRDefault="00687EBF" w:rsidP="000C5C83">
            <w:pPr>
              <w:jc w:val="right"/>
            </w:pPr>
            <w:r>
              <w:t>31</w:t>
            </w:r>
          </w:p>
        </w:tc>
        <w:tc>
          <w:tcPr>
            <w:tcW w:w="2046" w:type="dxa"/>
            <w:shd w:val="clear" w:color="auto" w:fill="D4E2E0" w:themeFill="accent5"/>
          </w:tcPr>
          <w:p w14:paraId="3A24D02F" w14:textId="20698997" w:rsidR="00687EBF" w:rsidRDefault="00687EBF" w:rsidP="000C5C83">
            <w:pPr>
              <w:jc w:val="right"/>
            </w:pPr>
            <w:r>
              <w:t>25</w:t>
            </w:r>
          </w:p>
        </w:tc>
      </w:tr>
      <w:tr w:rsidR="00687EBF" w14:paraId="58A97086" w14:textId="77777777" w:rsidTr="00687EBF">
        <w:tc>
          <w:tcPr>
            <w:tcW w:w="6912" w:type="dxa"/>
            <w:gridSpan w:val="2"/>
            <w:shd w:val="clear" w:color="auto" w:fill="FFFFFF" w:themeFill="background1"/>
          </w:tcPr>
          <w:p w14:paraId="030120C1" w14:textId="58DBA8D8" w:rsidR="00687EBF" w:rsidRPr="00687EBF" w:rsidRDefault="00687EBF" w:rsidP="000C5C83">
            <w:pPr>
              <w:rPr>
                <w:b/>
                <w:i/>
              </w:rPr>
            </w:pPr>
            <w:r w:rsidRPr="00687EBF">
              <w:rPr>
                <w:b/>
                <w:i/>
              </w:rPr>
              <w:t>Employers’ Indemnity Supplementation Fund (see note 30)</w:t>
            </w:r>
          </w:p>
        </w:tc>
        <w:tc>
          <w:tcPr>
            <w:tcW w:w="284" w:type="dxa"/>
            <w:shd w:val="clear" w:color="auto" w:fill="FFFFFF" w:themeFill="background1"/>
          </w:tcPr>
          <w:p w14:paraId="5D523A0B" w14:textId="77777777" w:rsidR="00687EBF" w:rsidRDefault="00687EBF" w:rsidP="000C5C83">
            <w:pPr>
              <w:jc w:val="right"/>
            </w:pPr>
          </w:p>
        </w:tc>
        <w:tc>
          <w:tcPr>
            <w:tcW w:w="2046" w:type="dxa"/>
            <w:shd w:val="clear" w:color="auto" w:fill="FFFFFF" w:themeFill="background1"/>
          </w:tcPr>
          <w:p w14:paraId="36899F1A" w14:textId="77777777" w:rsidR="00687EBF" w:rsidRDefault="00687EBF" w:rsidP="000C5C83">
            <w:pPr>
              <w:jc w:val="right"/>
            </w:pPr>
          </w:p>
        </w:tc>
      </w:tr>
      <w:tr w:rsidR="00687EBF" w14:paraId="03704AFE" w14:textId="77777777" w:rsidTr="00687EBF">
        <w:tc>
          <w:tcPr>
            <w:tcW w:w="5070" w:type="dxa"/>
          </w:tcPr>
          <w:p w14:paraId="4AF38E53" w14:textId="05F994BF" w:rsidR="00687EBF" w:rsidRDefault="00687EBF" w:rsidP="00687EBF">
            <w:pPr>
              <w:spacing w:line="240" w:lineRule="auto"/>
            </w:pPr>
            <w:r>
              <w:t>Administration fee paid to Insurance Commission of WA</w:t>
            </w:r>
          </w:p>
        </w:tc>
        <w:tc>
          <w:tcPr>
            <w:tcW w:w="2126" w:type="dxa"/>
            <w:gridSpan w:val="2"/>
            <w:shd w:val="clear" w:color="auto" w:fill="F5EDC1" w:themeFill="accent4"/>
          </w:tcPr>
          <w:p w14:paraId="7CA7DD84" w14:textId="52CC05C7" w:rsidR="00687EBF" w:rsidRDefault="00687EBF" w:rsidP="000C5C83">
            <w:pPr>
              <w:jc w:val="right"/>
            </w:pPr>
            <w:r>
              <w:t>40</w:t>
            </w:r>
          </w:p>
        </w:tc>
        <w:tc>
          <w:tcPr>
            <w:tcW w:w="2046" w:type="dxa"/>
            <w:shd w:val="clear" w:color="auto" w:fill="D4E2E0" w:themeFill="accent5"/>
          </w:tcPr>
          <w:p w14:paraId="4EEA0936" w14:textId="78068B71" w:rsidR="00687EBF" w:rsidRDefault="00687EBF" w:rsidP="000C5C83">
            <w:pPr>
              <w:jc w:val="right"/>
            </w:pPr>
            <w:r>
              <w:t>44</w:t>
            </w:r>
          </w:p>
        </w:tc>
      </w:tr>
      <w:tr w:rsidR="00687EBF" w14:paraId="6D77803F" w14:textId="77777777" w:rsidTr="00687EBF">
        <w:tc>
          <w:tcPr>
            <w:tcW w:w="5070" w:type="dxa"/>
          </w:tcPr>
          <w:p w14:paraId="7F803ED2" w14:textId="77777777" w:rsidR="00687EBF" w:rsidRDefault="00687EBF" w:rsidP="000C5C83"/>
        </w:tc>
        <w:tc>
          <w:tcPr>
            <w:tcW w:w="2126" w:type="dxa"/>
            <w:gridSpan w:val="2"/>
            <w:tcBorders>
              <w:bottom w:val="single" w:sz="4" w:space="0" w:color="auto"/>
            </w:tcBorders>
            <w:shd w:val="clear" w:color="auto" w:fill="F5EDC1" w:themeFill="accent4"/>
          </w:tcPr>
          <w:p w14:paraId="75F700E3" w14:textId="1C7FF450" w:rsidR="00687EBF" w:rsidRPr="00687EBF" w:rsidRDefault="00687EBF" w:rsidP="000C5C83">
            <w:pPr>
              <w:jc w:val="right"/>
              <w:rPr>
                <w:b/>
              </w:rPr>
            </w:pPr>
            <w:r w:rsidRPr="00687EBF">
              <w:rPr>
                <w:b/>
              </w:rPr>
              <w:t>1,285</w:t>
            </w:r>
          </w:p>
        </w:tc>
        <w:tc>
          <w:tcPr>
            <w:tcW w:w="2046" w:type="dxa"/>
            <w:tcBorders>
              <w:bottom w:val="single" w:sz="4" w:space="0" w:color="auto"/>
            </w:tcBorders>
            <w:shd w:val="clear" w:color="auto" w:fill="D4E2E0" w:themeFill="accent5"/>
          </w:tcPr>
          <w:p w14:paraId="1FE9F562" w14:textId="73CC6B77" w:rsidR="00687EBF" w:rsidRPr="00687EBF" w:rsidRDefault="00687EBF" w:rsidP="000C5C83">
            <w:pPr>
              <w:jc w:val="right"/>
              <w:rPr>
                <w:b/>
              </w:rPr>
            </w:pPr>
            <w:r w:rsidRPr="00687EBF">
              <w:rPr>
                <w:b/>
              </w:rPr>
              <w:t>1,486</w:t>
            </w:r>
          </w:p>
        </w:tc>
      </w:tr>
    </w:tbl>
    <w:p w14:paraId="546D008E" w14:textId="0238818C" w:rsidR="00687EBF" w:rsidRDefault="00687EBF" w:rsidP="00F576B8">
      <w:r>
        <w:lastRenderedPageBreak/>
        <w:br/>
        <w:t>(a) Includes workers’ compensation insurance, payroll tax and other employment on-costs. The on-costs liability associated with the recognition of annual and long service leave liability is included at note 27 ‘Provisions’. Superannuation contributions accrued as part of the provision for leave are employee benefits and are not included in employment on-costs.</w:t>
      </w:r>
    </w:p>
    <w:p w14:paraId="5B76B890" w14:textId="54A84724" w:rsidR="00687EBF" w:rsidRDefault="00DF5741" w:rsidP="00F576B8">
      <w:pPr>
        <w:pStyle w:val="Heading2nonumber"/>
        <w:numPr>
          <w:ilvl w:val="0"/>
          <w:numId w:val="15"/>
        </w:numPr>
      </w:pPr>
      <w:bookmarkStart w:id="696" w:name="_Toc430091374"/>
      <w:r>
        <w:t>Services received free of charge</w:t>
      </w:r>
      <w:bookmarkEnd w:id="6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2078"/>
        <w:gridCol w:w="2000"/>
      </w:tblGrid>
      <w:tr w:rsidR="00687EBF" w14:paraId="76B08320" w14:textId="77777777" w:rsidTr="00DF5741">
        <w:tc>
          <w:tcPr>
            <w:tcW w:w="5070" w:type="dxa"/>
          </w:tcPr>
          <w:p w14:paraId="546700C7" w14:textId="6ED2C060" w:rsidR="00687EBF" w:rsidRDefault="00DF5741" w:rsidP="000C5C83">
            <w:r>
              <w:t>Services received free of charge from the State Solicitor’s Office</w:t>
            </w:r>
          </w:p>
        </w:tc>
        <w:tc>
          <w:tcPr>
            <w:tcW w:w="2126" w:type="dxa"/>
            <w:shd w:val="clear" w:color="auto" w:fill="F5EDC1" w:themeFill="accent4"/>
          </w:tcPr>
          <w:p w14:paraId="0E95A2D8" w14:textId="262B263A" w:rsidR="00687EBF" w:rsidRDefault="00DF5741" w:rsidP="000C5C83">
            <w:pPr>
              <w:jc w:val="right"/>
            </w:pPr>
            <w:r>
              <w:t>211</w:t>
            </w:r>
          </w:p>
        </w:tc>
        <w:tc>
          <w:tcPr>
            <w:tcW w:w="2046" w:type="dxa"/>
            <w:shd w:val="clear" w:color="auto" w:fill="D4E2E0" w:themeFill="accent5"/>
          </w:tcPr>
          <w:p w14:paraId="1D94F610" w14:textId="60664294" w:rsidR="00687EBF" w:rsidRDefault="00DF5741" w:rsidP="000C5C83">
            <w:pPr>
              <w:jc w:val="right"/>
            </w:pPr>
            <w:r>
              <w:t>230</w:t>
            </w:r>
          </w:p>
        </w:tc>
      </w:tr>
      <w:tr w:rsidR="00687EBF" w14:paraId="1BEC4449" w14:textId="77777777" w:rsidTr="00DF5741">
        <w:tc>
          <w:tcPr>
            <w:tcW w:w="5070" w:type="dxa"/>
          </w:tcPr>
          <w:p w14:paraId="6CA34F1E" w14:textId="77777777" w:rsidR="00687EBF" w:rsidRDefault="00687EBF" w:rsidP="000C5C83"/>
        </w:tc>
        <w:tc>
          <w:tcPr>
            <w:tcW w:w="2126" w:type="dxa"/>
            <w:tcBorders>
              <w:bottom w:val="single" w:sz="4" w:space="0" w:color="auto"/>
            </w:tcBorders>
            <w:shd w:val="clear" w:color="auto" w:fill="F5EDC1" w:themeFill="accent4"/>
          </w:tcPr>
          <w:p w14:paraId="501F32B3" w14:textId="4E151ADB" w:rsidR="00687EBF" w:rsidRPr="00DF5741" w:rsidRDefault="00DF5741" w:rsidP="000C5C83">
            <w:pPr>
              <w:jc w:val="right"/>
              <w:rPr>
                <w:b/>
              </w:rPr>
            </w:pPr>
            <w:r w:rsidRPr="00DF5741">
              <w:rPr>
                <w:b/>
              </w:rPr>
              <w:t>211</w:t>
            </w:r>
          </w:p>
        </w:tc>
        <w:tc>
          <w:tcPr>
            <w:tcW w:w="2046" w:type="dxa"/>
            <w:tcBorders>
              <w:bottom w:val="single" w:sz="4" w:space="0" w:color="auto"/>
            </w:tcBorders>
            <w:shd w:val="clear" w:color="auto" w:fill="D4E2E0" w:themeFill="accent5"/>
          </w:tcPr>
          <w:p w14:paraId="57E8E028" w14:textId="1AB41D66" w:rsidR="00687EBF" w:rsidRPr="00DF5741" w:rsidRDefault="00DF5741" w:rsidP="000C5C83">
            <w:pPr>
              <w:jc w:val="right"/>
              <w:rPr>
                <w:b/>
              </w:rPr>
            </w:pPr>
            <w:r w:rsidRPr="00DF5741">
              <w:rPr>
                <w:b/>
              </w:rPr>
              <w:t>230</w:t>
            </w:r>
          </w:p>
        </w:tc>
      </w:tr>
    </w:tbl>
    <w:p w14:paraId="5204719F" w14:textId="77777777" w:rsidR="00687EBF" w:rsidRDefault="00687EBF" w:rsidP="00F576B8"/>
    <w:p w14:paraId="01FACCFA" w14:textId="71F7C3BB" w:rsidR="00687EBF" w:rsidRDefault="00937E0B" w:rsidP="00937E0B">
      <w:pPr>
        <w:pStyle w:val="Heading2nonumber"/>
        <w:numPr>
          <w:ilvl w:val="0"/>
          <w:numId w:val="15"/>
        </w:numPr>
      </w:pPr>
      <w:bookmarkStart w:id="697" w:name="_Toc430091375"/>
      <w:r>
        <w:t>Cash and cash equivalents</w:t>
      </w:r>
      <w:bookmarkEnd w:id="6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2081"/>
        <w:gridCol w:w="2004"/>
      </w:tblGrid>
      <w:tr w:rsidR="00687EBF" w14:paraId="1C75B895" w14:textId="77777777" w:rsidTr="000C5C83">
        <w:tc>
          <w:tcPr>
            <w:tcW w:w="5070" w:type="dxa"/>
          </w:tcPr>
          <w:p w14:paraId="1A0F5C1B" w14:textId="491CC229" w:rsidR="00687EBF" w:rsidRDefault="00937E0B" w:rsidP="000C5C83">
            <w:r>
              <w:t>Bank accounts</w:t>
            </w:r>
          </w:p>
        </w:tc>
        <w:tc>
          <w:tcPr>
            <w:tcW w:w="2126" w:type="dxa"/>
            <w:shd w:val="clear" w:color="auto" w:fill="F5EDC1" w:themeFill="accent4"/>
          </w:tcPr>
          <w:p w14:paraId="5A4D450F" w14:textId="6F518804" w:rsidR="00687EBF" w:rsidRDefault="00937E0B" w:rsidP="000C5C83">
            <w:pPr>
              <w:jc w:val="right"/>
            </w:pPr>
            <w:r>
              <w:t>2,684</w:t>
            </w:r>
          </w:p>
        </w:tc>
        <w:tc>
          <w:tcPr>
            <w:tcW w:w="2046" w:type="dxa"/>
            <w:shd w:val="clear" w:color="auto" w:fill="D4E2E0" w:themeFill="accent5"/>
          </w:tcPr>
          <w:p w14:paraId="615F34B4" w14:textId="25DBFB97" w:rsidR="00687EBF" w:rsidRDefault="00937E0B" w:rsidP="000C5C83">
            <w:pPr>
              <w:jc w:val="right"/>
            </w:pPr>
            <w:r>
              <w:t>1,522</w:t>
            </w:r>
          </w:p>
        </w:tc>
      </w:tr>
      <w:tr w:rsidR="00687EBF" w14:paraId="3D59A761" w14:textId="77777777" w:rsidTr="000C5C83">
        <w:tc>
          <w:tcPr>
            <w:tcW w:w="5070" w:type="dxa"/>
          </w:tcPr>
          <w:p w14:paraId="6B36E1C6" w14:textId="034F862F" w:rsidR="00687EBF" w:rsidRDefault="00937E0B" w:rsidP="000C5C83">
            <w:r>
              <w:t>Cash on hand</w:t>
            </w:r>
          </w:p>
        </w:tc>
        <w:tc>
          <w:tcPr>
            <w:tcW w:w="2126" w:type="dxa"/>
            <w:shd w:val="clear" w:color="auto" w:fill="F5EDC1" w:themeFill="accent4"/>
          </w:tcPr>
          <w:p w14:paraId="33806B3B" w14:textId="1CDB60A4" w:rsidR="00687EBF" w:rsidRDefault="00937E0B" w:rsidP="000C5C83">
            <w:pPr>
              <w:jc w:val="right"/>
            </w:pPr>
            <w:r>
              <w:t>1</w:t>
            </w:r>
          </w:p>
        </w:tc>
        <w:tc>
          <w:tcPr>
            <w:tcW w:w="2046" w:type="dxa"/>
            <w:shd w:val="clear" w:color="auto" w:fill="D4E2E0" w:themeFill="accent5"/>
          </w:tcPr>
          <w:p w14:paraId="609E8B7A" w14:textId="27172376" w:rsidR="00687EBF" w:rsidRDefault="00937E0B" w:rsidP="000C5C83">
            <w:pPr>
              <w:jc w:val="right"/>
            </w:pPr>
            <w:r>
              <w:t>1</w:t>
            </w:r>
          </w:p>
        </w:tc>
      </w:tr>
      <w:tr w:rsidR="00937E0B" w14:paraId="7FD5B6A9" w14:textId="77777777" w:rsidTr="00937E0B">
        <w:tc>
          <w:tcPr>
            <w:tcW w:w="5070" w:type="dxa"/>
          </w:tcPr>
          <w:p w14:paraId="4A0D9FAA" w14:textId="44CD6D67" w:rsidR="00937E0B" w:rsidRDefault="00937E0B" w:rsidP="000C5C83">
            <w:r>
              <w:t>Term deposits</w:t>
            </w:r>
            <w:r w:rsidRPr="00937E0B">
              <w:rPr>
                <w:vertAlign w:val="superscript"/>
              </w:rPr>
              <w:t>(a)</w:t>
            </w:r>
          </w:p>
        </w:tc>
        <w:tc>
          <w:tcPr>
            <w:tcW w:w="2126" w:type="dxa"/>
            <w:shd w:val="clear" w:color="auto" w:fill="F5EDC1" w:themeFill="accent4"/>
          </w:tcPr>
          <w:p w14:paraId="07B31FBE" w14:textId="17EAD393" w:rsidR="00937E0B" w:rsidRDefault="00937E0B" w:rsidP="000C5C83">
            <w:pPr>
              <w:jc w:val="right"/>
            </w:pPr>
            <w:r>
              <w:t>7,019</w:t>
            </w:r>
          </w:p>
        </w:tc>
        <w:tc>
          <w:tcPr>
            <w:tcW w:w="2046" w:type="dxa"/>
            <w:shd w:val="clear" w:color="auto" w:fill="D4E2E0" w:themeFill="accent5"/>
          </w:tcPr>
          <w:p w14:paraId="7DD56D79" w14:textId="26C36900" w:rsidR="00937E0B" w:rsidRDefault="00937E0B" w:rsidP="000C5C83">
            <w:pPr>
              <w:jc w:val="right"/>
            </w:pPr>
            <w:r>
              <w:t>7,394</w:t>
            </w:r>
          </w:p>
        </w:tc>
      </w:tr>
      <w:tr w:rsidR="00937E0B" w14:paraId="277CCF8F" w14:textId="77777777" w:rsidTr="00937E0B">
        <w:tc>
          <w:tcPr>
            <w:tcW w:w="5070" w:type="dxa"/>
          </w:tcPr>
          <w:p w14:paraId="1C88AA72" w14:textId="77777777" w:rsidR="00937E0B" w:rsidRDefault="00937E0B" w:rsidP="000C5C83"/>
        </w:tc>
        <w:tc>
          <w:tcPr>
            <w:tcW w:w="2126" w:type="dxa"/>
            <w:tcBorders>
              <w:bottom w:val="single" w:sz="4" w:space="0" w:color="auto"/>
            </w:tcBorders>
            <w:shd w:val="clear" w:color="auto" w:fill="F5EDC1" w:themeFill="accent4"/>
          </w:tcPr>
          <w:p w14:paraId="41FFA26B" w14:textId="7A3371B8" w:rsidR="00937E0B" w:rsidRPr="00937E0B" w:rsidRDefault="00937E0B" w:rsidP="000C5C83">
            <w:pPr>
              <w:jc w:val="right"/>
              <w:rPr>
                <w:b/>
              </w:rPr>
            </w:pPr>
            <w:r w:rsidRPr="00937E0B">
              <w:rPr>
                <w:b/>
              </w:rPr>
              <w:t>9,704</w:t>
            </w:r>
          </w:p>
        </w:tc>
        <w:tc>
          <w:tcPr>
            <w:tcW w:w="2046" w:type="dxa"/>
            <w:tcBorders>
              <w:bottom w:val="single" w:sz="4" w:space="0" w:color="auto"/>
            </w:tcBorders>
            <w:shd w:val="clear" w:color="auto" w:fill="D4E2E0" w:themeFill="accent5"/>
          </w:tcPr>
          <w:p w14:paraId="0706B5E5" w14:textId="229E98B5" w:rsidR="00937E0B" w:rsidRPr="00937E0B" w:rsidRDefault="00937E0B" w:rsidP="000C5C83">
            <w:pPr>
              <w:jc w:val="right"/>
              <w:rPr>
                <w:b/>
              </w:rPr>
            </w:pPr>
            <w:r w:rsidRPr="00937E0B">
              <w:rPr>
                <w:b/>
              </w:rPr>
              <w:t>8,917</w:t>
            </w:r>
          </w:p>
        </w:tc>
      </w:tr>
    </w:tbl>
    <w:p w14:paraId="575093E4" w14:textId="08835441" w:rsidR="00DA1E18" w:rsidRDefault="0042135E" w:rsidP="00F576B8">
      <w:r>
        <w:br/>
        <w:t>(a) Term deposits are held in order to fund payments as they become due and payable. The term deposits range from 30 days to 3 months.</w:t>
      </w:r>
    </w:p>
    <w:p w14:paraId="11ABD7D2" w14:textId="51A8047F" w:rsidR="000C5C83" w:rsidRDefault="00DA1E18" w:rsidP="007C507F">
      <w:pPr>
        <w:keepLines w:val="0"/>
        <w:spacing w:after="0" w:line="240" w:lineRule="auto"/>
      </w:pPr>
      <w:r>
        <w:br w:type="page"/>
      </w:r>
    </w:p>
    <w:p w14:paraId="2EE3602C" w14:textId="1654023A" w:rsidR="000C5C83" w:rsidRDefault="000C5C83" w:rsidP="000C5C83">
      <w:pPr>
        <w:pStyle w:val="Heading2nonumber"/>
        <w:numPr>
          <w:ilvl w:val="0"/>
          <w:numId w:val="15"/>
        </w:numPr>
      </w:pPr>
      <w:bookmarkStart w:id="698" w:name="_Toc430091376"/>
      <w:r>
        <w:lastRenderedPageBreak/>
        <w:t>Restricted cash and cash equivalents</w:t>
      </w:r>
      <w:bookmarkEnd w:id="6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2078"/>
        <w:gridCol w:w="2002"/>
      </w:tblGrid>
      <w:tr w:rsidR="00687EBF" w14:paraId="38D2CBF6" w14:textId="77777777" w:rsidTr="000C5C83">
        <w:tc>
          <w:tcPr>
            <w:tcW w:w="5070" w:type="dxa"/>
          </w:tcPr>
          <w:p w14:paraId="615E6A3B" w14:textId="77777777" w:rsidR="00687EBF" w:rsidRDefault="00687EBF" w:rsidP="000C5C83"/>
        </w:tc>
        <w:tc>
          <w:tcPr>
            <w:tcW w:w="2126" w:type="dxa"/>
          </w:tcPr>
          <w:p w14:paraId="7E1E33DE" w14:textId="77777777" w:rsidR="00687EBF" w:rsidRDefault="00687EBF" w:rsidP="000C5C83">
            <w:pPr>
              <w:jc w:val="right"/>
            </w:pPr>
            <w:r>
              <w:t>2015</w:t>
            </w:r>
          </w:p>
        </w:tc>
        <w:tc>
          <w:tcPr>
            <w:tcW w:w="2046" w:type="dxa"/>
          </w:tcPr>
          <w:p w14:paraId="67B8D511" w14:textId="77777777" w:rsidR="00687EBF" w:rsidRDefault="00687EBF" w:rsidP="000C5C83">
            <w:pPr>
              <w:jc w:val="right"/>
            </w:pPr>
            <w:r>
              <w:t>2014</w:t>
            </w:r>
          </w:p>
        </w:tc>
      </w:tr>
      <w:tr w:rsidR="00687EBF" w14:paraId="4A72EB51" w14:textId="77777777" w:rsidTr="000C5C83">
        <w:tc>
          <w:tcPr>
            <w:tcW w:w="5070" w:type="dxa"/>
          </w:tcPr>
          <w:p w14:paraId="09E76D98" w14:textId="77777777" w:rsidR="00687EBF" w:rsidRDefault="00687EBF" w:rsidP="000C5C83"/>
        </w:tc>
        <w:tc>
          <w:tcPr>
            <w:tcW w:w="2126" w:type="dxa"/>
          </w:tcPr>
          <w:p w14:paraId="0E640FCD" w14:textId="77777777" w:rsidR="00687EBF" w:rsidRDefault="00687EBF" w:rsidP="000C5C83">
            <w:pPr>
              <w:jc w:val="right"/>
            </w:pPr>
            <w:r>
              <w:t>$000</w:t>
            </w:r>
          </w:p>
        </w:tc>
        <w:tc>
          <w:tcPr>
            <w:tcW w:w="2046" w:type="dxa"/>
          </w:tcPr>
          <w:p w14:paraId="2FBEEC10" w14:textId="77777777" w:rsidR="00687EBF" w:rsidRDefault="00687EBF" w:rsidP="000C5C83">
            <w:pPr>
              <w:jc w:val="right"/>
            </w:pPr>
            <w:r>
              <w:t>$000</w:t>
            </w:r>
          </w:p>
        </w:tc>
      </w:tr>
      <w:tr w:rsidR="000C5C83" w14:paraId="25974DBC" w14:textId="77777777" w:rsidTr="000C5C83">
        <w:tc>
          <w:tcPr>
            <w:tcW w:w="5070" w:type="dxa"/>
          </w:tcPr>
          <w:p w14:paraId="2ACDE8CE" w14:textId="51971826" w:rsidR="000C5C83" w:rsidRDefault="000C5C83" w:rsidP="000C5C83">
            <w:r w:rsidRPr="000C5C83">
              <w:rPr>
                <w:b/>
              </w:rPr>
              <w:t>Current</w:t>
            </w:r>
            <w:r>
              <w:br/>
            </w:r>
            <w:r w:rsidRPr="000C5C83">
              <w:rPr>
                <w:i/>
              </w:rPr>
              <w:t>Employers’ Indemnity Supplementation Fund (see note 30)</w:t>
            </w:r>
          </w:p>
        </w:tc>
        <w:tc>
          <w:tcPr>
            <w:tcW w:w="2126" w:type="dxa"/>
          </w:tcPr>
          <w:p w14:paraId="3868F86F" w14:textId="77777777" w:rsidR="000C5C83" w:rsidRDefault="000C5C83" w:rsidP="000C5C83">
            <w:pPr>
              <w:jc w:val="right"/>
            </w:pPr>
          </w:p>
        </w:tc>
        <w:tc>
          <w:tcPr>
            <w:tcW w:w="2046" w:type="dxa"/>
          </w:tcPr>
          <w:p w14:paraId="2E0F8CBF" w14:textId="77777777" w:rsidR="000C5C83" w:rsidRDefault="000C5C83" w:rsidP="000C5C83">
            <w:pPr>
              <w:jc w:val="right"/>
            </w:pPr>
          </w:p>
        </w:tc>
      </w:tr>
      <w:tr w:rsidR="00687EBF" w14:paraId="76DC8C98" w14:textId="77777777" w:rsidTr="000C5C83">
        <w:tc>
          <w:tcPr>
            <w:tcW w:w="5070" w:type="dxa"/>
          </w:tcPr>
          <w:p w14:paraId="35BA6389" w14:textId="37E34B56" w:rsidR="00687EBF" w:rsidRDefault="000C5C83" w:rsidP="000C5C83">
            <w:r>
              <w:t>Cash balance at Treasury</w:t>
            </w:r>
          </w:p>
        </w:tc>
        <w:tc>
          <w:tcPr>
            <w:tcW w:w="2126" w:type="dxa"/>
            <w:shd w:val="clear" w:color="auto" w:fill="F5EDC1" w:themeFill="accent4"/>
          </w:tcPr>
          <w:p w14:paraId="4A8941D4" w14:textId="25CDEEBF" w:rsidR="00687EBF" w:rsidRDefault="000C5C83" w:rsidP="000C5C83">
            <w:pPr>
              <w:jc w:val="right"/>
            </w:pPr>
            <w:r>
              <w:t>82,660</w:t>
            </w:r>
          </w:p>
        </w:tc>
        <w:tc>
          <w:tcPr>
            <w:tcW w:w="2046" w:type="dxa"/>
            <w:shd w:val="clear" w:color="auto" w:fill="D4E2E0" w:themeFill="accent5"/>
          </w:tcPr>
          <w:p w14:paraId="0EAF51AA" w14:textId="5113C4FC" w:rsidR="00804249" w:rsidRDefault="000C5C83" w:rsidP="00804249">
            <w:pPr>
              <w:jc w:val="right"/>
            </w:pPr>
            <w:r>
              <w:t>72,594</w:t>
            </w:r>
          </w:p>
        </w:tc>
      </w:tr>
      <w:tr w:rsidR="00804249" w14:paraId="622876C8" w14:textId="77777777" w:rsidTr="00804249">
        <w:tc>
          <w:tcPr>
            <w:tcW w:w="5070" w:type="dxa"/>
            <w:shd w:val="clear" w:color="auto" w:fill="FFFFFF" w:themeFill="background1"/>
          </w:tcPr>
          <w:p w14:paraId="5FE9EEE7" w14:textId="77777777" w:rsidR="00804249" w:rsidRDefault="00804249" w:rsidP="000C5C83">
            <w:pPr>
              <w:rPr>
                <w:i/>
              </w:rPr>
            </w:pPr>
            <w:r>
              <w:rPr>
                <w:i/>
              </w:rPr>
              <w:t>Commonwealth Funding – Indian Ocean Territories (Christmas &amp; Cocos-Keeling Islands)</w:t>
            </w:r>
          </w:p>
          <w:p w14:paraId="71C82A20" w14:textId="724F0991" w:rsidR="00804249" w:rsidRPr="00804249" w:rsidRDefault="00804249" w:rsidP="000C5C83">
            <w:pPr>
              <w:rPr>
                <w:i/>
              </w:rPr>
            </w:pPr>
            <w:r w:rsidRPr="00804249">
              <w:t>The Commonwealth</w:t>
            </w:r>
            <w:r>
              <w:rPr>
                <w:w w:val="90"/>
              </w:rPr>
              <w:t xml:space="preserve"> </w:t>
            </w:r>
            <w:r w:rsidRPr="00804249">
              <w:t>Government provides funding in accordance with the Service Delivery Arrangement. Under the arrangement the Authority provides a range of workers' compensation related services.</w:t>
            </w:r>
          </w:p>
        </w:tc>
        <w:tc>
          <w:tcPr>
            <w:tcW w:w="2126" w:type="dxa"/>
            <w:shd w:val="clear" w:color="auto" w:fill="FFFFFF" w:themeFill="background1"/>
          </w:tcPr>
          <w:p w14:paraId="27051300" w14:textId="77777777" w:rsidR="00804249" w:rsidRDefault="00804249" w:rsidP="000C5C83">
            <w:pPr>
              <w:jc w:val="right"/>
            </w:pPr>
          </w:p>
        </w:tc>
        <w:tc>
          <w:tcPr>
            <w:tcW w:w="2046" w:type="dxa"/>
            <w:shd w:val="clear" w:color="auto" w:fill="FFFFFF" w:themeFill="background1"/>
          </w:tcPr>
          <w:p w14:paraId="08B6A6C5" w14:textId="77777777" w:rsidR="00804249" w:rsidRDefault="00804249" w:rsidP="00804249">
            <w:pPr>
              <w:jc w:val="right"/>
            </w:pPr>
          </w:p>
        </w:tc>
      </w:tr>
      <w:tr w:rsidR="00804249" w14:paraId="2D14373B" w14:textId="77777777" w:rsidTr="00804249">
        <w:tc>
          <w:tcPr>
            <w:tcW w:w="5070" w:type="dxa"/>
            <w:shd w:val="clear" w:color="auto" w:fill="FFFFFF" w:themeFill="background1"/>
          </w:tcPr>
          <w:p w14:paraId="664C886F" w14:textId="5D2EF7DC" w:rsidR="00804249" w:rsidRPr="00804249" w:rsidRDefault="00804249" w:rsidP="000C5C83">
            <w:r>
              <w:t>Unspent funds for Indian Ocean Territories</w:t>
            </w:r>
          </w:p>
        </w:tc>
        <w:tc>
          <w:tcPr>
            <w:tcW w:w="2126" w:type="dxa"/>
            <w:shd w:val="clear" w:color="auto" w:fill="F5EDC1" w:themeFill="accent4"/>
          </w:tcPr>
          <w:p w14:paraId="211B06DB" w14:textId="30818A54" w:rsidR="00804249" w:rsidRDefault="00804249" w:rsidP="000C5C83">
            <w:pPr>
              <w:jc w:val="right"/>
            </w:pPr>
            <w:r>
              <w:t>15</w:t>
            </w:r>
          </w:p>
        </w:tc>
        <w:tc>
          <w:tcPr>
            <w:tcW w:w="2046" w:type="dxa"/>
            <w:shd w:val="clear" w:color="auto" w:fill="D4E2E0" w:themeFill="accent5"/>
          </w:tcPr>
          <w:p w14:paraId="24E2D50E" w14:textId="74A4743B" w:rsidR="00804249" w:rsidRDefault="00804249" w:rsidP="00804249">
            <w:pPr>
              <w:jc w:val="right"/>
            </w:pPr>
            <w:r>
              <w:t>1</w:t>
            </w:r>
          </w:p>
        </w:tc>
      </w:tr>
      <w:tr w:rsidR="00804249" w14:paraId="167CB8C9" w14:textId="77777777" w:rsidTr="00804249">
        <w:tc>
          <w:tcPr>
            <w:tcW w:w="5070" w:type="dxa"/>
            <w:shd w:val="clear" w:color="auto" w:fill="FFFFFF" w:themeFill="background1"/>
          </w:tcPr>
          <w:p w14:paraId="29E035A8" w14:textId="176A9EE0" w:rsidR="00804249" w:rsidRPr="003F453F" w:rsidRDefault="003F453F" w:rsidP="000C5C83">
            <w:pPr>
              <w:rPr>
                <w:i/>
              </w:rPr>
            </w:pPr>
            <w:r w:rsidRPr="003F453F">
              <w:rPr>
                <w:i/>
              </w:rPr>
              <w:t>Commonwealth Funding – Paid Parental Leave Scheme</w:t>
            </w:r>
          </w:p>
        </w:tc>
        <w:tc>
          <w:tcPr>
            <w:tcW w:w="2126" w:type="dxa"/>
            <w:shd w:val="clear" w:color="auto" w:fill="FFFFFF" w:themeFill="background1"/>
          </w:tcPr>
          <w:p w14:paraId="197736DD" w14:textId="77777777" w:rsidR="00804249" w:rsidRDefault="00804249" w:rsidP="000C5C83">
            <w:pPr>
              <w:jc w:val="right"/>
            </w:pPr>
          </w:p>
        </w:tc>
        <w:tc>
          <w:tcPr>
            <w:tcW w:w="2046" w:type="dxa"/>
            <w:shd w:val="clear" w:color="auto" w:fill="FFFFFF" w:themeFill="background1"/>
          </w:tcPr>
          <w:p w14:paraId="0D80850B" w14:textId="77777777" w:rsidR="00804249" w:rsidRDefault="00804249" w:rsidP="00804249">
            <w:pPr>
              <w:jc w:val="right"/>
            </w:pPr>
          </w:p>
        </w:tc>
      </w:tr>
      <w:tr w:rsidR="00804249" w14:paraId="48FA6484" w14:textId="77777777" w:rsidTr="003F453F">
        <w:tc>
          <w:tcPr>
            <w:tcW w:w="5070" w:type="dxa"/>
            <w:shd w:val="clear" w:color="auto" w:fill="FFFFFF" w:themeFill="background1"/>
          </w:tcPr>
          <w:p w14:paraId="7A52D9F5" w14:textId="705DC67F" w:rsidR="00804249" w:rsidRDefault="003F453F" w:rsidP="000C5C83">
            <w:r>
              <w:t>Cash held</w:t>
            </w:r>
          </w:p>
        </w:tc>
        <w:tc>
          <w:tcPr>
            <w:tcW w:w="2126" w:type="dxa"/>
            <w:shd w:val="clear" w:color="auto" w:fill="F5EDC1" w:themeFill="accent4"/>
          </w:tcPr>
          <w:p w14:paraId="57808E27" w14:textId="5894EF25" w:rsidR="00804249" w:rsidRDefault="003F453F" w:rsidP="000C5C83">
            <w:pPr>
              <w:jc w:val="right"/>
            </w:pPr>
            <w:r>
              <w:t>3</w:t>
            </w:r>
          </w:p>
        </w:tc>
        <w:tc>
          <w:tcPr>
            <w:tcW w:w="2046" w:type="dxa"/>
            <w:shd w:val="clear" w:color="auto" w:fill="D4E2E0" w:themeFill="accent5"/>
          </w:tcPr>
          <w:p w14:paraId="79DA5BA3" w14:textId="64A745C4" w:rsidR="00804249" w:rsidRDefault="003F453F" w:rsidP="00804249">
            <w:pPr>
              <w:jc w:val="right"/>
            </w:pPr>
            <w:r>
              <w:t>12</w:t>
            </w:r>
          </w:p>
        </w:tc>
      </w:tr>
      <w:tr w:rsidR="003F453F" w14:paraId="2247C067" w14:textId="77777777" w:rsidTr="003F453F">
        <w:tc>
          <w:tcPr>
            <w:tcW w:w="5070" w:type="dxa"/>
            <w:shd w:val="clear" w:color="auto" w:fill="FFFFFF" w:themeFill="background1"/>
          </w:tcPr>
          <w:p w14:paraId="2A95B649" w14:textId="77777777" w:rsidR="003F453F" w:rsidRDefault="003F453F" w:rsidP="000C5C83"/>
        </w:tc>
        <w:tc>
          <w:tcPr>
            <w:tcW w:w="2126" w:type="dxa"/>
            <w:tcBorders>
              <w:bottom w:val="single" w:sz="4" w:space="0" w:color="auto"/>
            </w:tcBorders>
            <w:shd w:val="clear" w:color="auto" w:fill="F5EDC1" w:themeFill="accent4"/>
          </w:tcPr>
          <w:p w14:paraId="4C7EE1FD" w14:textId="35AD042A" w:rsidR="003F453F" w:rsidRPr="003F453F" w:rsidRDefault="003F453F" w:rsidP="000C5C83">
            <w:pPr>
              <w:jc w:val="right"/>
              <w:rPr>
                <w:b/>
              </w:rPr>
            </w:pPr>
            <w:r w:rsidRPr="003F453F">
              <w:rPr>
                <w:b/>
              </w:rPr>
              <w:t>82,678</w:t>
            </w:r>
          </w:p>
        </w:tc>
        <w:tc>
          <w:tcPr>
            <w:tcW w:w="2046" w:type="dxa"/>
            <w:tcBorders>
              <w:bottom w:val="single" w:sz="4" w:space="0" w:color="auto"/>
            </w:tcBorders>
            <w:shd w:val="clear" w:color="auto" w:fill="D4E2E0" w:themeFill="accent5"/>
          </w:tcPr>
          <w:p w14:paraId="3AB08E16" w14:textId="49858371" w:rsidR="003F453F" w:rsidRPr="003F453F" w:rsidRDefault="003F453F" w:rsidP="00804249">
            <w:pPr>
              <w:jc w:val="right"/>
              <w:rPr>
                <w:b/>
              </w:rPr>
            </w:pPr>
            <w:r w:rsidRPr="003F453F">
              <w:rPr>
                <w:b/>
              </w:rPr>
              <w:t>72,607</w:t>
            </w:r>
          </w:p>
        </w:tc>
      </w:tr>
    </w:tbl>
    <w:p w14:paraId="789AAFFD" w14:textId="64610670" w:rsidR="00B17E69" w:rsidRDefault="00B17E69" w:rsidP="00F576B8">
      <w:pPr>
        <w:rPr>
          <w:i/>
        </w:rPr>
      </w:pPr>
    </w:p>
    <w:p w14:paraId="31D21AF5" w14:textId="49751B38" w:rsidR="00687EBF" w:rsidRDefault="00B17E69" w:rsidP="00B17E69">
      <w:pPr>
        <w:keepLines w:val="0"/>
        <w:spacing w:after="0" w:line="240" w:lineRule="auto"/>
        <w:rPr>
          <w:i/>
        </w:rPr>
      </w:pPr>
      <w:r>
        <w:rPr>
          <w:i/>
        </w:rPr>
        <w:br w:type="page"/>
      </w:r>
    </w:p>
    <w:p w14:paraId="2AE50F1D" w14:textId="64850F25" w:rsidR="00804249" w:rsidRPr="00032EDA" w:rsidRDefault="001456C7" w:rsidP="00F576B8">
      <w:pPr>
        <w:pStyle w:val="Heading2nonumber"/>
        <w:numPr>
          <w:ilvl w:val="0"/>
          <w:numId w:val="15"/>
        </w:numPr>
      </w:pPr>
      <w:bookmarkStart w:id="699" w:name="_Toc430091377"/>
      <w:r>
        <w:lastRenderedPageBreak/>
        <w:t>Receivables</w:t>
      </w:r>
      <w:bookmarkEnd w:id="6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2075"/>
        <w:gridCol w:w="1999"/>
      </w:tblGrid>
      <w:tr w:rsidR="00804249" w14:paraId="151E528A" w14:textId="77777777" w:rsidTr="000B4E3E">
        <w:tc>
          <w:tcPr>
            <w:tcW w:w="5070" w:type="dxa"/>
          </w:tcPr>
          <w:p w14:paraId="24E9E7AF" w14:textId="77777777" w:rsidR="00804249" w:rsidRDefault="00804249" w:rsidP="000B4E3E"/>
        </w:tc>
        <w:tc>
          <w:tcPr>
            <w:tcW w:w="2126" w:type="dxa"/>
          </w:tcPr>
          <w:p w14:paraId="3C69DD38" w14:textId="77777777" w:rsidR="00804249" w:rsidRDefault="00804249" w:rsidP="000B4E3E">
            <w:pPr>
              <w:jc w:val="right"/>
            </w:pPr>
            <w:r>
              <w:t>2015</w:t>
            </w:r>
          </w:p>
        </w:tc>
        <w:tc>
          <w:tcPr>
            <w:tcW w:w="2046" w:type="dxa"/>
          </w:tcPr>
          <w:p w14:paraId="44589379" w14:textId="77777777" w:rsidR="00804249" w:rsidRDefault="00804249" w:rsidP="000B4E3E">
            <w:pPr>
              <w:jc w:val="right"/>
            </w:pPr>
            <w:r>
              <w:t>2014</w:t>
            </w:r>
          </w:p>
        </w:tc>
      </w:tr>
      <w:tr w:rsidR="00804249" w14:paraId="590C7C2C" w14:textId="77777777" w:rsidTr="000B4E3E">
        <w:tc>
          <w:tcPr>
            <w:tcW w:w="5070" w:type="dxa"/>
          </w:tcPr>
          <w:p w14:paraId="475139D8" w14:textId="77777777" w:rsidR="00804249" w:rsidRDefault="00804249" w:rsidP="000B4E3E"/>
        </w:tc>
        <w:tc>
          <w:tcPr>
            <w:tcW w:w="2126" w:type="dxa"/>
          </w:tcPr>
          <w:p w14:paraId="1224F8C6" w14:textId="77777777" w:rsidR="00804249" w:rsidRDefault="00804249" w:rsidP="000B4E3E">
            <w:pPr>
              <w:jc w:val="right"/>
            </w:pPr>
            <w:r>
              <w:t>$000</w:t>
            </w:r>
          </w:p>
        </w:tc>
        <w:tc>
          <w:tcPr>
            <w:tcW w:w="2046" w:type="dxa"/>
          </w:tcPr>
          <w:p w14:paraId="2F688D96" w14:textId="77777777" w:rsidR="00804249" w:rsidRDefault="00804249" w:rsidP="000B4E3E">
            <w:pPr>
              <w:jc w:val="right"/>
            </w:pPr>
            <w:r>
              <w:t>$000</w:t>
            </w:r>
          </w:p>
        </w:tc>
      </w:tr>
      <w:tr w:rsidR="00B17E69" w14:paraId="6B3FD995" w14:textId="77777777" w:rsidTr="000B4E3E">
        <w:tc>
          <w:tcPr>
            <w:tcW w:w="5070" w:type="dxa"/>
          </w:tcPr>
          <w:p w14:paraId="33ED39CD" w14:textId="0B8B0E49" w:rsidR="00B17E69" w:rsidRDefault="00B17E69" w:rsidP="000B4E3E">
            <w:r w:rsidRPr="00B17E69">
              <w:rPr>
                <w:b/>
              </w:rPr>
              <w:t>Current</w:t>
            </w:r>
            <w:r>
              <w:br/>
            </w:r>
            <w:r w:rsidRPr="00B17E69">
              <w:rPr>
                <w:i/>
              </w:rPr>
              <w:t>General Account</w:t>
            </w:r>
          </w:p>
        </w:tc>
        <w:tc>
          <w:tcPr>
            <w:tcW w:w="2126" w:type="dxa"/>
          </w:tcPr>
          <w:p w14:paraId="2ECF34E1" w14:textId="77777777" w:rsidR="00B17E69" w:rsidRDefault="00B17E69" w:rsidP="000B4E3E">
            <w:pPr>
              <w:jc w:val="right"/>
            </w:pPr>
          </w:p>
        </w:tc>
        <w:tc>
          <w:tcPr>
            <w:tcW w:w="2046" w:type="dxa"/>
          </w:tcPr>
          <w:p w14:paraId="5E2C798C" w14:textId="77777777" w:rsidR="00B17E69" w:rsidRDefault="00B17E69" w:rsidP="000B4E3E">
            <w:pPr>
              <w:jc w:val="right"/>
            </w:pPr>
          </w:p>
        </w:tc>
      </w:tr>
      <w:tr w:rsidR="00804249" w14:paraId="3FB03CAB" w14:textId="77777777" w:rsidTr="000B4E3E">
        <w:tc>
          <w:tcPr>
            <w:tcW w:w="5070" w:type="dxa"/>
          </w:tcPr>
          <w:p w14:paraId="4F04852A" w14:textId="70AFC23C" w:rsidR="00804249" w:rsidRDefault="00B17E69" w:rsidP="000B4E3E">
            <w:r>
              <w:t>Receivables</w:t>
            </w:r>
          </w:p>
        </w:tc>
        <w:tc>
          <w:tcPr>
            <w:tcW w:w="2126" w:type="dxa"/>
            <w:shd w:val="clear" w:color="auto" w:fill="F5EDC1" w:themeFill="accent4"/>
          </w:tcPr>
          <w:p w14:paraId="7B758CA6" w14:textId="21BB6F16" w:rsidR="00804249" w:rsidRDefault="00B17E69" w:rsidP="000B4E3E">
            <w:pPr>
              <w:jc w:val="right"/>
            </w:pPr>
            <w:r>
              <w:t>48</w:t>
            </w:r>
          </w:p>
        </w:tc>
        <w:tc>
          <w:tcPr>
            <w:tcW w:w="2046" w:type="dxa"/>
            <w:shd w:val="clear" w:color="auto" w:fill="D4E2E0" w:themeFill="accent5"/>
          </w:tcPr>
          <w:p w14:paraId="67A1A7D3" w14:textId="2EA15910" w:rsidR="00804249" w:rsidRDefault="00B17E69" w:rsidP="000B4E3E">
            <w:pPr>
              <w:jc w:val="right"/>
            </w:pPr>
            <w:r>
              <w:t>231</w:t>
            </w:r>
          </w:p>
        </w:tc>
      </w:tr>
      <w:tr w:rsidR="00804249" w14:paraId="2F43A68D" w14:textId="77777777" w:rsidTr="000B4E3E">
        <w:tc>
          <w:tcPr>
            <w:tcW w:w="5070" w:type="dxa"/>
          </w:tcPr>
          <w:p w14:paraId="67143EFD" w14:textId="7EE28BE2" w:rsidR="00804249" w:rsidRDefault="00B17E69" w:rsidP="000B4E3E">
            <w:r>
              <w:t>Fines and penalties</w:t>
            </w:r>
          </w:p>
        </w:tc>
        <w:tc>
          <w:tcPr>
            <w:tcW w:w="2126" w:type="dxa"/>
            <w:shd w:val="clear" w:color="auto" w:fill="F5EDC1" w:themeFill="accent4"/>
          </w:tcPr>
          <w:p w14:paraId="0EC16C12" w14:textId="14EE91CE" w:rsidR="00804249" w:rsidRDefault="00B17E69" w:rsidP="000B4E3E">
            <w:pPr>
              <w:jc w:val="right"/>
            </w:pPr>
            <w:r>
              <w:t>536</w:t>
            </w:r>
          </w:p>
        </w:tc>
        <w:tc>
          <w:tcPr>
            <w:tcW w:w="2046" w:type="dxa"/>
            <w:shd w:val="clear" w:color="auto" w:fill="D4E2E0" w:themeFill="accent5"/>
          </w:tcPr>
          <w:p w14:paraId="2D5BA131" w14:textId="1F5C3CB1" w:rsidR="00804249" w:rsidRDefault="00B17E69" w:rsidP="000B4E3E">
            <w:pPr>
              <w:jc w:val="right"/>
            </w:pPr>
            <w:r>
              <w:t>548</w:t>
            </w:r>
          </w:p>
        </w:tc>
      </w:tr>
      <w:tr w:rsidR="00B17E69" w14:paraId="18E681AA" w14:textId="77777777" w:rsidTr="000B4E3E">
        <w:tc>
          <w:tcPr>
            <w:tcW w:w="5070" w:type="dxa"/>
          </w:tcPr>
          <w:p w14:paraId="021FBD19" w14:textId="5E09231C" w:rsidR="00B17E69" w:rsidRDefault="00B17E69" w:rsidP="000B4E3E">
            <w:r>
              <w:t>Allowance for impairment of receivables</w:t>
            </w:r>
          </w:p>
        </w:tc>
        <w:tc>
          <w:tcPr>
            <w:tcW w:w="2126" w:type="dxa"/>
            <w:shd w:val="clear" w:color="auto" w:fill="F5EDC1" w:themeFill="accent4"/>
          </w:tcPr>
          <w:p w14:paraId="16A62C58" w14:textId="1F94C689" w:rsidR="00B17E69" w:rsidRDefault="00B17E69" w:rsidP="000B4E3E">
            <w:pPr>
              <w:jc w:val="right"/>
            </w:pPr>
            <w:r>
              <w:t>(212)</w:t>
            </w:r>
          </w:p>
        </w:tc>
        <w:tc>
          <w:tcPr>
            <w:tcW w:w="2046" w:type="dxa"/>
            <w:shd w:val="clear" w:color="auto" w:fill="D4E2E0" w:themeFill="accent5"/>
          </w:tcPr>
          <w:p w14:paraId="7FFFF1A7" w14:textId="299135AF" w:rsidR="00B17E69" w:rsidRDefault="00B17E69" w:rsidP="000B4E3E">
            <w:pPr>
              <w:jc w:val="right"/>
            </w:pPr>
            <w:r>
              <w:t>(185)</w:t>
            </w:r>
          </w:p>
        </w:tc>
      </w:tr>
      <w:tr w:rsidR="00B17E69" w14:paraId="713D21E2" w14:textId="77777777" w:rsidTr="000B4E3E">
        <w:tc>
          <w:tcPr>
            <w:tcW w:w="5070" w:type="dxa"/>
          </w:tcPr>
          <w:p w14:paraId="731AFB62" w14:textId="5149BF5B" w:rsidR="00B17E69" w:rsidRDefault="00B17E69" w:rsidP="000B4E3E">
            <w:r>
              <w:t>Accrued interest</w:t>
            </w:r>
          </w:p>
        </w:tc>
        <w:tc>
          <w:tcPr>
            <w:tcW w:w="2126" w:type="dxa"/>
            <w:shd w:val="clear" w:color="auto" w:fill="F5EDC1" w:themeFill="accent4"/>
          </w:tcPr>
          <w:p w14:paraId="6D2ACACC" w14:textId="153EE140" w:rsidR="00B17E69" w:rsidRDefault="00B17E69" w:rsidP="000B4E3E">
            <w:pPr>
              <w:jc w:val="right"/>
            </w:pPr>
            <w:r>
              <w:t>122</w:t>
            </w:r>
          </w:p>
        </w:tc>
        <w:tc>
          <w:tcPr>
            <w:tcW w:w="2046" w:type="dxa"/>
            <w:shd w:val="clear" w:color="auto" w:fill="D4E2E0" w:themeFill="accent5"/>
          </w:tcPr>
          <w:p w14:paraId="1DB2D90A" w14:textId="285409E7" w:rsidR="00B17E69" w:rsidRDefault="00B17E69" w:rsidP="000B4E3E">
            <w:pPr>
              <w:jc w:val="right"/>
            </w:pPr>
            <w:r>
              <w:t>87</w:t>
            </w:r>
          </w:p>
        </w:tc>
      </w:tr>
      <w:tr w:rsidR="00B17E69" w14:paraId="424A1CA3" w14:textId="77777777" w:rsidTr="00414EA8">
        <w:tc>
          <w:tcPr>
            <w:tcW w:w="5070" w:type="dxa"/>
          </w:tcPr>
          <w:p w14:paraId="6082D953" w14:textId="30396FE8" w:rsidR="00B17E69" w:rsidRDefault="00B17E69" w:rsidP="000B4E3E">
            <w:r>
              <w:t>GST receivable</w:t>
            </w:r>
          </w:p>
        </w:tc>
        <w:tc>
          <w:tcPr>
            <w:tcW w:w="2126" w:type="dxa"/>
            <w:shd w:val="clear" w:color="auto" w:fill="F5EDC1" w:themeFill="accent4"/>
          </w:tcPr>
          <w:p w14:paraId="16D8285C" w14:textId="2686F731" w:rsidR="00B17E69" w:rsidRDefault="00B17E69" w:rsidP="000B4E3E">
            <w:pPr>
              <w:jc w:val="right"/>
            </w:pPr>
            <w:r>
              <w:t>44</w:t>
            </w:r>
          </w:p>
        </w:tc>
        <w:tc>
          <w:tcPr>
            <w:tcW w:w="2046" w:type="dxa"/>
            <w:shd w:val="clear" w:color="auto" w:fill="D4E2E0" w:themeFill="accent5"/>
          </w:tcPr>
          <w:p w14:paraId="7D9117C7" w14:textId="22C5D976" w:rsidR="00B17E69" w:rsidRDefault="00B17E69" w:rsidP="000B4E3E">
            <w:pPr>
              <w:jc w:val="right"/>
            </w:pPr>
            <w:r>
              <w:t>16</w:t>
            </w:r>
          </w:p>
        </w:tc>
      </w:tr>
      <w:tr w:rsidR="00B17E69" w14:paraId="5B4A5B57" w14:textId="77777777" w:rsidTr="00414EA8">
        <w:tc>
          <w:tcPr>
            <w:tcW w:w="5070" w:type="dxa"/>
          </w:tcPr>
          <w:p w14:paraId="1969389E" w14:textId="77777777" w:rsidR="00B17E69" w:rsidRDefault="00B17E69" w:rsidP="000B4E3E"/>
        </w:tc>
        <w:tc>
          <w:tcPr>
            <w:tcW w:w="2126" w:type="dxa"/>
            <w:tcBorders>
              <w:bottom w:val="single" w:sz="4" w:space="0" w:color="auto"/>
            </w:tcBorders>
            <w:shd w:val="clear" w:color="auto" w:fill="F5EDC1" w:themeFill="accent4"/>
          </w:tcPr>
          <w:p w14:paraId="74ADB5CD" w14:textId="4E9F0DF1" w:rsidR="00B17E69" w:rsidRPr="00B17E69" w:rsidRDefault="00B17E69" w:rsidP="000B4E3E">
            <w:pPr>
              <w:jc w:val="right"/>
              <w:rPr>
                <w:b/>
              </w:rPr>
            </w:pPr>
            <w:r w:rsidRPr="00B17E69">
              <w:rPr>
                <w:b/>
              </w:rPr>
              <w:t>538</w:t>
            </w:r>
          </w:p>
        </w:tc>
        <w:tc>
          <w:tcPr>
            <w:tcW w:w="2046" w:type="dxa"/>
            <w:tcBorders>
              <w:bottom w:val="single" w:sz="4" w:space="0" w:color="auto"/>
            </w:tcBorders>
            <w:shd w:val="clear" w:color="auto" w:fill="D4E2E0" w:themeFill="accent5"/>
          </w:tcPr>
          <w:p w14:paraId="47246BDA" w14:textId="523929C8" w:rsidR="00B17E69" w:rsidRPr="00B17E69" w:rsidRDefault="00B17E69" w:rsidP="00B17E69">
            <w:pPr>
              <w:jc w:val="right"/>
              <w:rPr>
                <w:b/>
              </w:rPr>
            </w:pPr>
            <w:r w:rsidRPr="00B17E69">
              <w:rPr>
                <w:b/>
              </w:rPr>
              <w:t>697</w:t>
            </w:r>
          </w:p>
        </w:tc>
      </w:tr>
      <w:tr w:rsidR="00B17E69" w14:paraId="4F42D6D9" w14:textId="77777777" w:rsidTr="00414EA8">
        <w:tc>
          <w:tcPr>
            <w:tcW w:w="5070" w:type="dxa"/>
            <w:shd w:val="clear" w:color="auto" w:fill="auto"/>
          </w:tcPr>
          <w:p w14:paraId="20D12E7B" w14:textId="1041789B" w:rsidR="00B17E69" w:rsidRPr="00B17E69" w:rsidRDefault="00B17E69" w:rsidP="000B4E3E">
            <w:pPr>
              <w:rPr>
                <w:i/>
              </w:rPr>
            </w:pPr>
            <w:r w:rsidRPr="00B17E69">
              <w:rPr>
                <w:i/>
              </w:rPr>
              <w:t>Employers’ Indemnity Supplementation Fund (see note 30)</w:t>
            </w:r>
          </w:p>
        </w:tc>
        <w:tc>
          <w:tcPr>
            <w:tcW w:w="2126" w:type="dxa"/>
            <w:tcBorders>
              <w:top w:val="single" w:sz="4" w:space="0" w:color="auto"/>
            </w:tcBorders>
            <w:shd w:val="clear" w:color="auto" w:fill="auto"/>
          </w:tcPr>
          <w:p w14:paraId="13F0DD1C" w14:textId="77777777" w:rsidR="00B17E69" w:rsidRDefault="00B17E69" w:rsidP="000B4E3E">
            <w:pPr>
              <w:jc w:val="right"/>
            </w:pPr>
          </w:p>
        </w:tc>
        <w:tc>
          <w:tcPr>
            <w:tcW w:w="2046" w:type="dxa"/>
            <w:tcBorders>
              <w:top w:val="single" w:sz="4" w:space="0" w:color="auto"/>
            </w:tcBorders>
            <w:shd w:val="clear" w:color="auto" w:fill="auto"/>
          </w:tcPr>
          <w:p w14:paraId="1A5F2609" w14:textId="77777777" w:rsidR="00B17E69" w:rsidRDefault="00B17E69" w:rsidP="000B4E3E">
            <w:pPr>
              <w:jc w:val="right"/>
            </w:pPr>
          </w:p>
        </w:tc>
      </w:tr>
      <w:tr w:rsidR="00B17E69" w14:paraId="6DA2495A" w14:textId="77777777" w:rsidTr="000B4E3E">
        <w:tc>
          <w:tcPr>
            <w:tcW w:w="5070" w:type="dxa"/>
          </w:tcPr>
          <w:p w14:paraId="4EF124B1" w14:textId="3ABC9F1C" w:rsidR="00B17E69" w:rsidRDefault="00B17E69" w:rsidP="000B4E3E">
            <w:r>
              <w:t>Accrued interest</w:t>
            </w:r>
          </w:p>
        </w:tc>
        <w:tc>
          <w:tcPr>
            <w:tcW w:w="2126" w:type="dxa"/>
            <w:shd w:val="clear" w:color="auto" w:fill="F5EDC1" w:themeFill="accent4"/>
          </w:tcPr>
          <w:p w14:paraId="14198CDF" w14:textId="7130D5FA" w:rsidR="00B17E69" w:rsidRDefault="00B17E69" w:rsidP="000B4E3E">
            <w:pPr>
              <w:jc w:val="right"/>
            </w:pPr>
            <w:r>
              <w:t>505</w:t>
            </w:r>
          </w:p>
        </w:tc>
        <w:tc>
          <w:tcPr>
            <w:tcW w:w="2046" w:type="dxa"/>
            <w:shd w:val="clear" w:color="auto" w:fill="D4E2E0" w:themeFill="accent5"/>
          </w:tcPr>
          <w:p w14:paraId="333E0714" w14:textId="798DCBBB" w:rsidR="00B17E69" w:rsidRDefault="00B17E69" w:rsidP="000B4E3E">
            <w:pPr>
              <w:jc w:val="right"/>
            </w:pPr>
            <w:r>
              <w:t>502</w:t>
            </w:r>
          </w:p>
        </w:tc>
      </w:tr>
      <w:tr w:rsidR="00B17E69" w14:paraId="3EACFB92" w14:textId="77777777" w:rsidTr="000B4E3E">
        <w:tc>
          <w:tcPr>
            <w:tcW w:w="5070" w:type="dxa"/>
          </w:tcPr>
          <w:p w14:paraId="3554D72D" w14:textId="0D3BE66F" w:rsidR="00B17E69" w:rsidRDefault="00B17E69" w:rsidP="000B4E3E">
            <w:r>
              <w:t>GST receivable</w:t>
            </w:r>
          </w:p>
        </w:tc>
        <w:tc>
          <w:tcPr>
            <w:tcW w:w="2126" w:type="dxa"/>
            <w:shd w:val="clear" w:color="auto" w:fill="F5EDC1" w:themeFill="accent4"/>
          </w:tcPr>
          <w:p w14:paraId="12CFA57A" w14:textId="4E03F45C" w:rsidR="00B17E69" w:rsidRDefault="00B17E69" w:rsidP="000B4E3E">
            <w:pPr>
              <w:jc w:val="right"/>
            </w:pPr>
            <w:r>
              <w:t>38</w:t>
            </w:r>
          </w:p>
        </w:tc>
        <w:tc>
          <w:tcPr>
            <w:tcW w:w="2046" w:type="dxa"/>
            <w:shd w:val="clear" w:color="auto" w:fill="D4E2E0" w:themeFill="accent5"/>
          </w:tcPr>
          <w:p w14:paraId="430C01C7" w14:textId="08C24491" w:rsidR="00B17E69" w:rsidRDefault="00B17E69" w:rsidP="000B4E3E">
            <w:pPr>
              <w:jc w:val="right"/>
            </w:pPr>
            <w:r>
              <w:t>34</w:t>
            </w:r>
          </w:p>
        </w:tc>
      </w:tr>
      <w:tr w:rsidR="00B17E69" w14:paraId="542961AB" w14:textId="77777777" w:rsidTr="00B17E69">
        <w:tc>
          <w:tcPr>
            <w:tcW w:w="5070" w:type="dxa"/>
          </w:tcPr>
          <w:p w14:paraId="54DE281D" w14:textId="77777777" w:rsidR="00B17E69" w:rsidRDefault="00B17E69" w:rsidP="000B4E3E"/>
        </w:tc>
        <w:tc>
          <w:tcPr>
            <w:tcW w:w="2126" w:type="dxa"/>
            <w:tcBorders>
              <w:bottom w:val="single" w:sz="4" w:space="0" w:color="auto"/>
            </w:tcBorders>
            <w:shd w:val="clear" w:color="auto" w:fill="F5EDC1" w:themeFill="accent4"/>
          </w:tcPr>
          <w:p w14:paraId="69B5B966" w14:textId="5294CCD7" w:rsidR="00B17E69" w:rsidRDefault="00B17E69" w:rsidP="000B4E3E">
            <w:pPr>
              <w:jc w:val="right"/>
            </w:pPr>
            <w:r>
              <w:t>543</w:t>
            </w:r>
          </w:p>
        </w:tc>
        <w:tc>
          <w:tcPr>
            <w:tcW w:w="2046" w:type="dxa"/>
            <w:tcBorders>
              <w:bottom w:val="single" w:sz="4" w:space="0" w:color="auto"/>
            </w:tcBorders>
            <w:shd w:val="clear" w:color="auto" w:fill="D4E2E0" w:themeFill="accent5"/>
          </w:tcPr>
          <w:p w14:paraId="7B96683A" w14:textId="31832747" w:rsidR="00B17E69" w:rsidRDefault="00B17E69" w:rsidP="000B4E3E">
            <w:pPr>
              <w:jc w:val="right"/>
            </w:pPr>
            <w:r>
              <w:t>536</w:t>
            </w:r>
          </w:p>
        </w:tc>
      </w:tr>
      <w:tr w:rsidR="00B17E69" w14:paraId="077061FA" w14:textId="77777777" w:rsidTr="00B17E69">
        <w:tc>
          <w:tcPr>
            <w:tcW w:w="5070" w:type="dxa"/>
          </w:tcPr>
          <w:p w14:paraId="6D3E4F6D" w14:textId="7D6B5F80" w:rsidR="00B17E69" w:rsidRDefault="00B17E69" w:rsidP="000B4E3E">
            <w:r>
              <w:t>Total current</w:t>
            </w:r>
          </w:p>
        </w:tc>
        <w:tc>
          <w:tcPr>
            <w:tcW w:w="2126" w:type="dxa"/>
            <w:tcBorders>
              <w:top w:val="single" w:sz="4" w:space="0" w:color="auto"/>
              <w:bottom w:val="single" w:sz="4" w:space="0" w:color="auto"/>
            </w:tcBorders>
            <w:shd w:val="clear" w:color="auto" w:fill="F5EDC1" w:themeFill="accent4"/>
          </w:tcPr>
          <w:p w14:paraId="0A79F360" w14:textId="1B3BADBC" w:rsidR="00B17E69" w:rsidRPr="00B17E69" w:rsidRDefault="00B17E69" w:rsidP="000B4E3E">
            <w:pPr>
              <w:jc w:val="right"/>
              <w:rPr>
                <w:b/>
              </w:rPr>
            </w:pPr>
            <w:r w:rsidRPr="00B17E69">
              <w:rPr>
                <w:b/>
              </w:rPr>
              <w:t>1,081</w:t>
            </w:r>
          </w:p>
        </w:tc>
        <w:tc>
          <w:tcPr>
            <w:tcW w:w="2046" w:type="dxa"/>
            <w:tcBorders>
              <w:top w:val="single" w:sz="4" w:space="0" w:color="auto"/>
              <w:bottom w:val="single" w:sz="4" w:space="0" w:color="auto"/>
            </w:tcBorders>
            <w:shd w:val="clear" w:color="auto" w:fill="D4E2E0" w:themeFill="accent5"/>
          </w:tcPr>
          <w:p w14:paraId="037A5736" w14:textId="5B84BEEA" w:rsidR="00B17E69" w:rsidRPr="00B17E69" w:rsidRDefault="00B17E69" w:rsidP="000B4E3E">
            <w:pPr>
              <w:jc w:val="right"/>
              <w:rPr>
                <w:b/>
              </w:rPr>
            </w:pPr>
            <w:r w:rsidRPr="00B17E69">
              <w:rPr>
                <w:b/>
              </w:rPr>
              <w:t>1,233</w:t>
            </w:r>
          </w:p>
        </w:tc>
      </w:tr>
      <w:tr w:rsidR="00B17E69" w14:paraId="63243D3B" w14:textId="77777777" w:rsidTr="00B17E69">
        <w:tc>
          <w:tcPr>
            <w:tcW w:w="5070" w:type="dxa"/>
          </w:tcPr>
          <w:p w14:paraId="694BCE9A" w14:textId="69D79E2D" w:rsidR="00B17E69" w:rsidRPr="00B17E69" w:rsidRDefault="00B17E69" w:rsidP="000B4E3E">
            <w:pPr>
              <w:rPr>
                <w:i/>
              </w:rPr>
            </w:pPr>
            <w:r w:rsidRPr="00B17E69">
              <w:rPr>
                <w:b/>
              </w:rPr>
              <w:t>Non-current</w:t>
            </w:r>
            <w:r>
              <w:rPr>
                <w:b/>
              </w:rPr>
              <w:br/>
            </w:r>
            <w:r>
              <w:rPr>
                <w:i/>
              </w:rPr>
              <w:t>General Account</w:t>
            </w:r>
          </w:p>
        </w:tc>
        <w:tc>
          <w:tcPr>
            <w:tcW w:w="2126" w:type="dxa"/>
            <w:tcBorders>
              <w:top w:val="single" w:sz="4" w:space="0" w:color="auto"/>
            </w:tcBorders>
            <w:shd w:val="clear" w:color="auto" w:fill="auto"/>
          </w:tcPr>
          <w:p w14:paraId="1C41DAB7" w14:textId="77777777" w:rsidR="00B17E69" w:rsidRPr="00B17E69" w:rsidRDefault="00B17E69" w:rsidP="000B4E3E">
            <w:pPr>
              <w:jc w:val="right"/>
              <w:rPr>
                <w:b/>
              </w:rPr>
            </w:pPr>
          </w:p>
        </w:tc>
        <w:tc>
          <w:tcPr>
            <w:tcW w:w="2046" w:type="dxa"/>
            <w:tcBorders>
              <w:top w:val="single" w:sz="4" w:space="0" w:color="auto"/>
            </w:tcBorders>
            <w:shd w:val="clear" w:color="auto" w:fill="auto"/>
          </w:tcPr>
          <w:p w14:paraId="2570601F" w14:textId="77777777" w:rsidR="00B17E69" w:rsidRPr="00B17E69" w:rsidRDefault="00B17E69" w:rsidP="000B4E3E">
            <w:pPr>
              <w:jc w:val="right"/>
              <w:rPr>
                <w:b/>
              </w:rPr>
            </w:pPr>
          </w:p>
        </w:tc>
      </w:tr>
      <w:tr w:rsidR="00B17E69" w14:paraId="4C1A401E" w14:textId="77777777" w:rsidTr="00B17E69">
        <w:tc>
          <w:tcPr>
            <w:tcW w:w="5070" w:type="dxa"/>
          </w:tcPr>
          <w:p w14:paraId="5F8D3486" w14:textId="0FDC0E4D" w:rsidR="00B17E69" w:rsidRDefault="00B17E69" w:rsidP="000B4E3E">
            <w:r>
              <w:t>Receivables</w:t>
            </w:r>
          </w:p>
        </w:tc>
        <w:tc>
          <w:tcPr>
            <w:tcW w:w="2126" w:type="dxa"/>
            <w:shd w:val="clear" w:color="auto" w:fill="F5EDC1" w:themeFill="accent4"/>
          </w:tcPr>
          <w:p w14:paraId="4724DD9C" w14:textId="081D4D4F" w:rsidR="00B17E69" w:rsidRPr="00B17E69" w:rsidRDefault="00B17E69" w:rsidP="000B4E3E">
            <w:pPr>
              <w:jc w:val="right"/>
            </w:pPr>
            <w:r w:rsidRPr="00B17E69">
              <w:t>418</w:t>
            </w:r>
          </w:p>
        </w:tc>
        <w:tc>
          <w:tcPr>
            <w:tcW w:w="2046" w:type="dxa"/>
            <w:shd w:val="clear" w:color="auto" w:fill="D4E2E0" w:themeFill="accent5"/>
          </w:tcPr>
          <w:p w14:paraId="6C5676D8" w14:textId="672B7F0D" w:rsidR="00B17E69" w:rsidRPr="00B17E69" w:rsidRDefault="00B17E69" w:rsidP="000B4E3E">
            <w:pPr>
              <w:jc w:val="right"/>
            </w:pPr>
            <w:r>
              <w:t>418</w:t>
            </w:r>
          </w:p>
        </w:tc>
      </w:tr>
      <w:tr w:rsidR="00B17E69" w14:paraId="691EAC53" w14:textId="77777777" w:rsidTr="00B17E69">
        <w:tc>
          <w:tcPr>
            <w:tcW w:w="5070" w:type="dxa"/>
          </w:tcPr>
          <w:p w14:paraId="24333C25" w14:textId="39B62B80" w:rsidR="00B17E69" w:rsidRDefault="00B17E69" w:rsidP="000B4E3E">
            <w:r>
              <w:t xml:space="preserve">Allowance for impairment of receivables </w:t>
            </w:r>
          </w:p>
        </w:tc>
        <w:tc>
          <w:tcPr>
            <w:tcW w:w="2126" w:type="dxa"/>
            <w:shd w:val="clear" w:color="auto" w:fill="F5EDC1" w:themeFill="accent4"/>
          </w:tcPr>
          <w:p w14:paraId="5C9711CF" w14:textId="1CAFAFF5" w:rsidR="00B17E69" w:rsidRPr="00B17E69" w:rsidRDefault="00B17E69" w:rsidP="000B4E3E">
            <w:pPr>
              <w:jc w:val="right"/>
            </w:pPr>
            <w:r>
              <w:t>(418)</w:t>
            </w:r>
          </w:p>
        </w:tc>
        <w:tc>
          <w:tcPr>
            <w:tcW w:w="2046" w:type="dxa"/>
            <w:shd w:val="clear" w:color="auto" w:fill="D4E2E0" w:themeFill="accent5"/>
          </w:tcPr>
          <w:p w14:paraId="2A931F26" w14:textId="1AFE1768" w:rsidR="00B17E69" w:rsidRDefault="00B17E69" w:rsidP="000B4E3E">
            <w:pPr>
              <w:jc w:val="right"/>
            </w:pPr>
            <w:r>
              <w:t>(418)</w:t>
            </w:r>
          </w:p>
        </w:tc>
      </w:tr>
      <w:tr w:rsidR="00B17E69" w14:paraId="43F50EC8" w14:textId="77777777" w:rsidTr="00B17E69">
        <w:tc>
          <w:tcPr>
            <w:tcW w:w="5070" w:type="dxa"/>
          </w:tcPr>
          <w:p w14:paraId="44EFD2CA" w14:textId="2B44DD08" w:rsidR="00B17E69" w:rsidRPr="00B17E69" w:rsidRDefault="00B17E69" w:rsidP="000B4E3E">
            <w:pPr>
              <w:rPr>
                <w:b/>
              </w:rPr>
            </w:pPr>
            <w:r w:rsidRPr="00B17E69">
              <w:rPr>
                <w:b/>
              </w:rPr>
              <w:t>Total non-current</w:t>
            </w:r>
          </w:p>
        </w:tc>
        <w:tc>
          <w:tcPr>
            <w:tcW w:w="2126" w:type="dxa"/>
            <w:tcBorders>
              <w:bottom w:val="single" w:sz="4" w:space="0" w:color="auto"/>
            </w:tcBorders>
            <w:shd w:val="clear" w:color="auto" w:fill="F5EDC1" w:themeFill="accent4"/>
          </w:tcPr>
          <w:p w14:paraId="3F766194" w14:textId="0BE05599" w:rsidR="00B17E69" w:rsidRDefault="00B17E69" w:rsidP="000B4E3E">
            <w:pPr>
              <w:jc w:val="right"/>
            </w:pPr>
            <w:r>
              <w:t>-</w:t>
            </w:r>
          </w:p>
        </w:tc>
        <w:tc>
          <w:tcPr>
            <w:tcW w:w="2046" w:type="dxa"/>
            <w:tcBorders>
              <w:bottom w:val="single" w:sz="4" w:space="0" w:color="auto"/>
            </w:tcBorders>
            <w:shd w:val="clear" w:color="auto" w:fill="D4E2E0" w:themeFill="accent5"/>
          </w:tcPr>
          <w:p w14:paraId="3B8A4E92" w14:textId="38409251" w:rsidR="00B17E69" w:rsidRDefault="00B17E69" w:rsidP="000B4E3E">
            <w:pPr>
              <w:jc w:val="right"/>
            </w:pPr>
            <w:r>
              <w:t>-</w:t>
            </w:r>
          </w:p>
        </w:tc>
      </w:tr>
      <w:tr w:rsidR="00B17E69" w14:paraId="71735E26" w14:textId="77777777" w:rsidTr="00B17E69">
        <w:tc>
          <w:tcPr>
            <w:tcW w:w="5070" w:type="dxa"/>
          </w:tcPr>
          <w:p w14:paraId="51091517" w14:textId="71EFD95A" w:rsidR="00B17E69" w:rsidRPr="00B17E69" w:rsidRDefault="00B17E69" w:rsidP="000B4E3E">
            <w:pPr>
              <w:rPr>
                <w:b/>
              </w:rPr>
            </w:pPr>
            <w:r w:rsidRPr="00B17E69">
              <w:rPr>
                <w:b/>
              </w:rPr>
              <w:t>Total receivables</w:t>
            </w:r>
          </w:p>
        </w:tc>
        <w:tc>
          <w:tcPr>
            <w:tcW w:w="2126" w:type="dxa"/>
            <w:tcBorders>
              <w:top w:val="single" w:sz="4" w:space="0" w:color="auto"/>
              <w:bottom w:val="single" w:sz="4" w:space="0" w:color="auto"/>
            </w:tcBorders>
            <w:shd w:val="clear" w:color="auto" w:fill="F5EDC1" w:themeFill="accent4"/>
          </w:tcPr>
          <w:p w14:paraId="647AF775" w14:textId="19725426" w:rsidR="00B17E69" w:rsidRPr="00B17E69" w:rsidRDefault="00B17E69" w:rsidP="000B4E3E">
            <w:pPr>
              <w:jc w:val="right"/>
              <w:rPr>
                <w:b/>
              </w:rPr>
            </w:pPr>
            <w:r w:rsidRPr="00B17E69">
              <w:rPr>
                <w:b/>
              </w:rPr>
              <w:t>1,081</w:t>
            </w:r>
          </w:p>
        </w:tc>
        <w:tc>
          <w:tcPr>
            <w:tcW w:w="2046" w:type="dxa"/>
            <w:tcBorders>
              <w:top w:val="single" w:sz="4" w:space="0" w:color="auto"/>
              <w:bottom w:val="single" w:sz="4" w:space="0" w:color="auto"/>
            </w:tcBorders>
            <w:shd w:val="clear" w:color="auto" w:fill="D4E2E0" w:themeFill="accent5"/>
          </w:tcPr>
          <w:p w14:paraId="5C74371E" w14:textId="5212F26C" w:rsidR="00B17E69" w:rsidRPr="00B17E69" w:rsidRDefault="00B17E69" w:rsidP="000B4E3E">
            <w:pPr>
              <w:jc w:val="right"/>
              <w:rPr>
                <w:b/>
              </w:rPr>
            </w:pPr>
            <w:r w:rsidRPr="00B17E69">
              <w:rPr>
                <w:b/>
              </w:rPr>
              <w:t>1,233</w:t>
            </w:r>
          </w:p>
        </w:tc>
      </w:tr>
    </w:tbl>
    <w:p w14:paraId="26EECAF4" w14:textId="77777777" w:rsidR="00B17E69" w:rsidRDefault="00B17E69" w:rsidP="00F576B8"/>
    <w:p w14:paraId="5FA2DD26" w14:textId="77777777" w:rsidR="00032EDA" w:rsidRDefault="00032EDA" w:rsidP="00F576B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2077"/>
        <w:gridCol w:w="2000"/>
      </w:tblGrid>
      <w:tr w:rsidR="00B17E69" w14:paraId="49BBB234" w14:textId="77777777" w:rsidTr="000B4E3E">
        <w:tc>
          <w:tcPr>
            <w:tcW w:w="5070" w:type="dxa"/>
          </w:tcPr>
          <w:p w14:paraId="7C4A2A29" w14:textId="77777777" w:rsidR="00B17E69" w:rsidRDefault="00B17E69" w:rsidP="000B4E3E"/>
        </w:tc>
        <w:tc>
          <w:tcPr>
            <w:tcW w:w="2126" w:type="dxa"/>
          </w:tcPr>
          <w:p w14:paraId="44405F14" w14:textId="77777777" w:rsidR="00B17E69" w:rsidRDefault="00B17E69" w:rsidP="000B4E3E">
            <w:pPr>
              <w:jc w:val="right"/>
            </w:pPr>
            <w:r>
              <w:t>2015</w:t>
            </w:r>
          </w:p>
        </w:tc>
        <w:tc>
          <w:tcPr>
            <w:tcW w:w="2046" w:type="dxa"/>
          </w:tcPr>
          <w:p w14:paraId="748C6997" w14:textId="77777777" w:rsidR="00B17E69" w:rsidRDefault="00B17E69" w:rsidP="000B4E3E">
            <w:pPr>
              <w:jc w:val="right"/>
            </w:pPr>
            <w:r>
              <w:t>2014</w:t>
            </w:r>
          </w:p>
        </w:tc>
      </w:tr>
      <w:tr w:rsidR="00B17E69" w14:paraId="34321929" w14:textId="77777777" w:rsidTr="000B4E3E">
        <w:tc>
          <w:tcPr>
            <w:tcW w:w="5070" w:type="dxa"/>
          </w:tcPr>
          <w:p w14:paraId="40B04165" w14:textId="77777777" w:rsidR="00B17E69" w:rsidRDefault="00B17E69" w:rsidP="000B4E3E"/>
        </w:tc>
        <w:tc>
          <w:tcPr>
            <w:tcW w:w="2126" w:type="dxa"/>
          </w:tcPr>
          <w:p w14:paraId="44C984A0" w14:textId="77777777" w:rsidR="00B17E69" w:rsidRDefault="00B17E69" w:rsidP="000B4E3E">
            <w:pPr>
              <w:jc w:val="right"/>
            </w:pPr>
            <w:r>
              <w:t>$000</w:t>
            </w:r>
          </w:p>
        </w:tc>
        <w:tc>
          <w:tcPr>
            <w:tcW w:w="2046" w:type="dxa"/>
          </w:tcPr>
          <w:p w14:paraId="01F1CC2A" w14:textId="77777777" w:rsidR="00B17E69" w:rsidRDefault="00B17E69" w:rsidP="000B4E3E">
            <w:pPr>
              <w:jc w:val="right"/>
            </w:pPr>
            <w:r>
              <w:t>$000</w:t>
            </w:r>
          </w:p>
        </w:tc>
      </w:tr>
      <w:tr w:rsidR="00817346" w14:paraId="7E14A685" w14:textId="77777777" w:rsidTr="000B4E3E">
        <w:tc>
          <w:tcPr>
            <w:tcW w:w="5070" w:type="dxa"/>
          </w:tcPr>
          <w:p w14:paraId="60A47822" w14:textId="7945479B" w:rsidR="00817346" w:rsidRPr="00817346" w:rsidRDefault="00817346" w:rsidP="000B4E3E">
            <w:pPr>
              <w:rPr>
                <w:i/>
              </w:rPr>
            </w:pPr>
            <w:r w:rsidRPr="00817346">
              <w:rPr>
                <w:i/>
              </w:rPr>
              <w:t>Reconciliation of changes in allowance for impairment of receivables</w:t>
            </w:r>
          </w:p>
        </w:tc>
        <w:tc>
          <w:tcPr>
            <w:tcW w:w="2126" w:type="dxa"/>
          </w:tcPr>
          <w:p w14:paraId="20A19668" w14:textId="77777777" w:rsidR="00817346" w:rsidRDefault="00817346" w:rsidP="000B4E3E">
            <w:pPr>
              <w:jc w:val="right"/>
            </w:pPr>
          </w:p>
        </w:tc>
        <w:tc>
          <w:tcPr>
            <w:tcW w:w="2046" w:type="dxa"/>
          </w:tcPr>
          <w:p w14:paraId="7213D664" w14:textId="77777777" w:rsidR="00817346" w:rsidRDefault="00817346" w:rsidP="000B4E3E">
            <w:pPr>
              <w:jc w:val="right"/>
            </w:pPr>
          </w:p>
        </w:tc>
      </w:tr>
      <w:tr w:rsidR="00B17E69" w14:paraId="6EBD2354" w14:textId="77777777" w:rsidTr="000B4E3E">
        <w:tc>
          <w:tcPr>
            <w:tcW w:w="5070" w:type="dxa"/>
          </w:tcPr>
          <w:p w14:paraId="00FC12B1" w14:textId="71D8F8EC" w:rsidR="00B17E69" w:rsidRDefault="00817346" w:rsidP="000B4E3E">
            <w:r>
              <w:t>Balance at start of period</w:t>
            </w:r>
          </w:p>
        </w:tc>
        <w:tc>
          <w:tcPr>
            <w:tcW w:w="2126" w:type="dxa"/>
            <w:shd w:val="clear" w:color="auto" w:fill="F5EDC1" w:themeFill="accent4"/>
          </w:tcPr>
          <w:p w14:paraId="6165BDC8" w14:textId="2BD25A11" w:rsidR="00B17E69" w:rsidRDefault="00817346" w:rsidP="000B4E3E">
            <w:pPr>
              <w:jc w:val="right"/>
            </w:pPr>
            <w:r>
              <w:t>185</w:t>
            </w:r>
          </w:p>
        </w:tc>
        <w:tc>
          <w:tcPr>
            <w:tcW w:w="2046" w:type="dxa"/>
            <w:shd w:val="clear" w:color="auto" w:fill="D4E2E0" w:themeFill="accent5"/>
          </w:tcPr>
          <w:p w14:paraId="172E8551" w14:textId="3FD5FA0B" w:rsidR="00B17E69" w:rsidRDefault="00817346" w:rsidP="000B4E3E">
            <w:pPr>
              <w:jc w:val="right"/>
            </w:pPr>
            <w:r>
              <w:t>144</w:t>
            </w:r>
          </w:p>
        </w:tc>
      </w:tr>
      <w:tr w:rsidR="00B17E69" w14:paraId="1622EBAC" w14:textId="77777777" w:rsidTr="000B4E3E">
        <w:tc>
          <w:tcPr>
            <w:tcW w:w="5070" w:type="dxa"/>
          </w:tcPr>
          <w:p w14:paraId="6901427A" w14:textId="0EE656DC" w:rsidR="00B17E69" w:rsidRDefault="00817346" w:rsidP="000B4E3E">
            <w:r>
              <w:t>Doubtful debts expense</w:t>
            </w:r>
          </w:p>
        </w:tc>
        <w:tc>
          <w:tcPr>
            <w:tcW w:w="2126" w:type="dxa"/>
            <w:shd w:val="clear" w:color="auto" w:fill="F5EDC1" w:themeFill="accent4"/>
          </w:tcPr>
          <w:p w14:paraId="706030FD" w14:textId="359EE7C0" w:rsidR="00B17E69" w:rsidRDefault="00817346" w:rsidP="000B4E3E">
            <w:pPr>
              <w:jc w:val="right"/>
            </w:pPr>
            <w:r>
              <w:t>75</w:t>
            </w:r>
          </w:p>
        </w:tc>
        <w:tc>
          <w:tcPr>
            <w:tcW w:w="2046" w:type="dxa"/>
            <w:shd w:val="clear" w:color="auto" w:fill="D4E2E0" w:themeFill="accent5"/>
          </w:tcPr>
          <w:p w14:paraId="35443E9D" w14:textId="2C2D8293" w:rsidR="00B17E69" w:rsidRDefault="00817346" w:rsidP="000B4E3E">
            <w:pPr>
              <w:jc w:val="right"/>
            </w:pPr>
            <w:r>
              <w:t>60</w:t>
            </w:r>
          </w:p>
        </w:tc>
      </w:tr>
      <w:tr w:rsidR="00817346" w14:paraId="2263DE06" w14:textId="77777777" w:rsidTr="00817346">
        <w:tc>
          <w:tcPr>
            <w:tcW w:w="5070" w:type="dxa"/>
          </w:tcPr>
          <w:p w14:paraId="056B307F" w14:textId="6C494905" w:rsidR="00817346" w:rsidRDefault="00817346" w:rsidP="000B4E3E">
            <w:r>
              <w:t>Amounts written off during the period</w:t>
            </w:r>
          </w:p>
        </w:tc>
        <w:tc>
          <w:tcPr>
            <w:tcW w:w="2126" w:type="dxa"/>
            <w:tcBorders>
              <w:bottom w:val="single" w:sz="4" w:space="0" w:color="auto"/>
            </w:tcBorders>
            <w:shd w:val="clear" w:color="auto" w:fill="F5EDC1" w:themeFill="accent4"/>
          </w:tcPr>
          <w:p w14:paraId="7C302FCE" w14:textId="52833189" w:rsidR="00817346" w:rsidRDefault="00817346" w:rsidP="000B4E3E">
            <w:pPr>
              <w:jc w:val="right"/>
            </w:pPr>
            <w:r>
              <w:t>(48)</w:t>
            </w:r>
          </w:p>
        </w:tc>
        <w:tc>
          <w:tcPr>
            <w:tcW w:w="2046" w:type="dxa"/>
            <w:tcBorders>
              <w:bottom w:val="single" w:sz="4" w:space="0" w:color="auto"/>
            </w:tcBorders>
            <w:shd w:val="clear" w:color="auto" w:fill="D4E2E0" w:themeFill="accent5"/>
          </w:tcPr>
          <w:p w14:paraId="5FA6F077" w14:textId="0E104431" w:rsidR="00817346" w:rsidRDefault="00817346" w:rsidP="000B4E3E">
            <w:pPr>
              <w:jc w:val="right"/>
            </w:pPr>
            <w:r>
              <w:t>(19)</w:t>
            </w:r>
          </w:p>
        </w:tc>
      </w:tr>
      <w:tr w:rsidR="00817346" w14:paraId="3B48AE0F" w14:textId="77777777" w:rsidTr="00817346">
        <w:tc>
          <w:tcPr>
            <w:tcW w:w="5070" w:type="dxa"/>
          </w:tcPr>
          <w:p w14:paraId="54BD6A54" w14:textId="337E2B58" w:rsidR="00817346" w:rsidRDefault="00817346" w:rsidP="000B4E3E">
            <w:r>
              <w:t>Balance at end of period</w:t>
            </w:r>
          </w:p>
        </w:tc>
        <w:tc>
          <w:tcPr>
            <w:tcW w:w="2126" w:type="dxa"/>
            <w:tcBorders>
              <w:top w:val="single" w:sz="4" w:space="0" w:color="auto"/>
              <w:bottom w:val="single" w:sz="4" w:space="0" w:color="auto"/>
            </w:tcBorders>
            <w:shd w:val="clear" w:color="auto" w:fill="F5EDC1" w:themeFill="accent4"/>
          </w:tcPr>
          <w:p w14:paraId="01A4F07C" w14:textId="0A518C0A" w:rsidR="00817346" w:rsidRPr="00817346" w:rsidRDefault="00817346" w:rsidP="000B4E3E">
            <w:pPr>
              <w:jc w:val="right"/>
              <w:rPr>
                <w:b/>
              </w:rPr>
            </w:pPr>
            <w:r w:rsidRPr="00817346">
              <w:rPr>
                <w:b/>
              </w:rPr>
              <w:t>212</w:t>
            </w:r>
          </w:p>
        </w:tc>
        <w:tc>
          <w:tcPr>
            <w:tcW w:w="2046" w:type="dxa"/>
            <w:tcBorders>
              <w:top w:val="single" w:sz="4" w:space="0" w:color="auto"/>
              <w:bottom w:val="single" w:sz="4" w:space="0" w:color="auto"/>
            </w:tcBorders>
            <w:shd w:val="clear" w:color="auto" w:fill="D4E2E0" w:themeFill="accent5"/>
          </w:tcPr>
          <w:p w14:paraId="2FAA81F7" w14:textId="75761087" w:rsidR="00817346" w:rsidRPr="00817346" w:rsidRDefault="00817346" w:rsidP="000B4E3E">
            <w:pPr>
              <w:jc w:val="right"/>
              <w:rPr>
                <w:b/>
              </w:rPr>
            </w:pPr>
            <w:r w:rsidRPr="00817346">
              <w:rPr>
                <w:b/>
              </w:rPr>
              <w:t>185</w:t>
            </w:r>
          </w:p>
        </w:tc>
      </w:tr>
    </w:tbl>
    <w:p w14:paraId="430C0961" w14:textId="77777777" w:rsidR="00B17E69" w:rsidRDefault="00B17E69" w:rsidP="00F576B8"/>
    <w:p w14:paraId="2CC61626" w14:textId="4FD92726" w:rsidR="00B17E69" w:rsidRDefault="00090381" w:rsidP="00F576B8">
      <w:r>
        <w:t>The Authority does not hold any collateral as security or other credit enhancements relating to receivables.</w:t>
      </w:r>
    </w:p>
    <w:p w14:paraId="58BFB358" w14:textId="77777777" w:rsidR="00090381" w:rsidRDefault="00090381" w:rsidP="00F576B8"/>
    <w:p w14:paraId="464C684D" w14:textId="1B2181F1" w:rsidR="00B17E69" w:rsidRDefault="00CF688A" w:rsidP="00F576B8">
      <w:pPr>
        <w:pStyle w:val="Heading2nonumber"/>
        <w:numPr>
          <w:ilvl w:val="0"/>
          <w:numId w:val="15"/>
        </w:numPr>
      </w:pPr>
      <w:bookmarkStart w:id="700" w:name="_Toc430091378"/>
      <w:r>
        <w:t>Other financial assets</w:t>
      </w:r>
      <w:bookmarkEnd w:id="7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2085"/>
        <w:gridCol w:w="2003"/>
      </w:tblGrid>
      <w:tr w:rsidR="00B17E69" w14:paraId="191F2B44" w14:textId="77777777" w:rsidTr="000B4E3E">
        <w:tc>
          <w:tcPr>
            <w:tcW w:w="5070" w:type="dxa"/>
          </w:tcPr>
          <w:p w14:paraId="1E2826C5" w14:textId="3433BABA" w:rsidR="00B17E69" w:rsidRDefault="00CF688A" w:rsidP="000B4E3E">
            <w:r w:rsidRPr="00CF688A">
              <w:rPr>
                <w:b/>
              </w:rPr>
              <w:t>Current</w:t>
            </w:r>
            <w:r>
              <w:br/>
            </w:r>
            <w:r w:rsidRPr="00CF688A">
              <w:rPr>
                <w:i/>
              </w:rPr>
              <w:t>At Cost:</w:t>
            </w:r>
          </w:p>
        </w:tc>
        <w:tc>
          <w:tcPr>
            <w:tcW w:w="2126" w:type="dxa"/>
          </w:tcPr>
          <w:p w14:paraId="056426BE" w14:textId="6F82C1A8" w:rsidR="00B17E69" w:rsidRDefault="00B17E69" w:rsidP="000B4E3E">
            <w:pPr>
              <w:jc w:val="right"/>
            </w:pPr>
          </w:p>
        </w:tc>
        <w:tc>
          <w:tcPr>
            <w:tcW w:w="2046" w:type="dxa"/>
          </w:tcPr>
          <w:p w14:paraId="6E2EEBF6" w14:textId="064C3256" w:rsidR="00B17E69" w:rsidRDefault="00B17E69" w:rsidP="000B4E3E">
            <w:pPr>
              <w:jc w:val="right"/>
            </w:pPr>
          </w:p>
        </w:tc>
      </w:tr>
      <w:tr w:rsidR="00B17E69" w14:paraId="445129A8" w14:textId="77777777" w:rsidTr="00CF688A">
        <w:tc>
          <w:tcPr>
            <w:tcW w:w="5070" w:type="dxa"/>
          </w:tcPr>
          <w:p w14:paraId="5BCB7C95" w14:textId="3F8F2EDD" w:rsidR="00B17E69" w:rsidRDefault="00CF688A" w:rsidP="000B4E3E">
            <w:r>
              <w:t>Term deposits</w:t>
            </w:r>
            <w:r w:rsidRPr="00CF688A">
              <w:rPr>
                <w:vertAlign w:val="superscript"/>
              </w:rPr>
              <w:t>(a)</w:t>
            </w:r>
          </w:p>
        </w:tc>
        <w:tc>
          <w:tcPr>
            <w:tcW w:w="2126" w:type="dxa"/>
            <w:shd w:val="clear" w:color="auto" w:fill="F5EDC1" w:themeFill="accent4"/>
          </w:tcPr>
          <w:p w14:paraId="287758C4" w14:textId="73059E16" w:rsidR="00B17E69" w:rsidRDefault="00CF688A" w:rsidP="000B4E3E">
            <w:pPr>
              <w:jc w:val="right"/>
            </w:pPr>
            <w:r>
              <w:t>13,424</w:t>
            </w:r>
          </w:p>
        </w:tc>
        <w:tc>
          <w:tcPr>
            <w:tcW w:w="2046" w:type="dxa"/>
            <w:shd w:val="clear" w:color="auto" w:fill="D4E2E0" w:themeFill="accent5"/>
          </w:tcPr>
          <w:p w14:paraId="05951B9E" w14:textId="398EAEF9" w:rsidR="00B17E69" w:rsidRDefault="00CF688A" w:rsidP="000B4E3E">
            <w:pPr>
              <w:jc w:val="right"/>
            </w:pPr>
            <w:r>
              <w:t>9,908</w:t>
            </w:r>
          </w:p>
        </w:tc>
      </w:tr>
      <w:tr w:rsidR="00B17E69" w14:paraId="56B9B0F2" w14:textId="77777777" w:rsidTr="00CF688A">
        <w:tc>
          <w:tcPr>
            <w:tcW w:w="5070" w:type="dxa"/>
          </w:tcPr>
          <w:p w14:paraId="78B7E0C7" w14:textId="77777777" w:rsidR="00B17E69" w:rsidRDefault="00B17E69" w:rsidP="000B4E3E"/>
        </w:tc>
        <w:tc>
          <w:tcPr>
            <w:tcW w:w="2126" w:type="dxa"/>
            <w:tcBorders>
              <w:bottom w:val="single" w:sz="4" w:space="0" w:color="auto"/>
            </w:tcBorders>
            <w:shd w:val="clear" w:color="auto" w:fill="F5EDC1" w:themeFill="accent4"/>
          </w:tcPr>
          <w:p w14:paraId="41372ED3" w14:textId="31DB5F66" w:rsidR="00B17E69" w:rsidRPr="00CF688A" w:rsidRDefault="00CF688A" w:rsidP="000B4E3E">
            <w:pPr>
              <w:jc w:val="right"/>
              <w:rPr>
                <w:b/>
              </w:rPr>
            </w:pPr>
            <w:r w:rsidRPr="00CF688A">
              <w:rPr>
                <w:b/>
              </w:rPr>
              <w:t>13,424</w:t>
            </w:r>
          </w:p>
        </w:tc>
        <w:tc>
          <w:tcPr>
            <w:tcW w:w="2046" w:type="dxa"/>
            <w:tcBorders>
              <w:bottom w:val="single" w:sz="4" w:space="0" w:color="auto"/>
            </w:tcBorders>
            <w:shd w:val="clear" w:color="auto" w:fill="D4E2E0" w:themeFill="accent5"/>
          </w:tcPr>
          <w:p w14:paraId="7D0C2A24" w14:textId="47E796D5" w:rsidR="00B17E69" w:rsidRPr="00CF688A" w:rsidRDefault="00CF688A" w:rsidP="000B4E3E">
            <w:pPr>
              <w:jc w:val="right"/>
              <w:rPr>
                <w:b/>
              </w:rPr>
            </w:pPr>
            <w:r w:rsidRPr="00CF688A">
              <w:rPr>
                <w:b/>
              </w:rPr>
              <w:t>9,908</w:t>
            </w:r>
          </w:p>
        </w:tc>
      </w:tr>
    </w:tbl>
    <w:p w14:paraId="1B030DB0" w14:textId="77777777" w:rsidR="00CF688A" w:rsidRDefault="00CF688A" w:rsidP="00F576B8"/>
    <w:p w14:paraId="3FD0A288" w14:textId="7B08C88F" w:rsidR="00B17E69" w:rsidRDefault="00CF688A" w:rsidP="00F576B8">
      <w:r>
        <w:t>(a) The term deposits range from 90 days to 365 days.</w:t>
      </w:r>
    </w:p>
    <w:p w14:paraId="0183B65B" w14:textId="6B44B94F" w:rsidR="00B17E69" w:rsidRDefault="00CF688A" w:rsidP="00CF688A">
      <w:pPr>
        <w:keepLines w:val="0"/>
        <w:spacing w:after="0" w:line="240" w:lineRule="auto"/>
      </w:pPr>
      <w:r>
        <w:br w:type="page"/>
      </w:r>
    </w:p>
    <w:p w14:paraId="2B106131" w14:textId="5D01D32B" w:rsidR="00CF688A" w:rsidRDefault="00CF688A" w:rsidP="00F576B8">
      <w:pPr>
        <w:pStyle w:val="Heading2nonumber"/>
        <w:numPr>
          <w:ilvl w:val="0"/>
          <w:numId w:val="15"/>
        </w:numPr>
      </w:pPr>
      <w:bookmarkStart w:id="701" w:name="_Toc430091379"/>
      <w:r>
        <w:lastRenderedPageBreak/>
        <w:t>Property, plant, equipment and vehicles</w:t>
      </w:r>
      <w:bookmarkEnd w:id="7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2082"/>
        <w:gridCol w:w="2005"/>
      </w:tblGrid>
      <w:tr w:rsidR="00B17E69" w14:paraId="6645E882" w14:textId="77777777" w:rsidTr="000B4E3E">
        <w:tc>
          <w:tcPr>
            <w:tcW w:w="5070" w:type="dxa"/>
          </w:tcPr>
          <w:p w14:paraId="26AC0E99" w14:textId="77777777" w:rsidR="00B17E69" w:rsidRDefault="00B17E69" w:rsidP="000B4E3E"/>
        </w:tc>
        <w:tc>
          <w:tcPr>
            <w:tcW w:w="2126" w:type="dxa"/>
          </w:tcPr>
          <w:p w14:paraId="31B8D6AE" w14:textId="77777777" w:rsidR="00B17E69" w:rsidRDefault="00B17E69" w:rsidP="000B4E3E">
            <w:pPr>
              <w:jc w:val="right"/>
            </w:pPr>
            <w:r>
              <w:t>2015</w:t>
            </w:r>
          </w:p>
        </w:tc>
        <w:tc>
          <w:tcPr>
            <w:tcW w:w="2046" w:type="dxa"/>
          </w:tcPr>
          <w:p w14:paraId="1B10958C" w14:textId="77777777" w:rsidR="00B17E69" w:rsidRDefault="00B17E69" w:rsidP="000B4E3E">
            <w:pPr>
              <w:jc w:val="right"/>
            </w:pPr>
            <w:r>
              <w:t>2014</w:t>
            </w:r>
          </w:p>
        </w:tc>
      </w:tr>
      <w:tr w:rsidR="00B17E69" w14:paraId="0E98D9E5" w14:textId="77777777" w:rsidTr="000B4E3E">
        <w:tc>
          <w:tcPr>
            <w:tcW w:w="5070" w:type="dxa"/>
          </w:tcPr>
          <w:p w14:paraId="22F5BC76" w14:textId="77777777" w:rsidR="00B17E69" w:rsidRDefault="00B17E69" w:rsidP="000B4E3E"/>
        </w:tc>
        <w:tc>
          <w:tcPr>
            <w:tcW w:w="2126" w:type="dxa"/>
          </w:tcPr>
          <w:p w14:paraId="484BD0A9" w14:textId="77777777" w:rsidR="00B17E69" w:rsidRDefault="00B17E69" w:rsidP="000B4E3E">
            <w:pPr>
              <w:jc w:val="right"/>
            </w:pPr>
            <w:r>
              <w:t>$000</w:t>
            </w:r>
          </w:p>
        </w:tc>
        <w:tc>
          <w:tcPr>
            <w:tcW w:w="2046" w:type="dxa"/>
          </w:tcPr>
          <w:p w14:paraId="1F90BC69" w14:textId="77777777" w:rsidR="00B17E69" w:rsidRDefault="00B17E69" w:rsidP="000B4E3E">
            <w:pPr>
              <w:jc w:val="right"/>
            </w:pPr>
            <w:r>
              <w:t>$000</w:t>
            </w:r>
          </w:p>
        </w:tc>
      </w:tr>
      <w:tr w:rsidR="00CF688A" w14:paraId="308F97A0" w14:textId="77777777" w:rsidTr="000B4E3E">
        <w:tc>
          <w:tcPr>
            <w:tcW w:w="5070" w:type="dxa"/>
          </w:tcPr>
          <w:p w14:paraId="5CB9EA56" w14:textId="0FB8963E" w:rsidR="00CF688A" w:rsidRPr="00CF688A" w:rsidRDefault="00CF688A" w:rsidP="000B4E3E">
            <w:pPr>
              <w:rPr>
                <w:i/>
              </w:rPr>
            </w:pPr>
            <w:r w:rsidRPr="00CF688A">
              <w:rPr>
                <w:i/>
              </w:rPr>
              <w:t>Land</w:t>
            </w:r>
          </w:p>
        </w:tc>
        <w:tc>
          <w:tcPr>
            <w:tcW w:w="2126" w:type="dxa"/>
          </w:tcPr>
          <w:p w14:paraId="635FD376" w14:textId="77777777" w:rsidR="00CF688A" w:rsidRDefault="00CF688A" w:rsidP="000B4E3E">
            <w:pPr>
              <w:jc w:val="right"/>
            </w:pPr>
          </w:p>
        </w:tc>
        <w:tc>
          <w:tcPr>
            <w:tcW w:w="2046" w:type="dxa"/>
          </w:tcPr>
          <w:p w14:paraId="6E40371F" w14:textId="77777777" w:rsidR="00CF688A" w:rsidRDefault="00CF688A" w:rsidP="000B4E3E">
            <w:pPr>
              <w:jc w:val="right"/>
            </w:pPr>
          </w:p>
        </w:tc>
      </w:tr>
      <w:tr w:rsidR="00B17E69" w14:paraId="1FB65595" w14:textId="77777777" w:rsidTr="00CF688A">
        <w:tc>
          <w:tcPr>
            <w:tcW w:w="5070" w:type="dxa"/>
          </w:tcPr>
          <w:p w14:paraId="18EBE030" w14:textId="37687615" w:rsidR="00B17E69" w:rsidRDefault="00CF688A" w:rsidP="000B4E3E">
            <w:r>
              <w:t>At fair value</w:t>
            </w:r>
            <w:r w:rsidRPr="00CF688A">
              <w:rPr>
                <w:vertAlign w:val="superscript"/>
              </w:rPr>
              <w:t>(a)</w:t>
            </w:r>
          </w:p>
        </w:tc>
        <w:tc>
          <w:tcPr>
            <w:tcW w:w="2126" w:type="dxa"/>
            <w:shd w:val="clear" w:color="auto" w:fill="F5EDC1" w:themeFill="accent4"/>
          </w:tcPr>
          <w:p w14:paraId="2C045B8B" w14:textId="3D86C7E4" w:rsidR="00B17E69" w:rsidRDefault="00CF688A" w:rsidP="000B4E3E">
            <w:pPr>
              <w:jc w:val="right"/>
            </w:pPr>
            <w:r>
              <w:t>15,400</w:t>
            </w:r>
          </w:p>
        </w:tc>
        <w:tc>
          <w:tcPr>
            <w:tcW w:w="2046" w:type="dxa"/>
            <w:shd w:val="clear" w:color="auto" w:fill="D4E2E0" w:themeFill="accent5"/>
          </w:tcPr>
          <w:p w14:paraId="3E38AFA0" w14:textId="76AF3B82" w:rsidR="00B17E69" w:rsidRDefault="00CF688A" w:rsidP="000B4E3E">
            <w:pPr>
              <w:jc w:val="right"/>
            </w:pPr>
            <w:r>
              <w:t>15,700</w:t>
            </w:r>
          </w:p>
        </w:tc>
      </w:tr>
      <w:tr w:rsidR="00B17E69" w14:paraId="684891BE" w14:textId="77777777" w:rsidTr="00CF688A">
        <w:tc>
          <w:tcPr>
            <w:tcW w:w="5070" w:type="dxa"/>
          </w:tcPr>
          <w:p w14:paraId="30FE0168" w14:textId="77777777" w:rsidR="00B17E69" w:rsidRDefault="00B17E69" w:rsidP="000B4E3E"/>
        </w:tc>
        <w:tc>
          <w:tcPr>
            <w:tcW w:w="2126" w:type="dxa"/>
            <w:tcBorders>
              <w:bottom w:val="single" w:sz="4" w:space="0" w:color="auto"/>
            </w:tcBorders>
            <w:shd w:val="clear" w:color="auto" w:fill="F5EDC1" w:themeFill="accent4"/>
          </w:tcPr>
          <w:p w14:paraId="1B88C92D" w14:textId="3B8AE795" w:rsidR="00B17E69" w:rsidRPr="00CF688A" w:rsidRDefault="00CF688A" w:rsidP="000B4E3E">
            <w:pPr>
              <w:jc w:val="right"/>
              <w:rPr>
                <w:b/>
              </w:rPr>
            </w:pPr>
            <w:r w:rsidRPr="00CF688A">
              <w:rPr>
                <w:b/>
              </w:rPr>
              <w:t>15,400</w:t>
            </w:r>
          </w:p>
        </w:tc>
        <w:tc>
          <w:tcPr>
            <w:tcW w:w="2046" w:type="dxa"/>
            <w:tcBorders>
              <w:bottom w:val="single" w:sz="4" w:space="0" w:color="auto"/>
            </w:tcBorders>
            <w:shd w:val="clear" w:color="auto" w:fill="D4E2E0" w:themeFill="accent5"/>
          </w:tcPr>
          <w:p w14:paraId="699A8761" w14:textId="5AE3149F" w:rsidR="00B17E69" w:rsidRPr="00CF688A" w:rsidRDefault="00CF688A" w:rsidP="000B4E3E">
            <w:pPr>
              <w:jc w:val="right"/>
              <w:rPr>
                <w:b/>
              </w:rPr>
            </w:pPr>
            <w:r w:rsidRPr="00CF688A">
              <w:rPr>
                <w:b/>
              </w:rPr>
              <w:t>15,700</w:t>
            </w:r>
          </w:p>
        </w:tc>
      </w:tr>
      <w:tr w:rsidR="00CF688A" w14:paraId="03FEFE1B" w14:textId="77777777" w:rsidTr="00CF688A">
        <w:tc>
          <w:tcPr>
            <w:tcW w:w="5070" w:type="dxa"/>
            <w:shd w:val="clear" w:color="auto" w:fill="auto"/>
          </w:tcPr>
          <w:p w14:paraId="0D56ADC5" w14:textId="0D356348" w:rsidR="00CF688A" w:rsidRPr="00CF688A" w:rsidRDefault="00CF688A" w:rsidP="000B4E3E">
            <w:pPr>
              <w:rPr>
                <w:i/>
              </w:rPr>
            </w:pPr>
            <w:r w:rsidRPr="00CF688A">
              <w:rPr>
                <w:i/>
              </w:rPr>
              <w:t xml:space="preserve">Buildings </w:t>
            </w:r>
          </w:p>
        </w:tc>
        <w:tc>
          <w:tcPr>
            <w:tcW w:w="2126" w:type="dxa"/>
            <w:tcBorders>
              <w:top w:val="single" w:sz="4" w:space="0" w:color="auto"/>
            </w:tcBorders>
            <w:shd w:val="clear" w:color="auto" w:fill="auto"/>
          </w:tcPr>
          <w:p w14:paraId="51550A19" w14:textId="77777777" w:rsidR="00CF688A" w:rsidRDefault="00CF688A" w:rsidP="000B4E3E">
            <w:pPr>
              <w:jc w:val="right"/>
            </w:pPr>
          </w:p>
        </w:tc>
        <w:tc>
          <w:tcPr>
            <w:tcW w:w="2046" w:type="dxa"/>
            <w:tcBorders>
              <w:top w:val="single" w:sz="4" w:space="0" w:color="auto"/>
            </w:tcBorders>
            <w:shd w:val="clear" w:color="auto" w:fill="auto"/>
          </w:tcPr>
          <w:p w14:paraId="46714F60" w14:textId="77777777" w:rsidR="00CF688A" w:rsidRDefault="00CF688A" w:rsidP="000B4E3E">
            <w:pPr>
              <w:jc w:val="right"/>
            </w:pPr>
          </w:p>
        </w:tc>
      </w:tr>
      <w:tr w:rsidR="00CF688A" w14:paraId="501501BA" w14:textId="77777777" w:rsidTr="000B4E3E">
        <w:tc>
          <w:tcPr>
            <w:tcW w:w="5070" w:type="dxa"/>
          </w:tcPr>
          <w:p w14:paraId="68EA2AF2" w14:textId="542E7215" w:rsidR="00CF688A" w:rsidRDefault="00CF688A" w:rsidP="000B4E3E">
            <w:r>
              <w:t>At fair value</w:t>
            </w:r>
            <w:r w:rsidRPr="00CF688A">
              <w:rPr>
                <w:vertAlign w:val="superscript"/>
              </w:rPr>
              <w:t>(a)</w:t>
            </w:r>
          </w:p>
        </w:tc>
        <w:tc>
          <w:tcPr>
            <w:tcW w:w="2126" w:type="dxa"/>
            <w:shd w:val="clear" w:color="auto" w:fill="F5EDC1" w:themeFill="accent4"/>
          </w:tcPr>
          <w:p w14:paraId="7A7E7375" w14:textId="14DB80EC" w:rsidR="00CF688A" w:rsidRDefault="00CF688A" w:rsidP="000B4E3E">
            <w:pPr>
              <w:jc w:val="right"/>
            </w:pPr>
            <w:r>
              <w:t>3,600</w:t>
            </w:r>
          </w:p>
        </w:tc>
        <w:tc>
          <w:tcPr>
            <w:tcW w:w="2046" w:type="dxa"/>
            <w:shd w:val="clear" w:color="auto" w:fill="D4E2E0" w:themeFill="accent5"/>
          </w:tcPr>
          <w:p w14:paraId="60203EC5" w14:textId="43EDA9C9" w:rsidR="00CF688A" w:rsidRDefault="00CF688A" w:rsidP="000B4E3E">
            <w:pPr>
              <w:jc w:val="right"/>
            </w:pPr>
            <w:r>
              <w:t>6,100</w:t>
            </w:r>
          </w:p>
        </w:tc>
      </w:tr>
      <w:tr w:rsidR="00CF688A" w14:paraId="29524F9D" w14:textId="77777777" w:rsidTr="00CF688A">
        <w:tc>
          <w:tcPr>
            <w:tcW w:w="5070" w:type="dxa"/>
          </w:tcPr>
          <w:p w14:paraId="7A8886D0" w14:textId="55C51512" w:rsidR="00CF688A" w:rsidRDefault="00CF688A" w:rsidP="000B4E3E">
            <w:r>
              <w:t>Accumulated depreciation</w:t>
            </w:r>
          </w:p>
        </w:tc>
        <w:tc>
          <w:tcPr>
            <w:tcW w:w="2126" w:type="dxa"/>
            <w:shd w:val="clear" w:color="auto" w:fill="F5EDC1" w:themeFill="accent4"/>
          </w:tcPr>
          <w:p w14:paraId="62A8C54F" w14:textId="04C647FB" w:rsidR="00CF688A" w:rsidRDefault="00CF688A" w:rsidP="000B4E3E">
            <w:pPr>
              <w:jc w:val="right"/>
            </w:pPr>
            <w:r>
              <w:t>-</w:t>
            </w:r>
          </w:p>
        </w:tc>
        <w:tc>
          <w:tcPr>
            <w:tcW w:w="2046" w:type="dxa"/>
            <w:shd w:val="clear" w:color="auto" w:fill="D4E2E0" w:themeFill="accent5"/>
          </w:tcPr>
          <w:p w14:paraId="7FA6492D" w14:textId="45C42600" w:rsidR="00CF688A" w:rsidRDefault="00CF688A" w:rsidP="000B4E3E">
            <w:pPr>
              <w:jc w:val="right"/>
            </w:pPr>
            <w:r>
              <w:t>-</w:t>
            </w:r>
          </w:p>
        </w:tc>
      </w:tr>
      <w:tr w:rsidR="00CF688A" w14:paraId="7382D0A8" w14:textId="77777777" w:rsidTr="00CF688A">
        <w:tc>
          <w:tcPr>
            <w:tcW w:w="5070" w:type="dxa"/>
          </w:tcPr>
          <w:p w14:paraId="30E3FB98" w14:textId="77777777" w:rsidR="00CF688A" w:rsidRDefault="00CF688A" w:rsidP="000B4E3E"/>
        </w:tc>
        <w:tc>
          <w:tcPr>
            <w:tcW w:w="2126" w:type="dxa"/>
            <w:tcBorders>
              <w:bottom w:val="single" w:sz="4" w:space="0" w:color="auto"/>
            </w:tcBorders>
            <w:shd w:val="clear" w:color="auto" w:fill="F5EDC1" w:themeFill="accent4"/>
          </w:tcPr>
          <w:p w14:paraId="3537BD8D" w14:textId="7C8BA1CE" w:rsidR="00CF688A" w:rsidRPr="00CF688A" w:rsidRDefault="00CF688A" w:rsidP="000B4E3E">
            <w:pPr>
              <w:jc w:val="right"/>
              <w:rPr>
                <w:b/>
              </w:rPr>
            </w:pPr>
            <w:r w:rsidRPr="00CF688A">
              <w:rPr>
                <w:b/>
              </w:rPr>
              <w:t>3,600</w:t>
            </w:r>
          </w:p>
        </w:tc>
        <w:tc>
          <w:tcPr>
            <w:tcW w:w="2046" w:type="dxa"/>
            <w:tcBorders>
              <w:bottom w:val="single" w:sz="4" w:space="0" w:color="auto"/>
            </w:tcBorders>
            <w:shd w:val="clear" w:color="auto" w:fill="D4E2E0" w:themeFill="accent5"/>
          </w:tcPr>
          <w:p w14:paraId="366FA111" w14:textId="13CB67E1" w:rsidR="00CF688A" w:rsidRPr="00CF688A" w:rsidRDefault="00CF688A" w:rsidP="000B4E3E">
            <w:pPr>
              <w:jc w:val="right"/>
              <w:rPr>
                <w:b/>
              </w:rPr>
            </w:pPr>
            <w:r w:rsidRPr="00CF688A">
              <w:rPr>
                <w:b/>
              </w:rPr>
              <w:t>6,100</w:t>
            </w:r>
          </w:p>
        </w:tc>
      </w:tr>
      <w:tr w:rsidR="00CF688A" w14:paraId="2C139A6F" w14:textId="77777777" w:rsidTr="00CF688A">
        <w:tc>
          <w:tcPr>
            <w:tcW w:w="5070" w:type="dxa"/>
            <w:shd w:val="clear" w:color="auto" w:fill="auto"/>
          </w:tcPr>
          <w:p w14:paraId="2C33B571" w14:textId="3AF2B1D2" w:rsidR="00CF688A" w:rsidRPr="00CF688A" w:rsidRDefault="00CF688A" w:rsidP="000B4E3E">
            <w:pPr>
              <w:rPr>
                <w:i/>
              </w:rPr>
            </w:pPr>
            <w:r w:rsidRPr="00CF688A">
              <w:rPr>
                <w:i/>
              </w:rPr>
              <w:t>Plant, equipment &amp; vehicles</w:t>
            </w:r>
          </w:p>
        </w:tc>
        <w:tc>
          <w:tcPr>
            <w:tcW w:w="2126" w:type="dxa"/>
            <w:tcBorders>
              <w:top w:val="single" w:sz="4" w:space="0" w:color="auto"/>
            </w:tcBorders>
            <w:shd w:val="clear" w:color="auto" w:fill="auto"/>
          </w:tcPr>
          <w:p w14:paraId="56C484B8" w14:textId="77777777" w:rsidR="00CF688A" w:rsidRDefault="00CF688A" w:rsidP="000B4E3E">
            <w:pPr>
              <w:jc w:val="right"/>
            </w:pPr>
          </w:p>
        </w:tc>
        <w:tc>
          <w:tcPr>
            <w:tcW w:w="2046" w:type="dxa"/>
            <w:tcBorders>
              <w:top w:val="single" w:sz="4" w:space="0" w:color="auto"/>
            </w:tcBorders>
            <w:shd w:val="clear" w:color="auto" w:fill="auto"/>
          </w:tcPr>
          <w:p w14:paraId="4C246A6C" w14:textId="77777777" w:rsidR="00CF688A" w:rsidRDefault="00CF688A" w:rsidP="000B4E3E">
            <w:pPr>
              <w:jc w:val="right"/>
            </w:pPr>
          </w:p>
        </w:tc>
      </w:tr>
      <w:tr w:rsidR="00CF688A" w14:paraId="2F85CC13" w14:textId="77777777" w:rsidTr="000B4E3E">
        <w:tc>
          <w:tcPr>
            <w:tcW w:w="5070" w:type="dxa"/>
          </w:tcPr>
          <w:p w14:paraId="7BE9F4DA" w14:textId="0B9C929E" w:rsidR="00CF688A" w:rsidRDefault="00CF688A" w:rsidP="000B4E3E">
            <w:r>
              <w:t>At cost</w:t>
            </w:r>
          </w:p>
        </w:tc>
        <w:tc>
          <w:tcPr>
            <w:tcW w:w="2126" w:type="dxa"/>
            <w:shd w:val="clear" w:color="auto" w:fill="F5EDC1" w:themeFill="accent4"/>
          </w:tcPr>
          <w:p w14:paraId="59633D6A" w14:textId="10B17C43" w:rsidR="00CF688A" w:rsidRDefault="00CF688A" w:rsidP="000B4E3E">
            <w:pPr>
              <w:jc w:val="right"/>
            </w:pPr>
            <w:r>
              <w:t>2,666</w:t>
            </w:r>
          </w:p>
        </w:tc>
        <w:tc>
          <w:tcPr>
            <w:tcW w:w="2046" w:type="dxa"/>
            <w:shd w:val="clear" w:color="auto" w:fill="D4E2E0" w:themeFill="accent5"/>
          </w:tcPr>
          <w:p w14:paraId="4F37ECD7" w14:textId="03F8C70C" w:rsidR="00CF688A" w:rsidRDefault="00CF688A" w:rsidP="000B4E3E">
            <w:pPr>
              <w:jc w:val="right"/>
            </w:pPr>
            <w:r>
              <w:t>2,533</w:t>
            </w:r>
          </w:p>
        </w:tc>
      </w:tr>
      <w:tr w:rsidR="00CF688A" w14:paraId="7BDC3C64" w14:textId="77777777" w:rsidTr="00CF688A">
        <w:tc>
          <w:tcPr>
            <w:tcW w:w="5070" w:type="dxa"/>
          </w:tcPr>
          <w:p w14:paraId="3D0508AD" w14:textId="4B05D258" w:rsidR="00CF688A" w:rsidRDefault="00CF688A" w:rsidP="000B4E3E">
            <w:r>
              <w:t>Accumulated depreciation</w:t>
            </w:r>
          </w:p>
        </w:tc>
        <w:tc>
          <w:tcPr>
            <w:tcW w:w="2126" w:type="dxa"/>
            <w:shd w:val="clear" w:color="auto" w:fill="F5EDC1" w:themeFill="accent4"/>
          </w:tcPr>
          <w:p w14:paraId="052A9BF5" w14:textId="39636A23" w:rsidR="00CF688A" w:rsidRDefault="00CF688A" w:rsidP="000B4E3E">
            <w:pPr>
              <w:jc w:val="right"/>
            </w:pPr>
            <w:r>
              <w:t>(927)</w:t>
            </w:r>
          </w:p>
        </w:tc>
        <w:tc>
          <w:tcPr>
            <w:tcW w:w="2046" w:type="dxa"/>
            <w:shd w:val="clear" w:color="auto" w:fill="D4E2E0" w:themeFill="accent5"/>
          </w:tcPr>
          <w:p w14:paraId="4EADC7F1" w14:textId="35EB9755" w:rsidR="00CF688A" w:rsidRDefault="00CF688A" w:rsidP="000B4E3E">
            <w:pPr>
              <w:jc w:val="right"/>
            </w:pPr>
            <w:r>
              <w:t>(827)</w:t>
            </w:r>
          </w:p>
        </w:tc>
      </w:tr>
      <w:tr w:rsidR="00CF688A" w14:paraId="6453A15C" w14:textId="77777777" w:rsidTr="00CF688A">
        <w:tc>
          <w:tcPr>
            <w:tcW w:w="5070" w:type="dxa"/>
          </w:tcPr>
          <w:p w14:paraId="3C9871C3" w14:textId="77777777" w:rsidR="00CF688A" w:rsidRDefault="00CF688A" w:rsidP="000B4E3E"/>
        </w:tc>
        <w:tc>
          <w:tcPr>
            <w:tcW w:w="2126" w:type="dxa"/>
            <w:tcBorders>
              <w:bottom w:val="single" w:sz="4" w:space="0" w:color="auto"/>
            </w:tcBorders>
            <w:shd w:val="clear" w:color="auto" w:fill="F5EDC1" w:themeFill="accent4"/>
          </w:tcPr>
          <w:p w14:paraId="3F51157D" w14:textId="77622E6B" w:rsidR="00CF688A" w:rsidRPr="00CF688A" w:rsidRDefault="00CF688A" w:rsidP="000B4E3E">
            <w:pPr>
              <w:jc w:val="right"/>
            </w:pPr>
            <w:r w:rsidRPr="00CF688A">
              <w:t>1,739</w:t>
            </w:r>
          </w:p>
        </w:tc>
        <w:tc>
          <w:tcPr>
            <w:tcW w:w="2046" w:type="dxa"/>
            <w:tcBorders>
              <w:bottom w:val="single" w:sz="4" w:space="0" w:color="auto"/>
            </w:tcBorders>
            <w:shd w:val="clear" w:color="auto" w:fill="D4E2E0" w:themeFill="accent5"/>
          </w:tcPr>
          <w:p w14:paraId="24B23979" w14:textId="0C9BC393" w:rsidR="00CF688A" w:rsidRPr="00CF688A" w:rsidRDefault="00CF688A" w:rsidP="000B4E3E">
            <w:pPr>
              <w:jc w:val="right"/>
            </w:pPr>
            <w:r w:rsidRPr="00CF688A">
              <w:t>1,706</w:t>
            </w:r>
          </w:p>
        </w:tc>
      </w:tr>
      <w:tr w:rsidR="00CF688A" w14:paraId="1D3B4EB6" w14:textId="77777777" w:rsidTr="00CF688A">
        <w:tc>
          <w:tcPr>
            <w:tcW w:w="5070" w:type="dxa"/>
            <w:shd w:val="clear" w:color="auto" w:fill="auto"/>
          </w:tcPr>
          <w:p w14:paraId="5A3ABCA0" w14:textId="282F39C4" w:rsidR="00CF688A" w:rsidRDefault="00CF688A" w:rsidP="000B4E3E">
            <w:r>
              <w:t>Work in Progress</w:t>
            </w:r>
          </w:p>
        </w:tc>
        <w:tc>
          <w:tcPr>
            <w:tcW w:w="2126" w:type="dxa"/>
            <w:tcBorders>
              <w:top w:val="single" w:sz="4" w:space="0" w:color="auto"/>
            </w:tcBorders>
            <w:shd w:val="clear" w:color="auto" w:fill="auto"/>
          </w:tcPr>
          <w:p w14:paraId="1A633339" w14:textId="77777777" w:rsidR="00CF688A" w:rsidRDefault="00CF688A" w:rsidP="000B4E3E">
            <w:pPr>
              <w:jc w:val="right"/>
            </w:pPr>
          </w:p>
        </w:tc>
        <w:tc>
          <w:tcPr>
            <w:tcW w:w="2046" w:type="dxa"/>
            <w:tcBorders>
              <w:top w:val="single" w:sz="4" w:space="0" w:color="auto"/>
            </w:tcBorders>
            <w:shd w:val="clear" w:color="auto" w:fill="auto"/>
          </w:tcPr>
          <w:p w14:paraId="6AB0D72A" w14:textId="77777777" w:rsidR="00CF688A" w:rsidRDefault="00CF688A" w:rsidP="000B4E3E">
            <w:pPr>
              <w:jc w:val="right"/>
            </w:pPr>
          </w:p>
        </w:tc>
      </w:tr>
      <w:tr w:rsidR="00CF688A" w14:paraId="4304DE77" w14:textId="77777777" w:rsidTr="000B4E3E">
        <w:tc>
          <w:tcPr>
            <w:tcW w:w="5070" w:type="dxa"/>
          </w:tcPr>
          <w:p w14:paraId="48A1BF10" w14:textId="36C7CECC" w:rsidR="00CF688A" w:rsidRDefault="00CF688A" w:rsidP="000B4E3E">
            <w:r>
              <w:t>At cost</w:t>
            </w:r>
          </w:p>
        </w:tc>
        <w:tc>
          <w:tcPr>
            <w:tcW w:w="2126" w:type="dxa"/>
            <w:shd w:val="clear" w:color="auto" w:fill="F5EDC1" w:themeFill="accent4"/>
          </w:tcPr>
          <w:p w14:paraId="002B9EE9" w14:textId="2A554399" w:rsidR="00CF688A" w:rsidRDefault="00CF688A" w:rsidP="000B4E3E">
            <w:pPr>
              <w:jc w:val="right"/>
            </w:pPr>
            <w:r>
              <w:t>22</w:t>
            </w:r>
          </w:p>
        </w:tc>
        <w:tc>
          <w:tcPr>
            <w:tcW w:w="2046" w:type="dxa"/>
            <w:shd w:val="clear" w:color="auto" w:fill="D4E2E0" w:themeFill="accent5"/>
          </w:tcPr>
          <w:p w14:paraId="247BF8CF" w14:textId="240F161B" w:rsidR="00CF688A" w:rsidRDefault="00CF688A" w:rsidP="000B4E3E">
            <w:pPr>
              <w:jc w:val="right"/>
            </w:pPr>
            <w:r>
              <w:t>-</w:t>
            </w:r>
          </w:p>
        </w:tc>
      </w:tr>
      <w:tr w:rsidR="00CF688A" w14:paraId="6FC505CC" w14:textId="77777777" w:rsidTr="00CF688A">
        <w:tc>
          <w:tcPr>
            <w:tcW w:w="5070" w:type="dxa"/>
          </w:tcPr>
          <w:p w14:paraId="69AC36E9" w14:textId="77777777" w:rsidR="00CF688A" w:rsidRDefault="00CF688A" w:rsidP="000B4E3E"/>
        </w:tc>
        <w:tc>
          <w:tcPr>
            <w:tcW w:w="2126" w:type="dxa"/>
            <w:tcBorders>
              <w:bottom w:val="single" w:sz="4" w:space="0" w:color="auto"/>
            </w:tcBorders>
            <w:shd w:val="clear" w:color="auto" w:fill="F5EDC1" w:themeFill="accent4"/>
          </w:tcPr>
          <w:p w14:paraId="0EC36C61" w14:textId="747C62DC" w:rsidR="00CF688A" w:rsidRPr="00CF688A" w:rsidRDefault="00CF688A" w:rsidP="000B4E3E">
            <w:pPr>
              <w:jc w:val="right"/>
              <w:rPr>
                <w:b/>
              </w:rPr>
            </w:pPr>
            <w:r w:rsidRPr="00CF688A">
              <w:rPr>
                <w:b/>
              </w:rPr>
              <w:t>22</w:t>
            </w:r>
          </w:p>
        </w:tc>
        <w:tc>
          <w:tcPr>
            <w:tcW w:w="2046" w:type="dxa"/>
            <w:tcBorders>
              <w:bottom w:val="single" w:sz="4" w:space="0" w:color="auto"/>
            </w:tcBorders>
            <w:shd w:val="clear" w:color="auto" w:fill="D4E2E0" w:themeFill="accent5"/>
          </w:tcPr>
          <w:p w14:paraId="7A216FA5" w14:textId="62E98695" w:rsidR="00CF688A" w:rsidRDefault="00CF688A" w:rsidP="000B4E3E">
            <w:pPr>
              <w:jc w:val="right"/>
            </w:pPr>
            <w:r>
              <w:t>-</w:t>
            </w:r>
          </w:p>
        </w:tc>
      </w:tr>
      <w:tr w:rsidR="00CF688A" w14:paraId="0ED7C408" w14:textId="77777777" w:rsidTr="00CF688A">
        <w:tc>
          <w:tcPr>
            <w:tcW w:w="5070" w:type="dxa"/>
          </w:tcPr>
          <w:p w14:paraId="355A3C34" w14:textId="77777777" w:rsidR="00CF688A" w:rsidRDefault="00CF688A" w:rsidP="000B4E3E"/>
        </w:tc>
        <w:tc>
          <w:tcPr>
            <w:tcW w:w="2126" w:type="dxa"/>
            <w:tcBorders>
              <w:top w:val="single" w:sz="4" w:space="0" w:color="auto"/>
              <w:bottom w:val="single" w:sz="4" w:space="0" w:color="auto"/>
            </w:tcBorders>
            <w:shd w:val="clear" w:color="auto" w:fill="F5EDC1" w:themeFill="accent4"/>
          </w:tcPr>
          <w:p w14:paraId="61C45468" w14:textId="06881A9C" w:rsidR="00CF688A" w:rsidRPr="00CF688A" w:rsidRDefault="00CF688A" w:rsidP="000B4E3E">
            <w:pPr>
              <w:jc w:val="right"/>
              <w:rPr>
                <w:b/>
              </w:rPr>
            </w:pPr>
            <w:r w:rsidRPr="00CF688A">
              <w:rPr>
                <w:b/>
              </w:rPr>
              <w:t>20,761</w:t>
            </w:r>
          </w:p>
        </w:tc>
        <w:tc>
          <w:tcPr>
            <w:tcW w:w="2046" w:type="dxa"/>
            <w:tcBorders>
              <w:top w:val="single" w:sz="4" w:space="0" w:color="auto"/>
              <w:bottom w:val="single" w:sz="4" w:space="0" w:color="auto"/>
            </w:tcBorders>
            <w:shd w:val="clear" w:color="auto" w:fill="D4E2E0" w:themeFill="accent5"/>
          </w:tcPr>
          <w:p w14:paraId="43E6F87E" w14:textId="2E7192E3" w:rsidR="00CF688A" w:rsidRPr="00CF688A" w:rsidRDefault="00CF688A" w:rsidP="000B4E3E">
            <w:pPr>
              <w:jc w:val="right"/>
              <w:rPr>
                <w:b/>
              </w:rPr>
            </w:pPr>
            <w:r w:rsidRPr="00CF688A">
              <w:rPr>
                <w:b/>
              </w:rPr>
              <w:t>23,506</w:t>
            </w:r>
          </w:p>
        </w:tc>
      </w:tr>
    </w:tbl>
    <w:p w14:paraId="11CDA30B" w14:textId="77777777" w:rsidR="00CF688A" w:rsidRDefault="00CF688A" w:rsidP="00F576B8"/>
    <w:p w14:paraId="0E83C777" w14:textId="234DDC74" w:rsidR="00CF688A" w:rsidRDefault="00CF688A" w:rsidP="00CF688A">
      <w:r w:rsidRPr="00CF688A">
        <w:t>(a) Land and buildings were revalued as at 30 June 2015 by the Western Australian Land Information Authority.  The property was inspected on 17 June 2015. The fair value of all land and buildings have been determined by reference to recent market transactions.</w:t>
      </w:r>
    </w:p>
    <w:p w14:paraId="7D0F0AC1" w14:textId="77777777" w:rsidR="00CF688A" w:rsidRDefault="00CF688A">
      <w:pPr>
        <w:keepLines w:val="0"/>
        <w:spacing w:after="0" w:line="240" w:lineRule="auto"/>
      </w:pPr>
      <w:r>
        <w:br w:type="page"/>
      </w:r>
    </w:p>
    <w:p w14:paraId="056D0E68" w14:textId="77777777" w:rsidR="00533EA1" w:rsidRPr="00DA1E18" w:rsidRDefault="00533EA1" w:rsidP="00533EA1">
      <w:pPr>
        <w:rPr>
          <w:rStyle w:val="Strong"/>
        </w:rPr>
      </w:pPr>
      <w:r w:rsidRPr="00DA1E18">
        <w:rPr>
          <w:rStyle w:val="Strong"/>
        </w:rPr>
        <w:lastRenderedPageBreak/>
        <w:t>Reconciliations</w:t>
      </w:r>
    </w:p>
    <w:p w14:paraId="7C42A200" w14:textId="43CE6CD2" w:rsidR="00B17E69" w:rsidRDefault="00533EA1" w:rsidP="00533EA1">
      <w:r>
        <w:t>Reconciliations of carrying amounts of property, plant, equipment and vehicles at the beginning and end of the reporting period are set out in the table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1211"/>
        <w:gridCol w:w="1393"/>
        <w:gridCol w:w="1269"/>
        <w:gridCol w:w="1430"/>
        <w:gridCol w:w="1039"/>
      </w:tblGrid>
      <w:tr w:rsidR="00533EA1" w14:paraId="0F0EAC59" w14:textId="77777777" w:rsidTr="00973F8A">
        <w:tc>
          <w:tcPr>
            <w:tcW w:w="2904" w:type="dxa"/>
          </w:tcPr>
          <w:p w14:paraId="0D74E60E" w14:textId="77777777" w:rsidR="00533EA1" w:rsidRPr="00FC5D3A" w:rsidRDefault="00533EA1" w:rsidP="00FC5D3A">
            <w:pPr>
              <w:rPr>
                <w:w w:val="90"/>
              </w:rPr>
            </w:pPr>
          </w:p>
        </w:tc>
        <w:tc>
          <w:tcPr>
            <w:tcW w:w="1266" w:type="dxa"/>
          </w:tcPr>
          <w:p w14:paraId="58AA59BC" w14:textId="1F2ED32F" w:rsidR="00533EA1" w:rsidRPr="00FC5D3A" w:rsidRDefault="00FC5D3A" w:rsidP="00FC5D3A">
            <w:pPr>
              <w:jc w:val="right"/>
              <w:rPr>
                <w:b/>
                <w:w w:val="90"/>
              </w:rPr>
            </w:pPr>
            <w:r w:rsidRPr="00FC5D3A">
              <w:rPr>
                <w:b/>
              </w:rPr>
              <w:t>Land</w:t>
            </w:r>
          </w:p>
        </w:tc>
        <w:tc>
          <w:tcPr>
            <w:tcW w:w="1411" w:type="dxa"/>
          </w:tcPr>
          <w:p w14:paraId="1A417969" w14:textId="6268823F" w:rsidR="00533EA1" w:rsidRPr="00FC5D3A" w:rsidRDefault="00FC5D3A" w:rsidP="00FC5D3A">
            <w:pPr>
              <w:jc w:val="right"/>
              <w:rPr>
                <w:b/>
                <w:w w:val="90"/>
              </w:rPr>
            </w:pPr>
            <w:r w:rsidRPr="00FC5D3A">
              <w:rPr>
                <w:b/>
              </w:rPr>
              <w:t>Buildings</w:t>
            </w:r>
          </w:p>
        </w:tc>
        <w:tc>
          <w:tcPr>
            <w:tcW w:w="1272" w:type="dxa"/>
          </w:tcPr>
          <w:p w14:paraId="5CDB6B23" w14:textId="5E59925C" w:rsidR="00533EA1" w:rsidRPr="00FC5D3A" w:rsidRDefault="00FC5D3A" w:rsidP="00FC5D3A">
            <w:pPr>
              <w:jc w:val="right"/>
              <w:rPr>
                <w:b/>
                <w:w w:val="90"/>
              </w:rPr>
            </w:pPr>
            <w:r w:rsidRPr="00FC5D3A">
              <w:rPr>
                <w:b/>
              </w:rPr>
              <w:t>Work in</w:t>
            </w:r>
            <w:r w:rsidRPr="00FC5D3A">
              <w:rPr>
                <w:b/>
                <w:w w:val="90"/>
              </w:rPr>
              <w:t xml:space="preserve"> </w:t>
            </w:r>
            <w:r w:rsidRPr="00FC5D3A">
              <w:rPr>
                <w:b/>
              </w:rPr>
              <w:t>Progress</w:t>
            </w:r>
          </w:p>
        </w:tc>
        <w:tc>
          <w:tcPr>
            <w:tcW w:w="1337" w:type="dxa"/>
          </w:tcPr>
          <w:p w14:paraId="68AA0E2E" w14:textId="46699DB5" w:rsidR="00533EA1" w:rsidRPr="00FC5D3A" w:rsidRDefault="00FC5D3A" w:rsidP="00FC5D3A">
            <w:pPr>
              <w:jc w:val="right"/>
              <w:rPr>
                <w:b/>
                <w:w w:val="90"/>
              </w:rPr>
            </w:pPr>
            <w:r w:rsidRPr="00FC5D3A">
              <w:rPr>
                <w:b/>
              </w:rPr>
              <w:t>Plant,</w:t>
            </w:r>
            <w:r w:rsidRPr="00FC5D3A">
              <w:rPr>
                <w:b/>
                <w:w w:val="90"/>
              </w:rPr>
              <w:t xml:space="preserve"> </w:t>
            </w:r>
            <w:r w:rsidRPr="00FC5D3A">
              <w:rPr>
                <w:b/>
              </w:rPr>
              <w:t>equipment and vehicles</w:t>
            </w:r>
          </w:p>
        </w:tc>
        <w:tc>
          <w:tcPr>
            <w:tcW w:w="1052" w:type="dxa"/>
          </w:tcPr>
          <w:p w14:paraId="5EEEED33" w14:textId="5CD3FE2C" w:rsidR="00533EA1" w:rsidRPr="00FC5D3A" w:rsidRDefault="00FC5D3A" w:rsidP="00FC5D3A">
            <w:pPr>
              <w:jc w:val="right"/>
              <w:rPr>
                <w:b/>
                <w:w w:val="90"/>
              </w:rPr>
            </w:pPr>
            <w:r w:rsidRPr="00FC5D3A">
              <w:rPr>
                <w:b/>
              </w:rPr>
              <w:t>Total</w:t>
            </w:r>
          </w:p>
        </w:tc>
      </w:tr>
      <w:tr w:rsidR="00FC5D3A" w14:paraId="701A1F1D" w14:textId="77777777" w:rsidTr="00973F8A">
        <w:tc>
          <w:tcPr>
            <w:tcW w:w="2904" w:type="dxa"/>
          </w:tcPr>
          <w:p w14:paraId="3B847169" w14:textId="77777777" w:rsidR="00FC5D3A" w:rsidRPr="00FC5D3A" w:rsidRDefault="00FC5D3A" w:rsidP="00FC5D3A">
            <w:pPr>
              <w:rPr>
                <w:w w:val="90"/>
              </w:rPr>
            </w:pPr>
          </w:p>
        </w:tc>
        <w:tc>
          <w:tcPr>
            <w:tcW w:w="1266" w:type="dxa"/>
          </w:tcPr>
          <w:p w14:paraId="62FFAFF2" w14:textId="35288D94" w:rsidR="00FC5D3A" w:rsidRPr="00FC5D3A" w:rsidRDefault="00FC5D3A" w:rsidP="00FC5D3A">
            <w:pPr>
              <w:jc w:val="right"/>
              <w:rPr>
                <w:b/>
              </w:rPr>
            </w:pPr>
            <w:r w:rsidRPr="00FC5D3A">
              <w:rPr>
                <w:b/>
              </w:rPr>
              <w:t>$000</w:t>
            </w:r>
          </w:p>
        </w:tc>
        <w:tc>
          <w:tcPr>
            <w:tcW w:w="1411" w:type="dxa"/>
          </w:tcPr>
          <w:p w14:paraId="060DB8D9" w14:textId="6FCC2BC6" w:rsidR="00FC5D3A" w:rsidRPr="00FC5D3A" w:rsidRDefault="00FC5D3A" w:rsidP="00FC5D3A">
            <w:pPr>
              <w:jc w:val="right"/>
              <w:rPr>
                <w:b/>
              </w:rPr>
            </w:pPr>
            <w:r w:rsidRPr="00FC5D3A">
              <w:rPr>
                <w:b/>
              </w:rPr>
              <w:t>$000</w:t>
            </w:r>
          </w:p>
        </w:tc>
        <w:tc>
          <w:tcPr>
            <w:tcW w:w="1272" w:type="dxa"/>
          </w:tcPr>
          <w:p w14:paraId="57791FD1" w14:textId="06B82FF0" w:rsidR="00FC5D3A" w:rsidRPr="00FC5D3A" w:rsidRDefault="00FC5D3A" w:rsidP="00FC5D3A">
            <w:pPr>
              <w:jc w:val="right"/>
              <w:rPr>
                <w:b/>
              </w:rPr>
            </w:pPr>
            <w:r w:rsidRPr="00FC5D3A">
              <w:rPr>
                <w:b/>
              </w:rPr>
              <w:t>$000</w:t>
            </w:r>
          </w:p>
        </w:tc>
        <w:tc>
          <w:tcPr>
            <w:tcW w:w="1337" w:type="dxa"/>
          </w:tcPr>
          <w:p w14:paraId="5CC67D99" w14:textId="6313B7F8" w:rsidR="00FC5D3A" w:rsidRPr="00FC5D3A" w:rsidRDefault="00FC5D3A" w:rsidP="00FC5D3A">
            <w:pPr>
              <w:jc w:val="right"/>
              <w:rPr>
                <w:b/>
              </w:rPr>
            </w:pPr>
            <w:r w:rsidRPr="00FC5D3A">
              <w:rPr>
                <w:b/>
              </w:rPr>
              <w:t>$000</w:t>
            </w:r>
          </w:p>
        </w:tc>
        <w:tc>
          <w:tcPr>
            <w:tcW w:w="1052" w:type="dxa"/>
          </w:tcPr>
          <w:p w14:paraId="45CD4D45" w14:textId="06857E43" w:rsidR="00FC5D3A" w:rsidRPr="00FC5D3A" w:rsidRDefault="00FC5D3A" w:rsidP="00FC5D3A">
            <w:pPr>
              <w:jc w:val="right"/>
              <w:rPr>
                <w:b/>
              </w:rPr>
            </w:pPr>
            <w:r w:rsidRPr="00FC5D3A">
              <w:rPr>
                <w:b/>
              </w:rPr>
              <w:t>$000</w:t>
            </w:r>
          </w:p>
        </w:tc>
      </w:tr>
      <w:tr w:rsidR="00FC5D3A" w14:paraId="6B9E6D58" w14:textId="77777777" w:rsidTr="00973F8A">
        <w:tc>
          <w:tcPr>
            <w:tcW w:w="2904" w:type="dxa"/>
          </w:tcPr>
          <w:p w14:paraId="1CBA7B05" w14:textId="37D5C68D" w:rsidR="00FC5D3A" w:rsidRPr="00973F8A" w:rsidRDefault="00FC5D3A" w:rsidP="00FC5D3A">
            <w:pPr>
              <w:rPr>
                <w:i/>
                <w:w w:val="90"/>
              </w:rPr>
            </w:pPr>
            <w:r w:rsidRPr="00973F8A">
              <w:rPr>
                <w:i/>
              </w:rPr>
              <w:t>2015</w:t>
            </w:r>
          </w:p>
        </w:tc>
        <w:tc>
          <w:tcPr>
            <w:tcW w:w="1266" w:type="dxa"/>
          </w:tcPr>
          <w:p w14:paraId="390E3BFE" w14:textId="77777777" w:rsidR="00FC5D3A" w:rsidRPr="00FC5D3A" w:rsidRDefault="00FC5D3A" w:rsidP="00FC5D3A">
            <w:pPr>
              <w:jc w:val="right"/>
              <w:rPr>
                <w:w w:val="90"/>
              </w:rPr>
            </w:pPr>
          </w:p>
        </w:tc>
        <w:tc>
          <w:tcPr>
            <w:tcW w:w="1411" w:type="dxa"/>
          </w:tcPr>
          <w:p w14:paraId="72205C8E" w14:textId="77777777" w:rsidR="00FC5D3A" w:rsidRPr="00FC5D3A" w:rsidRDefault="00FC5D3A" w:rsidP="00FC5D3A">
            <w:pPr>
              <w:jc w:val="right"/>
              <w:rPr>
                <w:w w:val="90"/>
              </w:rPr>
            </w:pPr>
          </w:p>
        </w:tc>
        <w:tc>
          <w:tcPr>
            <w:tcW w:w="1272" w:type="dxa"/>
          </w:tcPr>
          <w:p w14:paraId="5E8BB942" w14:textId="77777777" w:rsidR="00FC5D3A" w:rsidRPr="00FC5D3A" w:rsidRDefault="00FC5D3A" w:rsidP="00FC5D3A">
            <w:pPr>
              <w:jc w:val="right"/>
              <w:rPr>
                <w:w w:val="90"/>
              </w:rPr>
            </w:pPr>
          </w:p>
        </w:tc>
        <w:tc>
          <w:tcPr>
            <w:tcW w:w="1337" w:type="dxa"/>
          </w:tcPr>
          <w:p w14:paraId="314EF49D" w14:textId="77777777" w:rsidR="00FC5D3A" w:rsidRPr="00FC5D3A" w:rsidRDefault="00FC5D3A" w:rsidP="00FC5D3A">
            <w:pPr>
              <w:jc w:val="right"/>
              <w:rPr>
                <w:w w:val="90"/>
              </w:rPr>
            </w:pPr>
          </w:p>
        </w:tc>
        <w:tc>
          <w:tcPr>
            <w:tcW w:w="1052" w:type="dxa"/>
          </w:tcPr>
          <w:p w14:paraId="3D0B0A7F" w14:textId="77777777" w:rsidR="00FC5D3A" w:rsidRPr="00FC5D3A" w:rsidRDefault="00FC5D3A" w:rsidP="00FC5D3A">
            <w:pPr>
              <w:jc w:val="right"/>
              <w:rPr>
                <w:w w:val="90"/>
              </w:rPr>
            </w:pPr>
          </w:p>
        </w:tc>
      </w:tr>
      <w:tr w:rsidR="00533EA1" w14:paraId="5BA9CF5D" w14:textId="77777777" w:rsidTr="00973F8A">
        <w:tc>
          <w:tcPr>
            <w:tcW w:w="2904" w:type="dxa"/>
          </w:tcPr>
          <w:p w14:paraId="7FEB9AC2" w14:textId="54F73CAB" w:rsidR="00533EA1" w:rsidRPr="00FC5D3A" w:rsidRDefault="00533EA1" w:rsidP="00FC5D3A">
            <w:r w:rsidRPr="00FC5D3A">
              <w:t>Carrying amount at start of</w:t>
            </w:r>
            <w:r w:rsidRPr="00FC5D3A">
              <w:rPr>
                <w:spacing w:val="4"/>
                <w:w w:val="90"/>
              </w:rPr>
              <w:t xml:space="preserve"> </w:t>
            </w:r>
            <w:r w:rsidRPr="00FC5D3A">
              <w:t>period</w:t>
            </w:r>
          </w:p>
        </w:tc>
        <w:tc>
          <w:tcPr>
            <w:tcW w:w="1266" w:type="dxa"/>
            <w:shd w:val="clear" w:color="auto" w:fill="F5EDC1" w:themeFill="accent4"/>
          </w:tcPr>
          <w:p w14:paraId="0C9D0FD9" w14:textId="2BDF564C" w:rsidR="00533EA1" w:rsidRPr="00FC5D3A" w:rsidRDefault="00533EA1" w:rsidP="00FC5D3A">
            <w:pPr>
              <w:jc w:val="right"/>
            </w:pPr>
            <w:r w:rsidRPr="00FC5D3A">
              <w:t>15,700</w:t>
            </w:r>
          </w:p>
        </w:tc>
        <w:tc>
          <w:tcPr>
            <w:tcW w:w="1411" w:type="dxa"/>
            <w:shd w:val="clear" w:color="auto" w:fill="F5EDC1" w:themeFill="accent4"/>
          </w:tcPr>
          <w:p w14:paraId="0075A59E" w14:textId="31FE63D9" w:rsidR="00533EA1" w:rsidRPr="00FC5D3A" w:rsidRDefault="00533EA1" w:rsidP="00FC5D3A">
            <w:pPr>
              <w:jc w:val="right"/>
            </w:pPr>
            <w:r w:rsidRPr="00FC5D3A">
              <w:t>6,100</w:t>
            </w:r>
          </w:p>
        </w:tc>
        <w:tc>
          <w:tcPr>
            <w:tcW w:w="1272" w:type="dxa"/>
            <w:shd w:val="clear" w:color="auto" w:fill="F5EDC1" w:themeFill="accent4"/>
          </w:tcPr>
          <w:p w14:paraId="3C5F5133" w14:textId="07494531" w:rsidR="00533EA1" w:rsidRPr="00FC5D3A" w:rsidRDefault="00533EA1" w:rsidP="00FC5D3A">
            <w:pPr>
              <w:jc w:val="right"/>
            </w:pPr>
            <w:r w:rsidRPr="00FC5D3A">
              <w:rPr>
                <w:w w:val="90"/>
              </w:rPr>
              <w:t>-</w:t>
            </w:r>
          </w:p>
        </w:tc>
        <w:tc>
          <w:tcPr>
            <w:tcW w:w="1337" w:type="dxa"/>
            <w:shd w:val="clear" w:color="auto" w:fill="F5EDC1" w:themeFill="accent4"/>
          </w:tcPr>
          <w:p w14:paraId="2FBAF137" w14:textId="20F0159C" w:rsidR="00533EA1" w:rsidRPr="00FC5D3A" w:rsidRDefault="00533EA1" w:rsidP="00FC5D3A">
            <w:pPr>
              <w:jc w:val="right"/>
            </w:pPr>
            <w:r w:rsidRPr="00FC5D3A">
              <w:t>1,706</w:t>
            </w:r>
          </w:p>
        </w:tc>
        <w:tc>
          <w:tcPr>
            <w:tcW w:w="1052" w:type="dxa"/>
            <w:shd w:val="clear" w:color="auto" w:fill="F5EDC1" w:themeFill="accent4"/>
          </w:tcPr>
          <w:p w14:paraId="31C48833" w14:textId="3579CCFA" w:rsidR="00533EA1" w:rsidRPr="00FC5D3A" w:rsidRDefault="00533EA1" w:rsidP="00FC5D3A">
            <w:pPr>
              <w:jc w:val="right"/>
            </w:pPr>
            <w:r w:rsidRPr="00FC5D3A">
              <w:t>23,506</w:t>
            </w:r>
          </w:p>
        </w:tc>
      </w:tr>
      <w:tr w:rsidR="00533EA1" w14:paraId="062AB5BA" w14:textId="77777777" w:rsidTr="00973F8A">
        <w:tc>
          <w:tcPr>
            <w:tcW w:w="2904" w:type="dxa"/>
          </w:tcPr>
          <w:p w14:paraId="1C84FD87" w14:textId="7666C491" w:rsidR="00533EA1" w:rsidRPr="00FC5D3A" w:rsidRDefault="000C10D6" w:rsidP="00FC5D3A">
            <w:r>
              <w:rPr>
                <w:noProof/>
              </w:rPr>
              <mc:AlternateContent>
                <mc:Choice Requires="wpg">
                  <w:drawing>
                    <wp:anchor distT="0" distB="0" distL="114300" distR="114300" simplePos="0" relativeHeight="251741184" behindDoc="1" locked="0" layoutInCell="0" allowOverlap="1" wp14:anchorId="1CB95B5A" wp14:editId="5910D922">
                      <wp:simplePos x="0" y="0"/>
                      <wp:positionH relativeFrom="page">
                        <wp:posOffset>7546975</wp:posOffset>
                      </wp:positionH>
                      <wp:positionV relativeFrom="paragraph">
                        <wp:posOffset>-155575</wp:posOffset>
                      </wp:positionV>
                      <wp:extent cx="2707640" cy="1297940"/>
                      <wp:effectExtent l="3175" t="8890" r="3810" b="7620"/>
                      <wp:wrapNone/>
                      <wp:docPr id="44003638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1297940"/>
                                <a:chOff x="11885" y="-245"/>
                                <a:chExt cx="4264" cy="2044"/>
                              </a:xfrm>
                            </wpg:grpSpPr>
                            <wps:wsp>
                              <wps:cNvPr id="989334631" name="Rectangle 51"/>
                              <wps:cNvSpPr>
                                <a:spLocks/>
                              </wps:cNvSpPr>
                              <wps:spPr bwMode="auto">
                                <a:xfrm>
                                  <a:off x="11905" y="-240"/>
                                  <a:ext cx="856" cy="1680"/>
                                </a:xfrm>
                                <a:prstGeom prst="rect">
                                  <a:avLst/>
                                </a:prstGeom>
                                <a:solidFill>
                                  <a:srgbClr val="C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184354" name="Rectangle 52"/>
                              <wps:cNvSpPr>
                                <a:spLocks/>
                              </wps:cNvSpPr>
                              <wps:spPr bwMode="auto">
                                <a:xfrm>
                                  <a:off x="12761" y="-240"/>
                                  <a:ext cx="850" cy="1680"/>
                                </a:xfrm>
                                <a:prstGeom prst="rect">
                                  <a:avLst/>
                                </a:prstGeom>
                                <a:solidFill>
                                  <a:srgbClr val="C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754318" name="Freeform 53"/>
                              <wps:cNvSpPr>
                                <a:spLocks/>
                              </wps:cNvSpPr>
                              <wps:spPr bwMode="auto">
                                <a:xfrm>
                                  <a:off x="13611" y="-240"/>
                                  <a:ext cx="20" cy="1679"/>
                                </a:xfrm>
                                <a:custGeom>
                                  <a:avLst/>
                                  <a:gdLst>
                                    <a:gd name="T0" fmla="*/ 0 w 20"/>
                                    <a:gd name="T1" fmla="*/ 0 h 1679"/>
                                    <a:gd name="T2" fmla="*/ 0 w 20"/>
                                    <a:gd name="T3" fmla="*/ 1680 h 1679"/>
                                  </a:gdLst>
                                  <a:ahLst/>
                                  <a:cxnLst>
                                    <a:cxn ang="0">
                                      <a:pos x="T0" y="T1"/>
                                    </a:cxn>
                                    <a:cxn ang="0">
                                      <a:pos x="T2" y="T3"/>
                                    </a:cxn>
                                  </a:cxnLst>
                                  <a:rect l="0" t="0" r="r" b="b"/>
                                  <a:pathLst>
                                    <a:path w="20" h="1679">
                                      <a:moveTo>
                                        <a:pt x="0" y="0"/>
                                      </a:moveTo>
                                      <a:lnTo>
                                        <a:pt x="0" y="1680"/>
                                      </a:lnTo>
                                    </a:path>
                                  </a:pathLst>
                                </a:custGeom>
                                <a:noFill/>
                                <a:ln w="1282">
                                  <a:solidFill>
                                    <a:srgbClr val="CAC7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5755" name="Rectangle 54"/>
                              <wps:cNvSpPr>
                                <a:spLocks/>
                              </wps:cNvSpPr>
                              <wps:spPr bwMode="auto">
                                <a:xfrm>
                                  <a:off x="13611" y="-240"/>
                                  <a:ext cx="850" cy="1680"/>
                                </a:xfrm>
                                <a:prstGeom prst="rect">
                                  <a:avLst/>
                                </a:prstGeom>
                                <a:solidFill>
                                  <a:srgbClr val="C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580039" name="Rectangle 55"/>
                              <wps:cNvSpPr>
                                <a:spLocks/>
                              </wps:cNvSpPr>
                              <wps:spPr bwMode="auto">
                                <a:xfrm>
                                  <a:off x="14462" y="-240"/>
                                  <a:ext cx="850" cy="1680"/>
                                </a:xfrm>
                                <a:prstGeom prst="rect">
                                  <a:avLst/>
                                </a:prstGeom>
                                <a:solidFill>
                                  <a:srgbClr val="C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637872" name="Rectangle 56"/>
                              <wps:cNvSpPr>
                                <a:spLocks/>
                              </wps:cNvSpPr>
                              <wps:spPr bwMode="auto">
                                <a:xfrm>
                                  <a:off x="15312" y="-240"/>
                                  <a:ext cx="816" cy="1680"/>
                                </a:xfrm>
                                <a:prstGeom prst="rect">
                                  <a:avLst/>
                                </a:prstGeom>
                                <a:solidFill>
                                  <a:srgbClr val="C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95474" name="Rectangle 57"/>
                              <wps:cNvSpPr>
                                <a:spLocks/>
                              </wps:cNvSpPr>
                              <wps:spPr bwMode="auto">
                                <a:xfrm>
                                  <a:off x="11905" y="1499"/>
                                  <a:ext cx="856" cy="280"/>
                                </a:xfrm>
                                <a:prstGeom prst="rect">
                                  <a:avLst/>
                                </a:prstGeom>
                                <a:solidFill>
                                  <a:srgbClr val="C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804072" name="Rectangle 58"/>
                              <wps:cNvSpPr>
                                <a:spLocks/>
                              </wps:cNvSpPr>
                              <wps:spPr bwMode="auto">
                                <a:xfrm>
                                  <a:off x="12761" y="1499"/>
                                  <a:ext cx="850" cy="280"/>
                                </a:xfrm>
                                <a:prstGeom prst="rect">
                                  <a:avLst/>
                                </a:prstGeom>
                                <a:solidFill>
                                  <a:srgbClr val="C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744048" name="Freeform 59"/>
                              <wps:cNvSpPr>
                                <a:spLocks/>
                              </wps:cNvSpPr>
                              <wps:spPr bwMode="auto">
                                <a:xfrm>
                                  <a:off x="13611" y="1499"/>
                                  <a:ext cx="20" cy="280"/>
                                </a:xfrm>
                                <a:custGeom>
                                  <a:avLst/>
                                  <a:gdLst>
                                    <a:gd name="T0" fmla="*/ 0 w 20"/>
                                    <a:gd name="T1" fmla="*/ 0 h 280"/>
                                    <a:gd name="T2" fmla="*/ 0 w 20"/>
                                    <a:gd name="T3" fmla="*/ 0 h 280"/>
                                    <a:gd name="T4" fmla="*/ 0 w 20"/>
                                    <a:gd name="T5" fmla="*/ 280 h 280"/>
                                    <a:gd name="T6" fmla="*/ 0 w 20"/>
                                    <a:gd name="T7" fmla="*/ 280 h 280"/>
                                    <a:gd name="T8" fmla="*/ 0 w 20"/>
                                    <a:gd name="T9" fmla="*/ 0 h 280"/>
                                  </a:gdLst>
                                  <a:ahLst/>
                                  <a:cxnLst>
                                    <a:cxn ang="0">
                                      <a:pos x="T0" y="T1"/>
                                    </a:cxn>
                                    <a:cxn ang="0">
                                      <a:pos x="T2" y="T3"/>
                                    </a:cxn>
                                    <a:cxn ang="0">
                                      <a:pos x="T4" y="T5"/>
                                    </a:cxn>
                                    <a:cxn ang="0">
                                      <a:pos x="T6" y="T7"/>
                                    </a:cxn>
                                    <a:cxn ang="0">
                                      <a:pos x="T8" y="T9"/>
                                    </a:cxn>
                                  </a:cxnLst>
                                  <a:rect l="0" t="0" r="r" b="b"/>
                                  <a:pathLst>
                                    <a:path w="20" h="280">
                                      <a:moveTo>
                                        <a:pt x="0" y="0"/>
                                      </a:moveTo>
                                      <a:lnTo>
                                        <a:pt x="0" y="0"/>
                                      </a:lnTo>
                                      <a:lnTo>
                                        <a:pt x="0" y="280"/>
                                      </a:lnTo>
                                      <a:lnTo>
                                        <a:pt x="0" y="0"/>
                                      </a:lnTo>
                                      <a:close/>
                                    </a:path>
                                  </a:pathLst>
                                </a:custGeom>
                                <a:solidFill>
                                  <a:srgbClr val="CAC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093343" name="Rectangle 60"/>
                              <wps:cNvSpPr>
                                <a:spLocks/>
                              </wps:cNvSpPr>
                              <wps:spPr bwMode="auto">
                                <a:xfrm>
                                  <a:off x="13611" y="1499"/>
                                  <a:ext cx="850" cy="280"/>
                                </a:xfrm>
                                <a:prstGeom prst="rect">
                                  <a:avLst/>
                                </a:prstGeom>
                                <a:solidFill>
                                  <a:srgbClr val="C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86267" name="Rectangle 61"/>
                              <wps:cNvSpPr>
                                <a:spLocks/>
                              </wps:cNvSpPr>
                              <wps:spPr bwMode="auto">
                                <a:xfrm>
                                  <a:off x="14462" y="1499"/>
                                  <a:ext cx="850" cy="280"/>
                                </a:xfrm>
                                <a:prstGeom prst="rect">
                                  <a:avLst/>
                                </a:prstGeom>
                                <a:solidFill>
                                  <a:srgbClr val="C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150852" name="Rectangle 62"/>
                              <wps:cNvSpPr>
                                <a:spLocks/>
                              </wps:cNvSpPr>
                              <wps:spPr bwMode="auto">
                                <a:xfrm>
                                  <a:off x="15312" y="1499"/>
                                  <a:ext cx="816" cy="280"/>
                                </a:xfrm>
                                <a:prstGeom prst="rect">
                                  <a:avLst/>
                                </a:prstGeom>
                                <a:solidFill>
                                  <a:srgbClr val="CAC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718427" name="Freeform 63"/>
                              <wps:cNvSpPr>
                                <a:spLocks/>
                              </wps:cNvSpPr>
                              <wps:spPr bwMode="auto">
                                <a:xfrm>
                                  <a:off x="11905" y="1779"/>
                                  <a:ext cx="4224" cy="20"/>
                                </a:xfrm>
                                <a:custGeom>
                                  <a:avLst/>
                                  <a:gdLst>
                                    <a:gd name="T0" fmla="*/ 0 w 4224"/>
                                    <a:gd name="T1" fmla="*/ 0 h 20"/>
                                    <a:gd name="T2" fmla="*/ 4223 w 4224"/>
                                    <a:gd name="T3" fmla="*/ 0 h 20"/>
                                  </a:gdLst>
                                  <a:ahLst/>
                                  <a:cxnLst>
                                    <a:cxn ang="0">
                                      <a:pos x="T0" y="T1"/>
                                    </a:cxn>
                                    <a:cxn ang="0">
                                      <a:pos x="T2" y="T3"/>
                                    </a:cxn>
                                  </a:cxnLst>
                                  <a:rect l="0" t="0" r="r" b="b"/>
                                  <a:pathLst>
                                    <a:path w="4224" h="20">
                                      <a:moveTo>
                                        <a:pt x="0" y="0"/>
                                      </a:moveTo>
                                      <a:lnTo>
                                        <a:pt x="4223"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992708" name="Freeform 64"/>
                              <wps:cNvSpPr>
                                <a:spLocks/>
                              </wps:cNvSpPr>
                              <wps:spPr bwMode="auto">
                                <a:xfrm>
                                  <a:off x="11905" y="1764"/>
                                  <a:ext cx="4224" cy="20"/>
                                </a:xfrm>
                                <a:custGeom>
                                  <a:avLst/>
                                  <a:gdLst>
                                    <a:gd name="T0" fmla="*/ 0 w 4224"/>
                                    <a:gd name="T1" fmla="*/ 0 h 20"/>
                                    <a:gd name="T2" fmla="*/ 4223 w 4224"/>
                                    <a:gd name="T3" fmla="*/ 0 h 20"/>
                                  </a:gdLst>
                                  <a:ahLst/>
                                  <a:cxnLst>
                                    <a:cxn ang="0">
                                      <a:pos x="T0" y="T1"/>
                                    </a:cxn>
                                    <a:cxn ang="0">
                                      <a:pos x="T2" y="T3"/>
                                    </a:cxn>
                                  </a:cxnLst>
                                  <a:rect l="0" t="0" r="r" b="b"/>
                                  <a:pathLst>
                                    <a:path w="4224" h="20">
                                      <a:moveTo>
                                        <a:pt x="0" y="0"/>
                                      </a:moveTo>
                                      <a:lnTo>
                                        <a:pt x="4223" y="0"/>
                                      </a:lnTo>
                                    </a:path>
                                  </a:pathLst>
                                </a:custGeom>
                                <a:noFill/>
                                <a:ln w="6350">
                                  <a:solidFill>
                                    <a:srgbClr val="0041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414332" name="Freeform 65"/>
                              <wps:cNvSpPr>
                                <a:spLocks/>
                              </wps:cNvSpPr>
                              <wps:spPr bwMode="auto">
                                <a:xfrm>
                                  <a:off x="11905" y="1794"/>
                                  <a:ext cx="4224" cy="20"/>
                                </a:xfrm>
                                <a:custGeom>
                                  <a:avLst/>
                                  <a:gdLst>
                                    <a:gd name="T0" fmla="*/ 0 w 4224"/>
                                    <a:gd name="T1" fmla="*/ 0 h 20"/>
                                    <a:gd name="T2" fmla="*/ 4223 w 4224"/>
                                    <a:gd name="T3" fmla="*/ 0 h 20"/>
                                  </a:gdLst>
                                  <a:ahLst/>
                                  <a:cxnLst>
                                    <a:cxn ang="0">
                                      <a:pos x="T0" y="T1"/>
                                    </a:cxn>
                                    <a:cxn ang="0">
                                      <a:pos x="T2" y="T3"/>
                                    </a:cxn>
                                  </a:cxnLst>
                                  <a:rect l="0" t="0" r="r" b="b"/>
                                  <a:pathLst>
                                    <a:path w="4224" h="20">
                                      <a:moveTo>
                                        <a:pt x="0" y="0"/>
                                      </a:moveTo>
                                      <a:lnTo>
                                        <a:pt x="4223" y="0"/>
                                      </a:lnTo>
                                    </a:path>
                                  </a:pathLst>
                                </a:custGeom>
                                <a:noFill/>
                                <a:ln w="6350">
                                  <a:solidFill>
                                    <a:srgbClr val="0041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CF88C" id="Group 50" o:spid="_x0000_s1026" style="position:absolute;margin-left:594.25pt;margin-top:-12.25pt;width:213.2pt;height:102.2pt;z-index:-251575296;mso-position-horizontal-relative:page" coordorigin="11885,-245" coordsize="4264,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" o:allowincell="f">
                      <v:rect id="Rectangle 51" o:spid="_x0000_s1027" style="position:absolute;left:11905;top:-240;width:856;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" fillcolor="#cac7a6" stroked="f">
                        <v:path arrowok="t"/>
                      </v:rect>
                      <v:rect id="Rectangle 52" o:spid="_x0000_s1028" style="position:absolute;left:12761;top:-240;width:85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" fillcolor="#cac7a6" stroked="f">
                        <v:path arrowok="t"/>
                      </v:rect>
                      <v:shape id="Freeform 53" o:spid="_x0000_s1029" style="position:absolute;left:13611;top:-240;width:20;height:1679;visibility:visible;mso-wrap-style:square;v-text-anchor:top" coordsize="20,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" path="m,l,1680e" filled="f" strokecolor="#cac7a6" strokeweight=".03561mm">
                        <v:path arrowok="t" o:connecttype="custom" o:connectlocs="0,0;0,1680" o:connectangles="0,0"/>
                      </v:shape>
                      <v:rect id="Rectangle 54" o:spid="_x0000_s1030" style="position:absolute;left:13611;top:-240;width:85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" fillcolor="#cac7a6" stroked="f">
                        <v:path arrowok="t"/>
                      </v:rect>
                      <v:rect id="Rectangle 55" o:spid="_x0000_s1031" style="position:absolute;left:14462;top:-240;width:85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" fillcolor="#cac7a6" stroked="f">
                        <v:path arrowok="t"/>
                      </v:rect>
                      <v:rect id="Rectangle 56" o:spid="_x0000_s1032" style="position:absolute;left:15312;top:-240;width:816;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" fillcolor="#cac7a6" stroked="f">
                        <v:path arrowok="t"/>
                      </v:rect>
                      <v:rect id="Rectangle 57" o:spid="_x0000_s1033" style="position:absolute;left:11905;top:1499;width:85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" fillcolor="#cac7a6" stroked="f">
                        <v:path arrowok="t"/>
                      </v:rect>
                      <v:rect id="Rectangle 58" o:spid="_x0000_s1034" style="position:absolute;left:12761;top:1499;width:85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" fillcolor="#cac7a6" stroked="f">
                        <v:path arrowok="t"/>
                      </v:rect>
                      <v:shape id="Freeform 59" o:spid="_x0000_s1035" style="position:absolute;left:13611;top:1499;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" path="m,l,,,280,,xe" fillcolor="#cac7a6" stroked="f">
                        <v:path arrowok="t" o:connecttype="custom" o:connectlocs="0,0;0,0;0,280;0,280;0,0" o:connectangles="0,0,0,0,0"/>
                      </v:shape>
                      <v:rect id="Rectangle 60" o:spid="_x0000_s1036" style="position:absolute;left:13611;top:1499;width:85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" fillcolor="#cac7a6" stroked="f">
                        <v:path arrowok="t"/>
                      </v:rect>
                      <v:rect id="Rectangle 61" o:spid="_x0000_s1037" style="position:absolute;left:14462;top:1499;width:85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" fillcolor="#cac7a6" stroked="f">
                        <v:path arrowok="t"/>
                      </v:rect>
                      <v:rect id="Rectangle 62" o:spid="_x0000_s1038" style="position:absolute;left:15312;top:1499;width:81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" fillcolor="#cac7a6" stroked="f">
                        <v:path arrowok="t"/>
                      </v:rect>
                      <v:shape id="Freeform 63" o:spid="_x0000_s1039" style="position:absolute;left:11905;top:1779;width:4224;height: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" path="m,l4223,e" filled="f" strokecolor="white" strokeweight="2pt">
                        <v:path arrowok="t" o:connecttype="custom" o:connectlocs="0,0;4223,0" o:connectangles="0,0"/>
                      </v:shape>
                      <v:shape id="Freeform 64" o:spid="_x0000_s1040" style="position:absolute;left:11905;top:1764;width:4224;height: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" path="m,l4223,e" filled="f" strokecolor="#004133" strokeweight=".5pt">
                        <v:path arrowok="t" o:connecttype="custom" o:connectlocs="0,0;4223,0" o:connectangles="0,0"/>
                      </v:shape>
                      <v:shape id="Freeform 65" o:spid="_x0000_s1041" style="position:absolute;left:11905;top:1794;width:4224;height: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" path="m,l4223,e" filled="f" strokecolor="#004133" strokeweight=".5pt">
                        <v:path arrowok="t" o:connecttype="custom" o:connectlocs="0,0;4223,0" o:connectangles="0,0"/>
                      </v:shape>
                      <w10:wrap anchorx="page"/>
                    </v:group>
                  </w:pict>
                </mc:Fallback>
              </mc:AlternateContent>
            </w:r>
            <w:r w:rsidR="00533EA1" w:rsidRPr="00FC5D3A">
              <w:t>Additions</w:t>
            </w:r>
          </w:p>
        </w:tc>
        <w:tc>
          <w:tcPr>
            <w:tcW w:w="1266" w:type="dxa"/>
            <w:shd w:val="clear" w:color="auto" w:fill="F5EDC1" w:themeFill="accent4"/>
          </w:tcPr>
          <w:p w14:paraId="34FED63F" w14:textId="263115D3" w:rsidR="00533EA1" w:rsidRPr="00FC5D3A" w:rsidRDefault="00533EA1" w:rsidP="00FC5D3A">
            <w:pPr>
              <w:jc w:val="right"/>
            </w:pPr>
            <w:r w:rsidRPr="00FC5D3A">
              <w:rPr>
                <w:w w:val="90"/>
              </w:rPr>
              <w:t>-</w:t>
            </w:r>
          </w:p>
        </w:tc>
        <w:tc>
          <w:tcPr>
            <w:tcW w:w="1411" w:type="dxa"/>
            <w:shd w:val="clear" w:color="auto" w:fill="F5EDC1" w:themeFill="accent4"/>
          </w:tcPr>
          <w:p w14:paraId="2F6DFD30" w14:textId="76F6D7A2" w:rsidR="00533EA1" w:rsidRPr="00FC5D3A" w:rsidRDefault="00FC5D3A" w:rsidP="00FC5D3A">
            <w:pPr>
              <w:jc w:val="right"/>
            </w:pPr>
            <w:r w:rsidRPr="00FC5D3A">
              <w:t>243</w:t>
            </w:r>
          </w:p>
        </w:tc>
        <w:tc>
          <w:tcPr>
            <w:tcW w:w="1272" w:type="dxa"/>
            <w:shd w:val="clear" w:color="auto" w:fill="F5EDC1" w:themeFill="accent4"/>
          </w:tcPr>
          <w:p w14:paraId="2996ED29" w14:textId="74EBAD6E" w:rsidR="00533EA1" w:rsidRPr="00FC5D3A" w:rsidRDefault="00533EA1" w:rsidP="00FC5D3A">
            <w:pPr>
              <w:jc w:val="right"/>
            </w:pPr>
            <w:r w:rsidRPr="00FC5D3A">
              <w:t>22</w:t>
            </w:r>
          </w:p>
        </w:tc>
        <w:tc>
          <w:tcPr>
            <w:tcW w:w="1337" w:type="dxa"/>
            <w:shd w:val="clear" w:color="auto" w:fill="F5EDC1" w:themeFill="accent4"/>
          </w:tcPr>
          <w:p w14:paraId="1E1505C1" w14:textId="10694A14" w:rsidR="00533EA1" w:rsidRPr="00FC5D3A" w:rsidRDefault="00533EA1" w:rsidP="00FC5D3A">
            <w:pPr>
              <w:jc w:val="right"/>
            </w:pPr>
            <w:r w:rsidRPr="00FC5D3A">
              <w:t xml:space="preserve">330 </w:t>
            </w:r>
          </w:p>
        </w:tc>
        <w:tc>
          <w:tcPr>
            <w:tcW w:w="1052" w:type="dxa"/>
            <w:shd w:val="clear" w:color="auto" w:fill="F5EDC1" w:themeFill="accent4"/>
          </w:tcPr>
          <w:p w14:paraId="278A7802" w14:textId="324B9125" w:rsidR="00533EA1" w:rsidRPr="00FC5D3A" w:rsidRDefault="00533EA1" w:rsidP="00FC5D3A">
            <w:pPr>
              <w:jc w:val="right"/>
            </w:pPr>
            <w:r w:rsidRPr="00FC5D3A">
              <w:t>595</w:t>
            </w:r>
          </w:p>
        </w:tc>
      </w:tr>
      <w:tr w:rsidR="00533EA1" w14:paraId="7486E7AF" w14:textId="77777777" w:rsidTr="00973F8A">
        <w:tc>
          <w:tcPr>
            <w:tcW w:w="2904" w:type="dxa"/>
          </w:tcPr>
          <w:p w14:paraId="2F8A619C" w14:textId="180C14E8" w:rsidR="00533EA1" w:rsidRPr="00FC5D3A" w:rsidRDefault="00533EA1" w:rsidP="00FC5D3A">
            <w:r w:rsidRPr="00FC5D3A">
              <w:t xml:space="preserve">Transfers </w:t>
            </w:r>
            <w:r w:rsidRPr="00973F8A">
              <w:rPr>
                <w:vertAlign w:val="superscript"/>
              </w:rPr>
              <w:t>(a)</w:t>
            </w:r>
          </w:p>
        </w:tc>
        <w:tc>
          <w:tcPr>
            <w:tcW w:w="1266" w:type="dxa"/>
            <w:shd w:val="clear" w:color="auto" w:fill="F5EDC1" w:themeFill="accent4"/>
          </w:tcPr>
          <w:p w14:paraId="6ACF6A9F" w14:textId="228AC14E" w:rsidR="00533EA1" w:rsidRPr="00FC5D3A" w:rsidRDefault="00533EA1" w:rsidP="00FC5D3A">
            <w:pPr>
              <w:jc w:val="right"/>
            </w:pPr>
            <w:r w:rsidRPr="00FC5D3A">
              <w:rPr>
                <w:w w:val="90"/>
              </w:rPr>
              <w:t>-</w:t>
            </w:r>
          </w:p>
        </w:tc>
        <w:tc>
          <w:tcPr>
            <w:tcW w:w="1411" w:type="dxa"/>
            <w:shd w:val="clear" w:color="auto" w:fill="F5EDC1" w:themeFill="accent4"/>
          </w:tcPr>
          <w:p w14:paraId="323A4482" w14:textId="7D3E61E6" w:rsidR="00533EA1" w:rsidRPr="00FC5D3A" w:rsidRDefault="002D5C3B" w:rsidP="00FC5D3A">
            <w:pPr>
              <w:jc w:val="right"/>
            </w:pPr>
            <w:r>
              <w:t>-</w:t>
            </w:r>
          </w:p>
        </w:tc>
        <w:tc>
          <w:tcPr>
            <w:tcW w:w="1272" w:type="dxa"/>
            <w:shd w:val="clear" w:color="auto" w:fill="F5EDC1" w:themeFill="accent4"/>
          </w:tcPr>
          <w:p w14:paraId="0062F48A" w14:textId="5D3EA59F" w:rsidR="00533EA1" w:rsidRPr="00FC5D3A" w:rsidRDefault="002D5C3B" w:rsidP="00FC5D3A">
            <w:pPr>
              <w:jc w:val="right"/>
            </w:pPr>
            <w:r>
              <w:t>-</w:t>
            </w:r>
          </w:p>
        </w:tc>
        <w:tc>
          <w:tcPr>
            <w:tcW w:w="1337" w:type="dxa"/>
            <w:shd w:val="clear" w:color="auto" w:fill="F5EDC1" w:themeFill="accent4"/>
          </w:tcPr>
          <w:p w14:paraId="6F4C0648" w14:textId="4764A259" w:rsidR="00533EA1" w:rsidRPr="00FC5D3A" w:rsidRDefault="002D5C3B" w:rsidP="00FC5D3A">
            <w:pPr>
              <w:jc w:val="right"/>
            </w:pPr>
            <w:r>
              <w:t>-</w:t>
            </w:r>
          </w:p>
        </w:tc>
        <w:tc>
          <w:tcPr>
            <w:tcW w:w="1052" w:type="dxa"/>
            <w:shd w:val="clear" w:color="auto" w:fill="F5EDC1" w:themeFill="accent4"/>
          </w:tcPr>
          <w:p w14:paraId="5299E22E" w14:textId="7AB50526" w:rsidR="00533EA1" w:rsidRPr="00FC5D3A" w:rsidRDefault="002D5C3B" w:rsidP="00FC5D3A">
            <w:pPr>
              <w:jc w:val="right"/>
            </w:pPr>
            <w:r>
              <w:t>-</w:t>
            </w:r>
          </w:p>
        </w:tc>
      </w:tr>
      <w:tr w:rsidR="00533EA1" w14:paraId="2252BDCF" w14:textId="77777777" w:rsidTr="00973F8A">
        <w:tc>
          <w:tcPr>
            <w:tcW w:w="2904" w:type="dxa"/>
          </w:tcPr>
          <w:p w14:paraId="767310C5" w14:textId="40268994" w:rsidR="00533EA1" w:rsidRPr="00FC5D3A" w:rsidRDefault="00533EA1" w:rsidP="00FC5D3A">
            <w:r w:rsidRPr="00FC5D3A">
              <w:t>Dis</w:t>
            </w:r>
            <w:r w:rsidRPr="00FC5D3A">
              <w:rPr>
                <w:rFonts w:eastAsiaTheme="minorHAnsi"/>
              </w:rPr>
              <w:t>posals</w:t>
            </w:r>
          </w:p>
        </w:tc>
        <w:tc>
          <w:tcPr>
            <w:tcW w:w="1266" w:type="dxa"/>
            <w:shd w:val="clear" w:color="auto" w:fill="F5EDC1" w:themeFill="accent4"/>
          </w:tcPr>
          <w:p w14:paraId="37573A7F" w14:textId="2178CE1B" w:rsidR="00533EA1" w:rsidRPr="00FC5D3A" w:rsidRDefault="00533EA1" w:rsidP="00FC5D3A">
            <w:pPr>
              <w:jc w:val="right"/>
            </w:pPr>
            <w:r w:rsidRPr="00FC5D3A">
              <w:rPr>
                <w:w w:val="90"/>
              </w:rPr>
              <w:t>-</w:t>
            </w:r>
          </w:p>
        </w:tc>
        <w:tc>
          <w:tcPr>
            <w:tcW w:w="1411" w:type="dxa"/>
            <w:shd w:val="clear" w:color="auto" w:fill="F5EDC1" w:themeFill="accent4"/>
          </w:tcPr>
          <w:p w14:paraId="286BE764" w14:textId="3287A565" w:rsidR="00533EA1" w:rsidRPr="00FC5D3A" w:rsidRDefault="00533EA1" w:rsidP="00FC5D3A">
            <w:pPr>
              <w:jc w:val="right"/>
            </w:pPr>
            <w:r w:rsidRPr="00FC5D3A">
              <w:rPr>
                <w:w w:val="90"/>
              </w:rPr>
              <w:t>-</w:t>
            </w:r>
          </w:p>
        </w:tc>
        <w:tc>
          <w:tcPr>
            <w:tcW w:w="1272" w:type="dxa"/>
            <w:shd w:val="clear" w:color="auto" w:fill="F5EDC1" w:themeFill="accent4"/>
          </w:tcPr>
          <w:p w14:paraId="4E98A538" w14:textId="18E0E764" w:rsidR="00533EA1" w:rsidRPr="00FC5D3A" w:rsidRDefault="00533EA1" w:rsidP="00FC5D3A">
            <w:pPr>
              <w:jc w:val="right"/>
            </w:pPr>
            <w:r w:rsidRPr="00FC5D3A">
              <w:rPr>
                <w:w w:val="90"/>
              </w:rPr>
              <w:t>-</w:t>
            </w:r>
          </w:p>
        </w:tc>
        <w:tc>
          <w:tcPr>
            <w:tcW w:w="1337" w:type="dxa"/>
            <w:shd w:val="clear" w:color="auto" w:fill="F5EDC1" w:themeFill="accent4"/>
          </w:tcPr>
          <w:p w14:paraId="51073088" w14:textId="071996B0" w:rsidR="00533EA1" w:rsidRPr="00FC5D3A" w:rsidRDefault="00533EA1" w:rsidP="00FC5D3A">
            <w:pPr>
              <w:jc w:val="right"/>
            </w:pPr>
            <w:r w:rsidRPr="00FC5D3A">
              <w:t>(75)</w:t>
            </w:r>
          </w:p>
        </w:tc>
        <w:tc>
          <w:tcPr>
            <w:tcW w:w="1052" w:type="dxa"/>
            <w:shd w:val="clear" w:color="auto" w:fill="F5EDC1" w:themeFill="accent4"/>
          </w:tcPr>
          <w:p w14:paraId="1BDDAD6C" w14:textId="7BB6899E" w:rsidR="00533EA1" w:rsidRPr="00FC5D3A" w:rsidRDefault="00533EA1" w:rsidP="00FC5D3A">
            <w:pPr>
              <w:jc w:val="right"/>
            </w:pPr>
            <w:r w:rsidRPr="00FC5D3A">
              <w:t>(75)</w:t>
            </w:r>
          </w:p>
        </w:tc>
      </w:tr>
      <w:tr w:rsidR="00533EA1" w14:paraId="695DA72E" w14:textId="77777777" w:rsidTr="00973F8A">
        <w:tc>
          <w:tcPr>
            <w:tcW w:w="2904" w:type="dxa"/>
          </w:tcPr>
          <w:p w14:paraId="5B48832B" w14:textId="190B1BC9" w:rsidR="00533EA1" w:rsidRPr="00FC5D3A" w:rsidRDefault="00B7602C" w:rsidP="00FC5D3A">
            <w:r>
              <w:t>Revaluation i</w:t>
            </w:r>
            <w:r w:rsidR="00533EA1" w:rsidRPr="00FC5D3A">
              <w:t>ncrements / (decrements)</w:t>
            </w:r>
          </w:p>
        </w:tc>
        <w:tc>
          <w:tcPr>
            <w:tcW w:w="1266" w:type="dxa"/>
            <w:shd w:val="clear" w:color="auto" w:fill="F5EDC1" w:themeFill="accent4"/>
          </w:tcPr>
          <w:p w14:paraId="07DCE1B7" w14:textId="0502F67A" w:rsidR="00533EA1" w:rsidRPr="00FC5D3A" w:rsidRDefault="00533EA1" w:rsidP="00FC5D3A">
            <w:pPr>
              <w:jc w:val="right"/>
            </w:pPr>
            <w:r w:rsidRPr="00FC5D3A">
              <w:t>(300)</w:t>
            </w:r>
          </w:p>
        </w:tc>
        <w:tc>
          <w:tcPr>
            <w:tcW w:w="1411" w:type="dxa"/>
            <w:shd w:val="clear" w:color="auto" w:fill="F5EDC1" w:themeFill="accent4"/>
          </w:tcPr>
          <w:p w14:paraId="3FCBDBD5" w14:textId="5DB64D95" w:rsidR="00533EA1" w:rsidRPr="00FC5D3A" w:rsidRDefault="00533EA1" w:rsidP="00FC5D3A">
            <w:pPr>
              <w:jc w:val="right"/>
            </w:pPr>
            <w:r w:rsidRPr="00FC5D3A">
              <w:t>(2,365)</w:t>
            </w:r>
          </w:p>
        </w:tc>
        <w:tc>
          <w:tcPr>
            <w:tcW w:w="1272" w:type="dxa"/>
            <w:shd w:val="clear" w:color="auto" w:fill="F5EDC1" w:themeFill="accent4"/>
          </w:tcPr>
          <w:p w14:paraId="0ABD569F" w14:textId="35CB2DDD" w:rsidR="00533EA1" w:rsidRPr="00FC5D3A" w:rsidRDefault="00533EA1" w:rsidP="00FC5D3A">
            <w:pPr>
              <w:jc w:val="right"/>
            </w:pPr>
            <w:r w:rsidRPr="00FC5D3A">
              <w:rPr>
                <w:w w:val="90"/>
              </w:rPr>
              <w:t>-</w:t>
            </w:r>
          </w:p>
        </w:tc>
        <w:tc>
          <w:tcPr>
            <w:tcW w:w="1337" w:type="dxa"/>
            <w:shd w:val="clear" w:color="auto" w:fill="F5EDC1" w:themeFill="accent4"/>
          </w:tcPr>
          <w:p w14:paraId="1CB0B5E1" w14:textId="4EAB3DDE" w:rsidR="00533EA1" w:rsidRPr="00FC5D3A" w:rsidRDefault="00533EA1" w:rsidP="00FC5D3A">
            <w:pPr>
              <w:jc w:val="right"/>
            </w:pPr>
            <w:r w:rsidRPr="00FC5D3A">
              <w:rPr>
                <w:w w:val="90"/>
              </w:rPr>
              <w:t>-</w:t>
            </w:r>
          </w:p>
        </w:tc>
        <w:tc>
          <w:tcPr>
            <w:tcW w:w="1052" w:type="dxa"/>
            <w:shd w:val="clear" w:color="auto" w:fill="F5EDC1" w:themeFill="accent4"/>
          </w:tcPr>
          <w:p w14:paraId="423E4158" w14:textId="1A714B89" w:rsidR="00533EA1" w:rsidRPr="00FC5D3A" w:rsidRDefault="00533EA1" w:rsidP="00FC5D3A">
            <w:pPr>
              <w:jc w:val="right"/>
            </w:pPr>
            <w:r w:rsidRPr="00FC5D3A">
              <w:t>(2,665)</w:t>
            </w:r>
          </w:p>
        </w:tc>
      </w:tr>
      <w:tr w:rsidR="00533EA1" w14:paraId="2CD28147" w14:textId="77777777" w:rsidTr="00973F8A">
        <w:tc>
          <w:tcPr>
            <w:tcW w:w="2904" w:type="dxa"/>
          </w:tcPr>
          <w:p w14:paraId="1411AC00" w14:textId="076B911A" w:rsidR="00533EA1" w:rsidRPr="00FC5D3A" w:rsidRDefault="00533EA1" w:rsidP="00FC5D3A">
            <w:r w:rsidRPr="00FC5D3A">
              <w:t>Depreciation</w:t>
            </w:r>
          </w:p>
        </w:tc>
        <w:tc>
          <w:tcPr>
            <w:tcW w:w="1266" w:type="dxa"/>
            <w:shd w:val="clear" w:color="auto" w:fill="F5EDC1" w:themeFill="accent4"/>
          </w:tcPr>
          <w:p w14:paraId="05004728" w14:textId="44AA4D1D" w:rsidR="00533EA1" w:rsidRPr="00FC5D3A" w:rsidRDefault="00533EA1" w:rsidP="00FC5D3A">
            <w:pPr>
              <w:jc w:val="right"/>
            </w:pPr>
            <w:r w:rsidRPr="00FC5D3A">
              <w:rPr>
                <w:w w:val="90"/>
              </w:rPr>
              <w:t>-</w:t>
            </w:r>
          </w:p>
        </w:tc>
        <w:tc>
          <w:tcPr>
            <w:tcW w:w="1411" w:type="dxa"/>
            <w:shd w:val="clear" w:color="auto" w:fill="F5EDC1" w:themeFill="accent4"/>
          </w:tcPr>
          <w:p w14:paraId="76B6841F" w14:textId="545D33FD" w:rsidR="00533EA1" w:rsidRPr="00FC5D3A" w:rsidRDefault="00533EA1" w:rsidP="00FC5D3A">
            <w:pPr>
              <w:jc w:val="right"/>
            </w:pPr>
            <w:r w:rsidRPr="00FC5D3A">
              <w:t>(378)</w:t>
            </w:r>
          </w:p>
        </w:tc>
        <w:tc>
          <w:tcPr>
            <w:tcW w:w="1272" w:type="dxa"/>
            <w:shd w:val="clear" w:color="auto" w:fill="F5EDC1" w:themeFill="accent4"/>
          </w:tcPr>
          <w:p w14:paraId="52F79B1D" w14:textId="16A064AD" w:rsidR="00533EA1" w:rsidRPr="00FC5D3A" w:rsidRDefault="00533EA1" w:rsidP="00FC5D3A">
            <w:pPr>
              <w:jc w:val="right"/>
            </w:pPr>
            <w:r w:rsidRPr="00FC5D3A">
              <w:rPr>
                <w:w w:val="90"/>
              </w:rPr>
              <w:t>-</w:t>
            </w:r>
          </w:p>
        </w:tc>
        <w:tc>
          <w:tcPr>
            <w:tcW w:w="1337" w:type="dxa"/>
            <w:shd w:val="clear" w:color="auto" w:fill="F5EDC1" w:themeFill="accent4"/>
          </w:tcPr>
          <w:p w14:paraId="00067923" w14:textId="22430CAD" w:rsidR="00533EA1" w:rsidRPr="00FC5D3A" w:rsidRDefault="00533EA1" w:rsidP="00FC5D3A">
            <w:pPr>
              <w:jc w:val="right"/>
            </w:pPr>
            <w:r w:rsidRPr="00FC5D3A">
              <w:t>(222)</w:t>
            </w:r>
          </w:p>
        </w:tc>
        <w:tc>
          <w:tcPr>
            <w:tcW w:w="1052" w:type="dxa"/>
            <w:shd w:val="clear" w:color="auto" w:fill="F5EDC1" w:themeFill="accent4"/>
          </w:tcPr>
          <w:p w14:paraId="1361DFC7" w14:textId="014A1BCC" w:rsidR="00533EA1" w:rsidRPr="00FC5D3A" w:rsidRDefault="00533EA1" w:rsidP="00FC5D3A">
            <w:pPr>
              <w:jc w:val="right"/>
            </w:pPr>
            <w:r w:rsidRPr="00FC5D3A">
              <w:t>(600)</w:t>
            </w:r>
          </w:p>
        </w:tc>
      </w:tr>
      <w:tr w:rsidR="00533EA1" w14:paraId="2DE26953" w14:textId="77777777" w:rsidTr="00973F8A">
        <w:tc>
          <w:tcPr>
            <w:tcW w:w="2904" w:type="dxa"/>
          </w:tcPr>
          <w:p w14:paraId="5010293C" w14:textId="558DCCA1" w:rsidR="00533EA1" w:rsidRPr="00973F8A" w:rsidRDefault="00973F8A" w:rsidP="00FC5D3A">
            <w:pPr>
              <w:rPr>
                <w:b/>
              </w:rPr>
            </w:pPr>
            <w:r w:rsidRPr="00973F8A">
              <w:rPr>
                <w:b/>
              </w:rPr>
              <w:t>Carrying amount at end of period</w:t>
            </w:r>
          </w:p>
        </w:tc>
        <w:tc>
          <w:tcPr>
            <w:tcW w:w="1266" w:type="dxa"/>
            <w:tcBorders>
              <w:bottom w:val="single" w:sz="4" w:space="0" w:color="auto"/>
            </w:tcBorders>
            <w:shd w:val="clear" w:color="auto" w:fill="F5EDC1" w:themeFill="accent4"/>
          </w:tcPr>
          <w:p w14:paraId="170AB37F" w14:textId="3BF03161" w:rsidR="00533EA1" w:rsidRPr="00973F8A" w:rsidRDefault="00973F8A" w:rsidP="00FC5D3A">
            <w:pPr>
              <w:jc w:val="right"/>
              <w:rPr>
                <w:b/>
              </w:rPr>
            </w:pPr>
            <w:r w:rsidRPr="00973F8A">
              <w:rPr>
                <w:b/>
              </w:rPr>
              <w:t>15,400</w:t>
            </w:r>
          </w:p>
        </w:tc>
        <w:tc>
          <w:tcPr>
            <w:tcW w:w="1411" w:type="dxa"/>
            <w:tcBorders>
              <w:bottom w:val="single" w:sz="4" w:space="0" w:color="auto"/>
            </w:tcBorders>
            <w:shd w:val="clear" w:color="auto" w:fill="F5EDC1" w:themeFill="accent4"/>
          </w:tcPr>
          <w:p w14:paraId="1094DAAB" w14:textId="08A31781" w:rsidR="00533EA1" w:rsidRPr="00973F8A" w:rsidRDefault="00973F8A" w:rsidP="00FC5D3A">
            <w:pPr>
              <w:jc w:val="right"/>
              <w:rPr>
                <w:b/>
              </w:rPr>
            </w:pPr>
            <w:r w:rsidRPr="00973F8A">
              <w:rPr>
                <w:b/>
              </w:rPr>
              <w:t>3,600</w:t>
            </w:r>
          </w:p>
        </w:tc>
        <w:tc>
          <w:tcPr>
            <w:tcW w:w="1272" w:type="dxa"/>
            <w:tcBorders>
              <w:bottom w:val="single" w:sz="4" w:space="0" w:color="auto"/>
            </w:tcBorders>
            <w:shd w:val="clear" w:color="auto" w:fill="F5EDC1" w:themeFill="accent4"/>
          </w:tcPr>
          <w:p w14:paraId="39958932" w14:textId="73C96B5A" w:rsidR="00533EA1" w:rsidRPr="00973F8A" w:rsidRDefault="00973F8A" w:rsidP="00FC5D3A">
            <w:pPr>
              <w:jc w:val="right"/>
              <w:rPr>
                <w:b/>
              </w:rPr>
            </w:pPr>
            <w:r w:rsidRPr="00973F8A">
              <w:rPr>
                <w:b/>
              </w:rPr>
              <w:t>22</w:t>
            </w:r>
          </w:p>
        </w:tc>
        <w:tc>
          <w:tcPr>
            <w:tcW w:w="1337" w:type="dxa"/>
            <w:tcBorders>
              <w:bottom w:val="single" w:sz="4" w:space="0" w:color="auto"/>
            </w:tcBorders>
            <w:shd w:val="clear" w:color="auto" w:fill="F5EDC1" w:themeFill="accent4"/>
          </w:tcPr>
          <w:p w14:paraId="38BD0A0C" w14:textId="11286471" w:rsidR="00533EA1" w:rsidRPr="00973F8A" w:rsidRDefault="00973F8A" w:rsidP="00FC5D3A">
            <w:pPr>
              <w:jc w:val="right"/>
              <w:rPr>
                <w:b/>
              </w:rPr>
            </w:pPr>
            <w:r w:rsidRPr="00973F8A">
              <w:rPr>
                <w:b/>
              </w:rPr>
              <w:t>1,739</w:t>
            </w:r>
          </w:p>
        </w:tc>
        <w:tc>
          <w:tcPr>
            <w:tcW w:w="1052" w:type="dxa"/>
            <w:tcBorders>
              <w:bottom w:val="single" w:sz="4" w:space="0" w:color="auto"/>
            </w:tcBorders>
            <w:shd w:val="clear" w:color="auto" w:fill="F5EDC1" w:themeFill="accent4"/>
          </w:tcPr>
          <w:p w14:paraId="473741C1" w14:textId="55A2098F" w:rsidR="00533EA1" w:rsidRPr="00973F8A" w:rsidRDefault="00973F8A" w:rsidP="00FC5D3A">
            <w:pPr>
              <w:jc w:val="right"/>
              <w:rPr>
                <w:b/>
              </w:rPr>
            </w:pPr>
            <w:r w:rsidRPr="00973F8A">
              <w:rPr>
                <w:b/>
              </w:rPr>
              <w:t>20,761</w:t>
            </w:r>
          </w:p>
        </w:tc>
      </w:tr>
    </w:tbl>
    <w:p w14:paraId="7087D966" w14:textId="77777777" w:rsidR="00B17E69" w:rsidRDefault="00B17E69" w:rsidP="00F576B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1104"/>
        <w:gridCol w:w="1359"/>
        <w:gridCol w:w="1264"/>
        <w:gridCol w:w="1430"/>
        <w:gridCol w:w="997"/>
      </w:tblGrid>
      <w:tr w:rsidR="00FC5D3A" w:rsidRPr="00FC5D3A" w14:paraId="3CC6C970" w14:textId="77777777" w:rsidTr="00973F8A">
        <w:tc>
          <w:tcPr>
            <w:tcW w:w="2840" w:type="dxa"/>
          </w:tcPr>
          <w:p w14:paraId="79C3CF2D" w14:textId="77777777" w:rsidR="00FC5D3A" w:rsidRPr="00FC5D3A" w:rsidRDefault="00FC5D3A" w:rsidP="000B4E3E">
            <w:pPr>
              <w:rPr>
                <w:w w:val="90"/>
              </w:rPr>
            </w:pPr>
          </w:p>
        </w:tc>
        <w:tc>
          <w:tcPr>
            <w:tcW w:w="1252" w:type="dxa"/>
          </w:tcPr>
          <w:p w14:paraId="67EFEB2E" w14:textId="77777777" w:rsidR="00FC5D3A" w:rsidRPr="00FC5D3A" w:rsidRDefault="00FC5D3A" w:rsidP="000B4E3E">
            <w:pPr>
              <w:jc w:val="right"/>
              <w:rPr>
                <w:b/>
                <w:w w:val="90"/>
              </w:rPr>
            </w:pPr>
            <w:r w:rsidRPr="00FC5D3A">
              <w:rPr>
                <w:b/>
              </w:rPr>
              <w:t>Land</w:t>
            </w:r>
          </w:p>
        </w:tc>
        <w:tc>
          <w:tcPr>
            <w:tcW w:w="1407" w:type="dxa"/>
          </w:tcPr>
          <w:p w14:paraId="7A1E2AE2" w14:textId="77777777" w:rsidR="00FC5D3A" w:rsidRPr="00FC5D3A" w:rsidRDefault="00FC5D3A" w:rsidP="000B4E3E">
            <w:pPr>
              <w:jc w:val="right"/>
              <w:rPr>
                <w:b/>
                <w:w w:val="90"/>
              </w:rPr>
            </w:pPr>
            <w:r w:rsidRPr="00FC5D3A">
              <w:rPr>
                <w:b/>
              </w:rPr>
              <w:t>Buildings</w:t>
            </w:r>
          </w:p>
        </w:tc>
        <w:tc>
          <w:tcPr>
            <w:tcW w:w="1271" w:type="dxa"/>
          </w:tcPr>
          <w:p w14:paraId="726024DF" w14:textId="77777777" w:rsidR="00FC5D3A" w:rsidRPr="00FC5D3A" w:rsidRDefault="00FC5D3A" w:rsidP="000B4E3E">
            <w:pPr>
              <w:jc w:val="right"/>
              <w:rPr>
                <w:b/>
                <w:w w:val="90"/>
              </w:rPr>
            </w:pPr>
            <w:r w:rsidRPr="00FC5D3A">
              <w:rPr>
                <w:b/>
              </w:rPr>
              <w:t>Work in</w:t>
            </w:r>
            <w:r w:rsidRPr="00FC5D3A">
              <w:rPr>
                <w:b/>
                <w:w w:val="90"/>
              </w:rPr>
              <w:t xml:space="preserve"> </w:t>
            </w:r>
            <w:r w:rsidRPr="00FC5D3A">
              <w:rPr>
                <w:b/>
              </w:rPr>
              <w:t>Progress</w:t>
            </w:r>
          </w:p>
        </w:tc>
        <w:tc>
          <w:tcPr>
            <w:tcW w:w="1430" w:type="dxa"/>
          </w:tcPr>
          <w:p w14:paraId="6D737A1E" w14:textId="77777777" w:rsidR="00FC5D3A" w:rsidRPr="00FC5D3A" w:rsidRDefault="00FC5D3A" w:rsidP="000B4E3E">
            <w:pPr>
              <w:jc w:val="right"/>
              <w:rPr>
                <w:b/>
                <w:w w:val="90"/>
              </w:rPr>
            </w:pPr>
            <w:r w:rsidRPr="00FC5D3A">
              <w:rPr>
                <w:b/>
              </w:rPr>
              <w:t>Plant,</w:t>
            </w:r>
            <w:r w:rsidRPr="00FC5D3A">
              <w:rPr>
                <w:b/>
                <w:w w:val="90"/>
              </w:rPr>
              <w:t xml:space="preserve"> </w:t>
            </w:r>
            <w:r w:rsidRPr="00FC5D3A">
              <w:rPr>
                <w:b/>
              </w:rPr>
              <w:t>equipment and vehicles</w:t>
            </w:r>
          </w:p>
        </w:tc>
        <w:tc>
          <w:tcPr>
            <w:tcW w:w="1042" w:type="dxa"/>
          </w:tcPr>
          <w:p w14:paraId="0220BB87" w14:textId="77777777" w:rsidR="00FC5D3A" w:rsidRPr="00FC5D3A" w:rsidRDefault="00FC5D3A" w:rsidP="000B4E3E">
            <w:pPr>
              <w:jc w:val="right"/>
              <w:rPr>
                <w:b/>
                <w:w w:val="90"/>
              </w:rPr>
            </w:pPr>
            <w:r w:rsidRPr="00FC5D3A">
              <w:rPr>
                <w:b/>
              </w:rPr>
              <w:t>Total</w:t>
            </w:r>
          </w:p>
        </w:tc>
      </w:tr>
      <w:tr w:rsidR="00FC5D3A" w:rsidRPr="00FC5D3A" w14:paraId="02587914" w14:textId="77777777" w:rsidTr="00973F8A">
        <w:tc>
          <w:tcPr>
            <w:tcW w:w="2840" w:type="dxa"/>
          </w:tcPr>
          <w:p w14:paraId="312AABA7" w14:textId="77777777" w:rsidR="00FC5D3A" w:rsidRPr="00FC5D3A" w:rsidRDefault="00FC5D3A" w:rsidP="000B4E3E">
            <w:pPr>
              <w:rPr>
                <w:w w:val="90"/>
              </w:rPr>
            </w:pPr>
          </w:p>
        </w:tc>
        <w:tc>
          <w:tcPr>
            <w:tcW w:w="1252" w:type="dxa"/>
          </w:tcPr>
          <w:p w14:paraId="4D07E79B" w14:textId="77777777" w:rsidR="00FC5D3A" w:rsidRPr="00FC5D3A" w:rsidRDefault="00FC5D3A" w:rsidP="000B4E3E">
            <w:pPr>
              <w:jc w:val="right"/>
              <w:rPr>
                <w:b/>
              </w:rPr>
            </w:pPr>
            <w:r w:rsidRPr="00FC5D3A">
              <w:rPr>
                <w:b/>
              </w:rPr>
              <w:t>$000</w:t>
            </w:r>
          </w:p>
        </w:tc>
        <w:tc>
          <w:tcPr>
            <w:tcW w:w="1407" w:type="dxa"/>
          </w:tcPr>
          <w:p w14:paraId="434CF927" w14:textId="77777777" w:rsidR="00FC5D3A" w:rsidRPr="00FC5D3A" w:rsidRDefault="00FC5D3A" w:rsidP="000B4E3E">
            <w:pPr>
              <w:jc w:val="right"/>
              <w:rPr>
                <w:b/>
              </w:rPr>
            </w:pPr>
            <w:r w:rsidRPr="00FC5D3A">
              <w:rPr>
                <w:b/>
              </w:rPr>
              <w:t>$000</w:t>
            </w:r>
          </w:p>
        </w:tc>
        <w:tc>
          <w:tcPr>
            <w:tcW w:w="1271" w:type="dxa"/>
          </w:tcPr>
          <w:p w14:paraId="7AFF30D2" w14:textId="77777777" w:rsidR="00FC5D3A" w:rsidRPr="00FC5D3A" w:rsidRDefault="00FC5D3A" w:rsidP="000B4E3E">
            <w:pPr>
              <w:jc w:val="right"/>
              <w:rPr>
                <w:b/>
              </w:rPr>
            </w:pPr>
            <w:r w:rsidRPr="00FC5D3A">
              <w:rPr>
                <w:b/>
              </w:rPr>
              <w:t>$000</w:t>
            </w:r>
          </w:p>
        </w:tc>
        <w:tc>
          <w:tcPr>
            <w:tcW w:w="1430" w:type="dxa"/>
          </w:tcPr>
          <w:p w14:paraId="2B00D875" w14:textId="77777777" w:rsidR="00FC5D3A" w:rsidRPr="00FC5D3A" w:rsidRDefault="00FC5D3A" w:rsidP="000B4E3E">
            <w:pPr>
              <w:jc w:val="right"/>
              <w:rPr>
                <w:b/>
              </w:rPr>
            </w:pPr>
            <w:r w:rsidRPr="00FC5D3A">
              <w:rPr>
                <w:b/>
              </w:rPr>
              <w:t>$000</w:t>
            </w:r>
          </w:p>
        </w:tc>
        <w:tc>
          <w:tcPr>
            <w:tcW w:w="1042" w:type="dxa"/>
          </w:tcPr>
          <w:p w14:paraId="5A7CD732" w14:textId="77777777" w:rsidR="00FC5D3A" w:rsidRPr="00FC5D3A" w:rsidRDefault="00FC5D3A" w:rsidP="000B4E3E">
            <w:pPr>
              <w:jc w:val="right"/>
              <w:rPr>
                <w:b/>
              </w:rPr>
            </w:pPr>
            <w:r w:rsidRPr="00FC5D3A">
              <w:rPr>
                <w:b/>
              </w:rPr>
              <w:t>$000</w:t>
            </w:r>
          </w:p>
        </w:tc>
      </w:tr>
      <w:tr w:rsidR="00973F8A" w:rsidRPr="00FC5D3A" w14:paraId="0686EC3B" w14:textId="77777777" w:rsidTr="00973F8A">
        <w:tc>
          <w:tcPr>
            <w:tcW w:w="2840" w:type="dxa"/>
          </w:tcPr>
          <w:p w14:paraId="7507BF46" w14:textId="012139F3" w:rsidR="00973F8A" w:rsidRPr="00973F8A" w:rsidRDefault="00973F8A" w:rsidP="00973F8A">
            <w:pPr>
              <w:rPr>
                <w:i/>
                <w:w w:val="90"/>
              </w:rPr>
            </w:pPr>
            <w:r w:rsidRPr="00973F8A">
              <w:rPr>
                <w:i/>
              </w:rPr>
              <w:t>2014</w:t>
            </w:r>
          </w:p>
        </w:tc>
        <w:tc>
          <w:tcPr>
            <w:tcW w:w="1252" w:type="dxa"/>
          </w:tcPr>
          <w:p w14:paraId="4541D205" w14:textId="77777777" w:rsidR="00973F8A" w:rsidRPr="00FC5D3A" w:rsidRDefault="00973F8A" w:rsidP="000B4E3E">
            <w:pPr>
              <w:jc w:val="right"/>
              <w:rPr>
                <w:b/>
              </w:rPr>
            </w:pPr>
          </w:p>
        </w:tc>
        <w:tc>
          <w:tcPr>
            <w:tcW w:w="1407" w:type="dxa"/>
          </w:tcPr>
          <w:p w14:paraId="0922F1BF" w14:textId="77777777" w:rsidR="00973F8A" w:rsidRPr="00FC5D3A" w:rsidRDefault="00973F8A" w:rsidP="000B4E3E">
            <w:pPr>
              <w:jc w:val="right"/>
              <w:rPr>
                <w:b/>
              </w:rPr>
            </w:pPr>
          </w:p>
        </w:tc>
        <w:tc>
          <w:tcPr>
            <w:tcW w:w="1271" w:type="dxa"/>
          </w:tcPr>
          <w:p w14:paraId="1CA0DD64" w14:textId="77777777" w:rsidR="00973F8A" w:rsidRPr="00FC5D3A" w:rsidRDefault="00973F8A" w:rsidP="000B4E3E">
            <w:pPr>
              <w:jc w:val="right"/>
              <w:rPr>
                <w:b/>
              </w:rPr>
            </w:pPr>
          </w:p>
        </w:tc>
        <w:tc>
          <w:tcPr>
            <w:tcW w:w="1430" w:type="dxa"/>
          </w:tcPr>
          <w:p w14:paraId="625A1739" w14:textId="77777777" w:rsidR="00973F8A" w:rsidRPr="00FC5D3A" w:rsidRDefault="00973F8A" w:rsidP="000B4E3E">
            <w:pPr>
              <w:jc w:val="right"/>
              <w:rPr>
                <w:b/>
              </w:rPr>
            </w:pPr>
          </w:p>
        </w:tc>
        <w:tc>
          <w:tcPr>
            <w:tcW w:w="1042" w:type="dxa"/>
          </w:tcPr>
          <w:p w14:paraId="3539D401" w14:textId="77777777" w:rsidR="00973F8A" w:rsidRPr="00FC5D3A" w:rsidRDefault="00973F8A" w:rsidP="000B4E3E">
            <w:pPr>
              <w:jc w:val="right"/>
              <w:rPr>
                <w:b/>
              </w:rPr>
            </w:pPr>
          </w:p>
        </w:tc>
      </w:tr>
      <w:tr w:rsidR="00973F8A" w:rsidRPr="00FC5D3A" w14:paraId="18073F05" w14:textId="77777777" w:rsidTr="0054011D">
        <w:tc>
          <w:tcPr>
            <w:tcW w:w="2840" w:type="dxa"/>
          </w:tcPr>
          <w:p w14:paraId="3F3698A6" w14:textId="4E9528AC" w:rsidR="00973F8A" w:rsidRPr="00973F8A" w:rsidRDefault="00973F8A" w:rsidP="00973F8A">
            <w:r>
              <w:t>Carrying amount at start of period</w:t>
            </w:r>
          </w:p>
        </w:tc>
        <w:tc>
          <w:tcPr>
            <w:tcW w:w="1252" w:type="dxa"/>
            <w:shd w:val="clear" w:color="auto" w:fill="D4E2E0" w:themeFill="accent5"/>
          </w:tcPr>
          <w:p w14:paraId="2C8AE987" w14:textId="4B462913" w:rsidR="00973F8A" w:rsidRPr="00973F8A" w:rsidRDefault="00973F8A" w:rsidP="000B4E3E">
            <w:pPr>
              <w:jc w:val="right"/>
            </w:pPr>
            <w:r>
              <w:t>16,500</w:t>
            </w:r>
          </w:p>
        </w:tc>
        <w:tc>
          <w:tcPr>
            <w:tcW w:w="1407" w:type="dxa"/>
            <w:shd w:val="clear" w:color="auto" w:fill="D4E2E0" w:themeFill="accent5"/>
          </w:tcPr>
          <w:p w14:paraId="682DB5FC" w14:textId="5DA28888" w:rsidR="00973F8A" w:rsidRPr="00973F8A" w:rsidRDefault="00973F8A" w:rsidP="000B4E3E">
            <w:pPr>
              <w:jc w:val="right"/>
            </w:pPr>
            <w:r>
              <w:t>6,500</w:t>
            </w:r>
          </w:p>
        </w:tc>
        <w:tc>
          <w:tcPr>
            <w:tcW w:w="1271" w:type="dxa"/>
            <w:shd w:val="clear" w:color="auto" w:fill="D4E2E0" w:themeFill="accent5"/>
          </w:tcPr>
          <w:p w14:paraId="3CAB6B80" w14:textId="3F5C9FF3" w:rsidR="00973F8A" w:rsidRPr="00973F8A" w:rsidRDefault="00973F8A" w:rsidP="000B4E3E">
            <w:pPr>
              <w:jc w:val="right"/>
            </w:pPr>
            <w:r>
              <w:t>551</w:t>
            </w:r>
          </w:p>
        </w:tc>
        <w:tc>
          <w:tcPr>
            <w:tcW w:w="1430" w:type="dxa"/>
            <w:shd w:val="clear" w:color="auto" w:fill="D4E2E0" w:themeFill="accent5"/>
          </w:tcPr>
          <w:p w14:paraId="1747D702" w14:textId="5F70FF3F" w:rsidR="00973F8A" w:rsidRPr="00973F8A" w:rsidRDefault="00973F8A" w:rsidP="000B4E3E">
            <w:pPr>
              <w:jc w:val="right"/>
            </w:pPr>
            <w:r>
              <w:t>482</w:t>
            </w:r>
          </w:p>
        </w:tc>
        <w:tc>
          <w:tcPr>
            <w:tcW w:w="1042" w:type="dxa"/>
            <w:shd w:val="clear" w:color="auto" w:fill="D4E2E0" w:themeFill="accent5"/>
          </w:tcPr>
          <w:p w14:paraId="3A102279" w14:textId="0CFD0927" w:rsidR="00973F8A" w:rsidRPr="00973F8A" w:rsidRDefault="00973F8A" w:rsidP="00973F8A">
            <w:pPr>
              <w:jc w:val="center"/>
            </w:pPr>
            <w:r>
              <w:t>24,033</w:t>
            </w:r>
          </w:p>
        </w:tc>
      </w:tr>
      <w:tr w:rsidR="00973F8A" w:rsidRPr="00FC5D3A" w14:paraId="0AF894CD" w14:textId="77777777" w:rsidTr="0054011D">
        <w:tc>
          <w:tcPr>
            <w:tcW w:w="2840" w:type="dxa"/>
          </w:tcPr>
          <w:p w14:paraId="26B5CC53" w14:textId="6254DAE8" w:rsidR="00973F8A" w:rsidRPr="00973F8A" w:rsidRDefault="00973F8A" w:rsidP="00973F8A">
            <w:r>
              <w:t>Additions</w:t>
            </w:r>
          </w:p>
        </w:tc>
        <w:tc>
          <w:tcPr>
            <w:tcW w:w="1252" w:type="dxa"/>
            <w:shd w:val="clear" w:color="auto" w:fill="D4E2E0" w:themeFill="accent5"/>
          </w:tcPr>
          <w:p w14:paraId="276C4B2B" w14:textId="6C5EE9E5" w:rsidR="00973F8A" w:rsidRPr="00973F8A" w:rsidRDefault="00973F8A" w:rsidP="000B4E3E">
            <w:pPr>
              <w:jc w:val="right"/>
            </w:pPr>
            <w:r>
              <w:t>-</w:t>
            </w:r>
          </w:p>
        </w:tc>
        <w:tc>
          <w:tcPr>
            <w:tcW w:w="1407" w:type="dxa"/>
            <w:shd w:val="clear" w:color="auto" w:fill="D4E2E0" w:themeFill="accent5"/>
          </w:tcPr>
          <w:p w14:paraId="008C8140" w14:textId="0D937453" w:rsidR="00973F8A" w:rsidRPr="00973F8A" w:rsidRDefault="002D5C3B" w:rsidP="000B4E3E">
            <w:pPr>
              <w:jc w:val="right"/>
            </w:pPr>
            <w:r>
              <w:t>-</w:t>
            </w:r>
          </w:p>
        </w:tc>
        <w:tc>
          <w:tcPr>
            <w:tcW w:w="1271" w:type="dxa"/>
            <w:shd w:val="clear" w:color="auto" w:fill="D4E2E0" w:themeFill="accent5"/>
          </w:tcPr>
          <w:p w14:paraId="29471273" w14:textId="103FDA73" w:rsidR="00973F8A" w:rsidRPr="00973F8A" w:rsidRDefault="00973F8A" w:rsidP="000B4E3E">
            <w:pPr>
              <w:jc w:val="right"/>
            </w:pPr>
            <w:r>
              <w:t>-</w:t>
            </w:r>
          </w:p>
        </w:tc>
        <w:tc>
          <w:tcPr>
            <w:tcW w:w="1430" w:type="dxa"/>
            <w:shd w:val="clear" w:color="auto" w:fill="D4E2E0" w:themeFill="accent5"/>
          </w:tcPr>
          <w:p w14:paraId="269B80F9" w14:textId="7CAC2299" w:rsidR="00973F8A" w:rsidRPr="00973F8A" w:rsidRDefault="00973F8A" w:rsidP="000B4E3E">
            <w:pPr>
              <w:jc w:val="right"/>
            </w:pPr>
            <w:r>
              <w:t>409</w:t>
            </w:r>
          </w:p>
        </w:tc>
        <w:tc>
          <w:tcPr>
            <w:tcW w:w="1042" w:type="dxa"/>
            <w:shd w:val="clear" w:color="auto" w:fill="D4E2E0" w:themeFill="accent5"/>
          </w:tcPr>
          <w:p w14:paraId="36AFA278" w14:textId="72B849F4" w:rsidR="00973F8A" w:rsidRPr="00973F8A" w:rsidRDefault="00973F8A" w:rsidP="000B4E3E">
            <w:pPr>
              <w:jc w:val="right"/>
            </w:pPr>
            <w:r>
              <w:t>409</w:t>
            </w:r>
          </w:p>
        </w:tc>
      </w:tr>
      <w:tr w:rsidR="00973F8A" w:rsidRPr="00FC5D3A" w14:paraId="5DDB2124" w14:textId="77777777" w:rsidTr="0054011D">
        <w:tc>
          <w:tcPr>
            <w:tcW w:w="2840" w:type="dxa"/>
          </w:tcPr>
          <w:p w14:paraId="035469DF" w14:textId="3A933C11" w:rsidR="00973F8A" w:rsidRDefault="00973F8A" w:rsidP="00973F8A">
            <w:r>
              <w:lastRenderedPageBreak/>
              <w:t>Transfers</w:t>
            </w:r>
            <w:r w:rsidRPr="00973F8A">
              <w:rPr>
                <w:vertAlign w:val="superscript"/>
              </w:rPr>
              <w:t>(a)</w:t>
            </w:r>
          </w:p>
        </w:tc>
        <w:tc>
          <w:tcPr>
            <w:tcW w:w="1252" w:type="dxa"/>
            <w:shd w:val="clear" w:color="auto" w:fill="D4E2E0" w:themeFill="accent5"/>
          </w:tcPr>
          <w:p w14:paraId="586E468F" w14:textId="3D7437C9" w:rsidR="00973F8A" w:rsidRDefault="00973F8A" w:rsidP="000B4E3E">
            <w:pPr>
              <w:jc w:val="right"/>
            </w:pPr>
            <w:r>
              <w:t>-</w:t>
            </w:r>
          </w:p>
        </w:tc>
        <w:tc>
          <w:tcPr>
            <w:tcW w:w="1407" w:type="dxa"/>
            <w:shd w:val="clear" w:color="auto" w:fill="D4E2E0" w:themeFill="accent5"/>
          </w:tcPr>
          <w:p w14:paraId="1995BEC9" w14:textId="2E8CEB2B" w:rsidR="00973F8A" w:rsidRPr="00973F8A" w:rsidRDefault="00973F8A" w:rsidP="000B4E3E">
            <w:pPr>
              <w:jc w:val="right"/>
            </w:pPr>
            <w:r>
              <w:t>(1,058)</w:t>
            </w:r>
          </w:p>
        </w:tc>
        <w:tc>
          <w:tcPr>
            <w:tcW w:w="1271" w:type="dxa"/>
            <w:shd w:val="clear" w:color="auto" w:fill="D4E2E0" w:themeFill="accent5"/>
          </w:tcPr>
          <w:p w14:paraId="20C4DF8A" w14:textId="6F269F98" w:rsidR="00973F8A" w:rsidRDefault="00973F8A" w:rsidP="000B4E3E">
            <w:pPr>
              <w:jc w:val="right"/>
            </w:pPr>
            <w:r>
              <w:t>(551)</w:t>
            </w:r>
          </w:p>
        </w:tc>
        <w:tc>
          <w:tcPr>
            <w:tcW w:w="1430" w:type="dxa"/>
            <w:shd w:val="clear" w:color="auto" w:fill="D4E2E0" w:themeFill="accent5"/>
          </w:tcPr>
          <w:p w14:paraId="3BC085A7" w14:textId="37C5754B" w:rsidR="00973F8A" w:rsidRDefault="00973F8A" w:rsidP="000B4E3E">
            <w:pPr>
              <w:jc w:val="right"/>
            </w:pPr>
            <w:r>
              <w:t>1,089</w:t>
            </w:r>
          </w:p>
        </w:tc>
        <w:tc>
          <w:tcPr>
            <w:tcW w:w="1042" w:type="dxa"/>
            <w:shd w:val="clear" w:color="auto" w:fill="D4E2E0" w:themeFill="accent5"/>
          </w:tcPr>
          <w:p w14:paraId="63D42D4F" w14:textId="2D318774" w:rsidR="00973F8A" w:rsidRDefault="00973F8A" w:rsidP="000B4E3E">
            <w:pPr>
              <w:jc w:val="right"/>
            </w:pPr>
            <w:r>
              <w:t>(520)</w:t>
            </w:r>
          </w:p>
        </w:tc>
      </w:tr>
      <w:tr w:rsidR="00973F8A" w:rsidRPr="00FC5D3A" w14:paraId="3D8807F3" w14:textId="77777777" w:rsidTr="0054011D">
        <w:tc>
          <w:tcPr>
            <w:tcW w:w="2840" w:type="dxa"/>
          </w:tcPr>
          <w:p w14:paraId="449EE62C" w14:textId="26A5BB1D" w:rsidR="00973F8A" w:rsidRDefault="00973F8A" w:rsidP="00973F8A">
            <w:r>
              <w:t>Disposals</w:t>
            </w:r>
          </w:p>
        </w:tc>
        <w:tc>
          <w:tcPr>
            <w:tcW w:w="1252" w:type="dxa"/>
            <w:shd w:val="clear" w:color="auto" w:fill="D4E2E0" w:themeFill="accent5"/>
          </w:tcPr>
          <w:p w14:paraId="1EF10359" w14:textId="3F08061A" w:rsidR="00973F8A" w:rsidRDefault="00973F8A" w:rsidP="000B4E3E">
            <w:pPr>
              <w:jc w:val="right"/>
            </w:pPr>
            <w:r>
              <w:t>-</w:t>
            </w:r>
          </w:p>
        </w:tc>
        <w:tc>
          <w:tcPr>
            <w:tcW w:w="1407" w:type="dxa"/>
            <w:shd w:val="clear" w:color="auto" w:fill="D4E2E0" w:themeFill="accent5"/>
          </w:tcPr>
          <w:p w14:paraId="1F1A2D40" w14:textId="31DEE09F" w:rsidR="00973F8A" w:rsidRDefault="00973F8A" w:rsidP="000B4E3E">
            <w:pPr>
              <w:jc w:val="right"/>
            </w:pPr>
            <w:r>
              <w:t>-</w:t>
            </w:r>
          </w:p>
        </w:tc>
        <w:tc>
          <w:tcPr>
            <w:tcW w:w="1271" w:type="dxa"/>
            <w:shd w:val="clear" w:color="auto" w:fill="D4E2E0" w:themeFill="accent5"/>
          </w:tcPr>
          <w:p w14:paraId="4A46A167" w14:textId="4E5C110C" w:rsidR="00973F8A" w:rsidRDefault="00973F8A" w:rsidP="000B4E3E">
            <w:pPr>
              <w:jc w:val="right"/>
            </w:pPr>
            <w:r>
              <w:t>-</w:t>
            </w:r>
          </w:p>
        </w:tc>
        <w:tc>
          <w:tcPr>
            <w:tcW w:w="1430" w:type="dxa"/>
            <w:shd w:val="clear" w:color="auto" w:fill="D4E2E0" w:themeFill="accent5"/>
          </w:tcPr>
          <w:p w14:paraId="12AACC41" w14:textId="3D06D8AB" w:rsidR="00973F8A" w:rsidRDefault="00973F8A" w:rsidP="000B4E3E">
            <w:pPr>
              <w:jc w:val="right"/>
            </w:pPr>
            <w:r>
              <w:t>(83)</w:t>
            </w:r>
          </w:p>
        </w:tc>
        <w:tc>
          <w:tcPr>
            <w:tcW w:w="1042" w:type="dxa"/>
            <w:shd w:val="clear" w:color="auto" w:fill="D4E2E0" w:themeFill="accent5"/>
          </w:tcPr>
          <w:p w14:paraId="3D6A994E" w14:textId="4AB2F3C2" w:rsidR="00973F8A" w:rsidRDefault="00973F8A" w:rsidP="000B4E3E">
            <w:pPr>
              <w:jc w:val="right"/>
            </w:pPr>
            <w:r>
              <w:t>(83)</w:t>
            </w:r>
          </w:p>
        </w:tc>
      </w:tr>
      <w:tr w:rsidR="00973F8A" w:rsidRPr="00FC5D3A" w14:paraId="6C5F688C" w14:textId="77777777" w:rsidTr="0054011D">
        <w:tc>
          <w:tcPr>
            <w:tcW w:w="2840" w:type="dxa"/>
          </w:tcPr>
          <w:p w14:paraId="1DC126BE" w14:textId="4024545A" w:rsidR="00973F8A" w:rsidRDefault="00B7602C" w:rsidP="00973F8A">
            <w:r>
              <w:t>Revaluation i</w:t>
            </w:r>
            <w:r w:rsidR="00973F8A">
              <w:t>ncrements/(decrements)</w:t>
            </w:r>
          </w:p>
        </w:tc>
        <w:tc>
          <w:tcPr>
            <w:tcW w:w="1252" w:type="dxa"/>
            <w:shd w:val="clear" w:color="auto" w:fill="D4E2E0" w:themeFill="accent5"/>
          </w:tcPr>
          <w:p w14:paraId="15F80B49" w14:textId="1B4C88C2" w:rsidR="00973F8A" w:rsidRDefault="00973F8A" w:rsidP="000B4E3E">
            <w:pPr>
              <w:jc w:val="right"/>
            </w:pPr>
            <w:r>
              <w:t>(800)</w:t>
            </w:r>
          </w:p>
        </w:tc>
        <w:tc>
          <w:tcPr>
            <w:tcW w:w="1407" w:type="dxa"/>
            <w:shd w:val="clear" w:color="auto" w:fill="D4E2E0" w:themeFill="accent5"/>
          </w:tcPr>
          <w:p w14:paraId="67D5B533" w14:textId="62274182" w:rsidR="00973F8A" w:rsidRDefault="00973F8A" w:rsidP="000B4E3E">
            <w:pPr>
              <w:jc w:val="right"/>
            </w:pPr>
            <w:r>
              <w:t>990</w:t>
            </w:r>
          </w:p>
        </w:tc>
        <w:tc>
          <w:tcPr>
            <w:tcW w:w="1271" w:type="dxa"/>
            <w:shd w:val="clear" w:color="auto" w:fill="D4E2E0" w:themeFill="accent5"/>
          </w:tcPr>
          <w:p w14:paraId="0C9562E3" w14:textId="1708F990" w:rsidR="00973F8A" w:rsidRDefault="00973F8A" w:rsidP="000B4E3E">
            <w:pPr>
              <w:jc w:val="right"/>
            </w:pPr>
            <w:r>
              <w:t>-</w:t>
            </w:r>
          </w:p>
        </w:tc>
        <w:tc>
          <w:tcPr>
            <w:tcW w:w="1430" w:type="dxa"/>
            <w:shd w:val="clear" w:color="auto" w:fill="D4E2E0" w:themeFill="accent5"/>
          </w:tcPr>
          <w:p w14:paraId="59FF4D85" w14:textId="4E5ABAEA" w:rsidR="00973F8A" w:rsidRDefault="00973F8A" w:rsidP="000B4E3E">
            <w:pPr>
              <w:jc w:val="right"/>
            </w:pPr>
            <w:r>
              <w:t>-</w:t>
            </w:r>
          </w:p>
        </w:tc>
        <w:tc>
          <w:tcPr>
            <w:tcW w:w="1042" w:type="dxa"/>
            <w:shd w:val="clear" w:color="auto" w:fill="D4E2E0" w:themeFill="accent5"/>
          </w:tcPr>
          <w:p w14:paraId="324DC3DB" w14:textId="09C1864B" w:rsidR="00973F8A" w:rsidRDefault="00973F8A" w:rsidP="000B4E3E">
            <w:pPr>
              <w:jc w:val="right"/>
            </w:pPr>
            <w:r>
              <w:t>190</w:t>
            </w:r>
          </w:p>
        </w:tc>
      </w:tr>
      <w:tr w:rsidR="00973F8A" w:rsidRPr="00FC5D3A" w14:paraId="1D0840B3" w14:textId="77777777" w:rsidTr="0054011D">
        <w:tc>
          <w:tcPr>
            <w:tcW w:w="2840" w:type="dxa"/>
          </w:tcPr>
          <w:p w14:paraId="63A2C7CA" w14:textId="60A6CFA5" w:rsidR="00973F8A" w:rsidRDefault="00973F8A" w:rsidP="00973F8A">
            <w:r>
              <w:t>Depreciation</w:t>
            </w:r>
          </w:p>
        </w:tc>
        <w:tc>
          <w:tcPr>
            <w:tcW w:w="1252" w:type="dxa"/>
            <w:shd w:val="clear" w:color="auto" w:fill="D4E2E0" w:themeFill="accent5"/>
          </w:tcPr>
          <w:p w14:paraId="76D76A72" w14:textId="7A78C4C1" w:rsidR="00973F8A" w:rsidRDefault="00973F8A" w:rsidP="000B4E3E">
            <w:pPr>
              <w:jc w:val="right"/>
            </w:pPr>
            <w:r>
              <w:t>-</w:t>
            </w:r>
          </w:p>
        </w:tc>
        <w:tc>
          <w:tcPr>
            <w:tcW w:w="1407" w:type="dxa"/>
            <w:shd w:val="clear" w:color="auto" w:fill="D4E2E0" w:themeFill="accent5"/>
          </w:tcPr>
          <w:p w14:paraId="411B7DFE" w14:textId="06211BD3" w:rsidR="00973F8A" w:rsidRDefault="00973F8A" w:rsidP="000B4E3E">
            <w:pPr>
              <w:jc w:val="right"/>
            </w:pPr>
            <w:r>
              <w:t>(332)</w:t>
            </w:r>
          </w:p>
        </w:tc>
        <w:tc>
          <w:tcPr>
            <w:tcW w:w="1271" w:type="dxa"/>
            <w:shd w:val="clear" w:color="auto" w:fill="D4E2E0" w:themeFill="accent5"/>
          </w:tcPr>
          <w:p w14:paraId="56BD4660" w14:textId="3F351CEF" w:rsidR="00973F8A" w:rsidRDefault="00973F8A" w:rsidP="000B4E3E">
            <w:pPr>
              <w:jc w:val="right"/>
            </w:pPr>
            <w:r>
              <w:t>-</w:t>
            </w:r>
          </w:p>
        </w:tc>
        <w:tc>
          <w:tcPr>
            <w:tcW w:w="1430" w:type="dxa"/>
            <w:shd w:val="clear" w:color="auto" w:fill="D4E2E0" w:themeFill="accent5"/>
          </w:tcPr>
          <w:p w14:paraId="3641A731" w14:textId="73A3C7E6" w:rsidR="00973F8A" w:rsidRDefault="00973F8A" w:rsidP="000B4E3E">
            <w:pPr>
              <w:jc w:val="right"/>
            </w:pPr>
            <w:r>
              <w:t>(191)</w:t>
            </w:r>
          </w:p>
        </w:tc>
        <w:tc>
          <w:tcPr>
            <w:tcW w:w="1042" w:type="dxa"/>
            <w:shd w:val="clear" w:color="auto" w:fill="D4E2E0" w:themeFill="accent5"/>
          </w:tcPr>
          <w:p w14:paraId="0FB7E63C" w14:textId="6D38C2E8" w:rsidR="00973F8A" w:rsidRDefault="00973F8A" w:rsidP="000B4E3E">
            <w:pPr>
              <w:jc w:val="right"/>
            </w:pPr>
            <w:r>
              <w:t>(523)</w:t>
            </w:r>
          </w:p>
        </w:tc>
      </w:tr>
      <w:tr w:rsidR="00973F8A" w:rsidRPr="00FC5D3A" w14:paraId="4695728C" w14:textId="77777777" w:rsidTr="0054011D">
        <w:tc>
          <w:tcPr>
            <w:tcW w:w="2840" w:type="dxa"/>
          </w:tcPr>
          <w:p w14:paraId="204C623B" w14:textId="6E584EBB" w:rsidR="00973F8A" w:rsidRPr="00973F8A" w:rsidRDefault="00973F8A" w:rsidP="00973F8A">
            <w:pPr>
              <w:rPr>
                <w:b/>
              </w:rPr>
            </w:pPr>
            <w:r w:rsidRPr="00973F8A">
              <w:rPr>
                <w:b/>
              </w:rPr>
              <w:t>Carrying amount at end of period</w:t>
            </w:r>
          </w:p>
        </w:tc>
        <w:tc>
          <w:tcPr>
            <w:tcW w:w="1252" w:type="dxa"/>
            <w:tcBorders>
              <w:bottom w:val="single" w:sz="4" w:space="0" w:color="auto"/>
            </w:tcBorders>
            <w:shd w:val="clear" w:color="auto" w:fill="D4E2E0" w:themeFill="accent5"/>
          </w:tcPr>
          <w:p w14:paraId="2D61291C" w14:textId="4CD14F06" w:rsidR="00973F8A" w:rsidRPr="00973F8A" w:rsidRDefault="00973F8A" w:rsidP="000B4E3E">
            <w:pPr>
              <w:jc w:val="right"/>
              <w:rPr>
                <w:b/>
              </w:rPr>
            </w:pPr>
            <w:r w:rsidRPr="00973F8A">
              <w:rPr>
                <w:b/>
              </w:rPr>
              <w:t>15,700</w:t>
            </w:r>
          </w:p>
        </w:tc>
        <w:tc>
          <w:tcPr>
            <w:tcW w:w="1407" w:type="dxa"/>
            <w:tcBorders>
              <w:bottom w:val="single" w:sz="4" w:space="0" w:color="auto"/>
            </w:tcBorders>
            <w:shd w:val="clear" w:color="auto" w:fill="D4E2E0" w:themeFill="accent5"/>
          </w:tcPr>
          <w:p w14:paraId="0372D494" w14:textId="14D17306" w:rsidR="00973F8A" w:rsidRPr="00973F8A" w:rsidRDefault="00973F8A" w:rsidP="000B4E3E">
            <w:pPr>
              <w:jc w:val="right"/>
              <w:rPr>
                <w:b/>
              </w:rPr>
            </w:pPr>
            <w:r w:rsidRPr="00973F8A">
              <w:rPr>
                <w:b/>
              </w:rPr>
              <w:t>6,100</w:t>
            </w:r>
          </w:p>
        </w:tc>
        <w:tc>
          <w:tcPr>
            <w:tcW w:w="1271" w:type="dxa"/>
            <w:tcBorders>
              <w:bottom w:val="single" w:sz="4" w:space="0" w:color="auto"/>
            </w:tcBorders>
            <w:shd w:val="clear" w:color="auto" w:fill="D4E2E0" w:themeFill="accent5"/>
          </w:tcPr>
          <w:p w14:paraId="6751F2D7" w14:textId="22E817CF" w:rsidR="00973F8A" w:rsidRPr="00973F8A" w:rsidRDefault="00331350" w:rsidP="000B4E3E">
            <w:pPr>
              <w:jc w:val="right"/>
              <w:rPr>
                <w:b/>
              </w:rPr>
            </w:pPr>
            <w:r>
              <w:rPr>
                <w:b/>
              </w:rPr>
              <w:t>-</w:t>
            </w:r>
          </w:p>
        </w:tc>
        <w:tc>
          <w:tcPr>
            <w:tcW w:w="1430" w:type="dxa"/>
            <w:tcBorders>
              <w:bottom w:val="single" w:sz="4" w:space="0" w:color="auto"/>
            </w:tcBorders>
            <w:shd w:val="clear" w:color="auto" w:fill="D4E2E0" w:themeFill="accent5"/>
          </w:tcPr>
          <w:p w14:paraId="4DDE05B9" w14:textId="39ED8CCD" w:rsidR="00973F8A" w:rsidRPr="00973F8A" w:rsidRDefault="00973F8A" w:rsidP="000B4E3E">
            <w:pPr>
              <w:jc w:val="right"/>
              <w:rPr>
                <w:b/>
              </w:rPr>
            </w:pPr>
            <w:r w:rsidRPr="00973F8A">
              <w:rPr>
                <w:b/>
              </w:rPr>
              <w:t>1,706</w:t>
            </w:r>
          </w:p>
        </w:tc>
        <w:tc>
          <w:tcPr>
            <w:tcW w:w="1042" w:type="dxa"/>
            <w:tcBorders>
              <w:bottom w:val="single" w:sz="4" w:space="0" w:color="auto"/>
            </w:tcBorders>
            <w:shd w:val="clear" w:color="auto" w:fill="D4E2E0" w:themeFill="accent5"/>
          </w:tcPr>
          <w:p w14:paraId="598E63BF" w14:textId="693F62B2" w:rsidR="00973F8A" w:rsidRPr="00973F8A" w:rsidRDefault="00973F8A" w:rsidP="000B4E3E">
            <w:pPr>
              <w:jc w:val="right"/>
              <w:rPr>
                <w:b/>
              </w:rPr>
            </w:pPr>
            <w:r w:rsidRPr="00973F8A">
              <w:rPr>
                <w:b/>
              </w:rPr>
              <w:t>23,506</w:t>
            </w:r>
          </w:p>
        </w:tc>
      </w:tr>
    </w:tbl>
    <w:p w14:paraId="75C9A262" w14:textId="77777777" w:rsidR="00062962" w:rsidRDefault="00062962" w:rsidP="00062962"/>
    <w:p w14:paraId="4337EFE8" w14:textId="1FC979F2" w:rsidR="00533EA1" w:rsidRDefault="00062962" w:rsidP="00062962">
      <w:r>
        <w:t xml:space="preserve">(a) </w:t>
      </w:r>
      <w:r w:rsidRPr="00062962">
        <w:t>Transfers represent the completion of intangible asset projects previously recognised in Work in Progress. In addition, $1.058 million of fitouts we</w:t>
      </w:r>
      <w:r>
        <w:t xml:space="preserve">re reclassified from buildings </w:t>
      </w:r>
      <w:r w:rsidRPr="00062962">
        <w:t>to plant, equipment and vehicles.</w:t>
      </w:r>
    </w:p>
    <w:p w14:paraId="10E6A194" w14:textId="77777777" w:rsidR="0032784D" w:rsidRDefault="0032784D" w:rsidP="00062962"/>
    <w:p w14:paraId="6E1A7C99" w14:textId="1AD4AB8B" w:rsidR="0032784D" w:rsidRDefault="0032784D" w:rsidP="0032784D">
      <w:pPr>
        <w:pStyle w:val="Heading2nonumber"/>
        <w:numPr>
          <w:ilvl w:val="0"/>
          <w:numId w:val="15"/>
        </w:numPr>
      </w:pPr>
      <w:bookmarkStart w:id="702" w:name="_Toc430091380"/>
      <w:r>
        <w:t>Fair value measurements</w:t>
      </w:r>
      <w:bookmarkEnd w:id="702"/>
    </w:p>
    <w:p w14:paraId="75A6CB5D" w14:textId="48D0DAE4" w:rsidR="0032784D" w:rsidRDefault="0032784D" w:rsidP="0032784D">
      <w:r>
        <w:t>Assets measured at fair value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1252"/>
        <w:gridCol w:w="1407"/>
        <w:gridCol w:w="1271"/>
        <w:gridCol w:w="1430"/>
      </w:tblGrid>
      <w:tr w:rsidR="0032784D" w:rsidRPr="00FC5D3A" w14:paraId="50540183" w14:textId="77777777" w:rsidTr="000B4E3E">
        <w:tc>
          <w:tcPr>
            <w:tcW w:w="2840" w:type="dxa"/>
          </w:tcPr>
          <w:p w14:paraId="79E82278" w14:textId="77777777" w:rsidR="0032784D" w:rsidRPr="00FC5D3A" w:rsidRDefault="0032784D" w:rsidP="000B4E3E">
            <w:pPr>
              <w:rPr>
                <w:w w:val="90"/>
              </w:rPr>
            </w:pPr>
          </w:p>
        </w:tc>
        <w:tc>
          <w:tcPr>
            <w:tcW w:w="1252" w:type="dxa"/>
          </w:tcPr>
          <w:p w14:paraId="597F52DF" w14:textId="6C5245A8" w:rsidR="0032784D" w:rsidRPr="00FC5D3A" w:rsidRDefault="0032784D" w:rsidP="0032784D">
            <w:pPr>
              <w:jc w:val="right"/>
              <w:rPr>
                <w:b/>
                <w:w w:val="90"/>
              </w:rPr>
            </w:pPr>
            <w:r w:rsidRPr="00FC5D3A">
              <w:rPr>
                <w:b/>
              </w:rPr>
              <w:t>L</w:t>
            </w:r>
            <w:r>
              <w:rPr>
                <w:b/>
              </w:rPr>
              <w:t>evel 1</w:t>
            </w:r>
          </w:p>
        </w:tc>
        <w:tc>
          <w:tcPr>
            <w:tcW w:w="1407" w:type="dxa"/>
          </w:tcPr>
          <w:p w14:paraId="049B29D4" w14:textId="64FDAEA2" w:rsidR="0032784D" w:rsidRPr="00FC5D3A" w:rsidRDefault="0032784D" w:rsidP="000B4E3E">
            <w:pPr>
              <w:jc w:val="right"/>
              <w:rPr>
                <w:b/>
                <w:w w:val="90"/>
              </w:rPr>
            </w:pPr>
            <w:r>
              <w:rPr>
                <w:b/>
              </w:rPr>
              <w:t>Level 2</w:t>
            </w:r>
          </w:p>
        </w:tc>
        <w:tc>
          <w:tcPr>
            <w:tcW w:w="1271" w:type="dxa"/>
          </w:tcPr>
          <w:p w14:paraId="4FA0644F" w14:textId="6115F553" w:rsidR="0032784D" w:rsidRPr="00FC5D3A" w:rsidRDefault="0032784D" w:rsidP="000B4E3E">
            <w:pPr>
              <w:jc w:val="right"/>
              <w:rPr>
                <w:b/>
                <w:w w:val="90"/>
              </w:rPr>
            </w:pPr>
            <w:r>
              <w:rPr>
                <w:b/>
              </w:rPr>
              <w:t>Level 3</w:t>
            </w:r>
          </w:p>
        </w:tc>
        <w:tc>
          <w:tcPr>
            <w:tcW w:w="1430" w:type="dxa"/>
          </w:tcPr>
          <w:p w14:paraId="573510AD" w14:textId="71F1A5F0" w:rsidR="0032784D" w:rsidRPr="00FC5D3A" w:rsidRDefault="0032784D" w:rsidP="000B4E3E">
            <w:pPr>
              <w:jc w:val="right"/>
              <w:rPr>
                <w:b/>
                <w:w w:val="90"/>
              </w:rPr>
            </w:pPr>
            <w:r>
              <w:rPr>
                <w:b/>
              </w:rPr>
              <w:t>Fair value at end of period</w:t>
            </w:r>
          </w:p>
        </w:tc>
      </w:tr>
      <w:tr w:rsidR="0032784D" w:rsidRPr="00FC5D3A" w14:paraId="30822AD6" w14:textId="77777777" w:rsidTr="000B4E3E">
        <w:tc>
          <w:tcPr>
            <w:tcW w:w="2840" w:type="dxa"/>
          </w:tcPr>
          <w:p w14:paraId="41CAE325" w14:textId="77777777" w:rsidR="0032784D" w:rsidRPr="00FC5D3A" w:rsidRDefault="0032784D" w:rsidP="000B4E3E">
            <w:pPr>
              <w:rPr>
                <w:w w:val="90"/>
              </w:rPr>
            </w:pPr>
          </w:p>
        </w:tc>
        <w:tc>
          <w:tcPr>
            <w:tcW w:w="1252" w:type="dxa"/>
          </w:tcPr>
          <w:p w14:paraId="1F78D324" w14:textId="77777777" w:rsidR="0032784D" w:rsidRPr="00FC5D3A" w:rsidRDefault="0032784D" w:rsidP="000B4E3E">
            <w:pPr>
              <w:jc w:val="right"/>
              <w:rPr>
                <w:b/>
              </w:rPr>
            </w:pPr>
            <w:r w:rsidRPr="00FC5D3A">
              <w:rPr>
                <w:b/>
              </w:rPr>
              <w:t>$000</w:t>
            </w:r>
          </w:p>
        </w:tc>
        <w:tc>
          <w:tcPr>
            <w:tcW w:w="1407" w:type="dxa"/>
          </w:tcPr>
          <w:p w14:paraId="7948D79A" w14:textId="77777777" w:rsidR="0032784D" w:rsidRPr="00FC5D3A" w:rsidRDefault="0032784D" w:rsidP="000B4E3E">
            <w:pPr>
              <w:jc w:val="right"/>
              <w:rPr>
                <w:b/>
              </w:rPr>
            </w:pPr>
            <w:r w:rsidRPr="00FC5D3A">
              <w:rPr>
                <w:b/>
              </w:rPr>
              <w:t>$000</w:t>
            </w:r>
          </w:p>
        </w:tc>
        <w:tc>
          <w:tcPr>
            <w:tcW w:w="1271" w:type="dxa"/>
          </w:tcPr>
          <w:p w14:paraId="7A8432BE" w14:textId="77777777" w:rsidR="0032784D" w:rsidRPr="00FC5D3A" w:rsidRDefault="0032784D" w:rsidP="000B4E3E">
            <w:pPr>
              <w:jc w:val="right"/>
              <w:rPr>
                <w:b/>
              </w:rPr>
            </w:pPr>
            <w:r w:rsidRPr="00FC5D3A">
              <w:rPr>
                <w:b/>
              </w:rPr>
              <w:t>$000</w:t>
            </w:r>
          </w:p>
        </w:tc>
        <w:tc>
          <w:tcPr>
            <w:tcW w:w="1430" w:type="dxa"/>
          </w:tcPr>
          <w:p w14:paraId="3C9B9058" w14:textId="77777777" w:rsidR="0032784D" w:rsidRPr="00FC5D3A" w:rsidRDefault="0032784D" w:rsidP="000B4E3E">
            <w:pPr>
              <w:jc w:val="right"/>
              <w:rPr>
                <w:b/>
              </w:rPr>
            </w:pPr>
            <w:r w:rsidRPr="00FC5D3A">
              <w:rPr>
                <w:b/>
              </w:rPr>
              <w:t>$000</w:t>
            </w:r>
          </w:p>
        </w:tc>
      </w:tr>
      <w:tr w:rsidR="0032784D" w:rsidRPr="0032784D" w14:paraId="540515FD" w14:textId="77777777" w:rsidTr="000B4E3E">
        <w:tc>
          <w:tcPr>
            <w:tcW w:w="2840" w:type="dxa"/>
          </w:tcPr>
          <w:p w14:paraId="0CB23288" w14:textId="5F75C22B" w:rsidR="0032784D" w:rsidRPr="00973F8A" w:rsidRDefault="0032784D" w:rsidP="000B4E3E">
            <w:pPr>
              <w:rPr>
                <w:i/>
                <w:w w:val="90"/>
              </w:rPr>
            </w:pPr>
            <w:r>
              <w:rPr>
                <w:i/>
              </w:rPr>
              <w:t>2015</w:t>
            </w:r>
          </w:p>
        </w:tc>
        <w:tc>
          <w:tcPr>
            <w:tcW w:w="1252" w:type="dxa"/>
          </w:tcPr>
          <w:p w14:paraId="2B493644" w14:textId="77777777" w:rsidR="0032784D" w:rsidRPr="0032784D" w:rsidRDefault="0032784D" w:rsidP="000B4E3E">
            <w:pPr>
              <w:jc w:val="right"/>
            </w:pPr>
          </w:p>
        </w:tc>
        <w:tc>
          <w:tcPr>
            <w:tcW w:w="1407" w:type="dxa"/>
          </w:tcPr>
          <w:p w14:paraId="32B3A4A6" w14:textId="25F137E7" w:rsidR="0032784D" w:rsidRPr="0032784D" w:rsidRDefault="0032784D" w:rsidP="000B4E3E">
            <w:pPr>
              <w:jc w:val="right"/>
            </w:pPr>
          </w:p>
        </w:tc>
        <w:tc>
          <w:tcPr>
            <w:tcW w:w="1271" w:type="dxa"/>
          </w:tcPr>
          <w:p w14:paraId="30C034E5" w14:textId="77777777" w:rsidR="0032784D" w:rsidRPr="0032784D" w:rsidRDefault="0032784D" w:rsidP="0032784D">
            <w:pPr>
              <w:jc w:val="center"/>
            </w:pPr>
          </w:p>
        </w:tc>
        <w:tc>
          <w:tcPr>
            <w:tcW w:w="1430" w:type="dxa"/>
          </w:tcPr>
          <w:p w14:paraId="58B9FEB2" w14:textId="31FA54C9" w:rsidR="0032784D" w:rsidRPr="0032784D" w:rsidRDefault="0032784D" w:rsidP="000B4E3E">
            <w:pPr>
              <w:jc w:val="right"/>
            </w:pPr>
          </w:p>
        </w:tc>
      </w:tr>
      <w:tr w:rsidR="0032784D" w:rsidRPr="0032784D" w14:paraId="7B5B4E47" w14:textId="77777777" w:rsidTr="0032784D">
        <w:tc>
          <w:tcPr>
            <w:tcW w:w="2840" w:type="dxa"/>
          </w:tcPr>
          <w:p w14:paraId="742FFDFF" w14:textId="1139173C" w:rsidR="0032784D" w:rsidRPr="0032784D" w:rsidRDefault="0032784D" w:rsidP="000B4E3E">
            <w:r>
              <w:t>Land (Note 22)</w:t>
            </w:r>
          </w:p>
        </w:tc>
        <w:tc>
          <w:tcPr>
            <w:tcW w:w="1252" w:type="dxa"/>
            <w:shd w:val="clear" w:color="auto" w:fill="F5EDC1" w:themeFill="accent4"/>
          </w:tcPr>
          <w:p w14:paraId="7030029D" w14:textId="6CE24ED2" w:rsidR="0032784D" w:rsidRPr="0032784D" w:rsidRDefault="002D5C3B" w:rsidP="000B4E3E">
            <w:pPr>
              <w:jc w:val="right"/>
            </w:pPr>
            <w:r>
              <w:t>-</w:t>
            </w:r>
          </w:p>
        </w:tc>
        <w:tc>
          <w:tcPr>
            <w:tcW w:w="1407" w:type="dxa"/>
            <w:shd w:val="clear" w:color="auto" w:fill="F5EDC1" w:themeFill="accent4"/>
          </w:tcPr>
          <w:p w14:paraId="7CE13F49" w14:textId="563D1437" w:rsidR="0032784D" w:rsidRPr="0032784D" w:rsidRDefault="0032784D" w:rsidP="000B4E3E">
            <w:pPr>
              <w:jc w:val="right"/>
            </w:pPr>
            <w:r>
              <w:t>15,400</w:t>
            </w:r>
          </w:p>
        </w:tc>
        <w:tc>
          <w:tcPr>
            <w:tcW w:w="1271" w:type="dxa"/>
            <w:shd w:val="clear" w:color="auto" w:fill="F5EDC1" w:themeFill="accent4"/>
          </w:tcPr>
          <w:p w14:paraId="6845D644" w14:textId="40F6B0BF" w:rsidR="0032784D" w:rsidRPr="0032784D" w:rsidRDefault="002D5C3B" w:rsidP="0032784D">
            <w:pPr>
              <w:jc w:val="center"/>
            </w:pPr>
            <w:r>
              <w:t>-</w:t>
            </w:r>
          </w:p>
        </w:tc>
        <w:tc>
          <w:tcPr>
            <w:tcW w:w="1430" w:type="dxa"/>
            <w:shd w:val="clear" w:color="auto" w:fill="F5EDC1" w:themeFill="accent4"/>
          </w:tcPr>
          <w:p w14:paraId="5A39ED8E" w14:textId="003D5D66" w:rsidR="0032784D" w:rsidRPr="0032784D" w:rsidRDefault="0032784D" w:rsidP="000B4E3E">
            <w:pPr>
              <w:jc w:val="right"/>
            </w:pPr>
            <w:r>
              <w:t>15,400</w:t>
            </w:r>
          </w:p>
        </w:tc>
      </w:tr>
      <w:tr w:rsidR="0032784D" w:rsidRPr="0032784D" w14:paraId="619FEA5C" w14:textId="77777777" w:rsidTr="0032784D">
        <w:tc>
          <w:tcPr>
            <w:tcW w:w="2840" w:type="dxa"/>
          </w:tcPr>
          <w:p w14:paraId="18BBF3D2" w14:textId="4EEEBC90" w:rsidR="0032784D" w:rsidRDefault="0032784D" w:rsidP="000B4E3E">
            <w:r>
              <w:t>Buildings (Note 22)</w:t>
            </w:r>
          </w:p>
        </w:tc>
        <w:tc>
          <w:tcPr>
            <w:tcW w:w="1252" w:type="dxa"/>
            <w:shd w:val="clear" w:color="auto" w:fill="F5EDC1" w:themeFill="accent4"/>
          </w:tcPr>
          <w:p w14:paraId="7D858A10" w14:textId="10DF7D37" w:rsidR="0032784D" w:rsidRPr="0032784D" w:rsidRDefault="002D5C3B" w:rsidP="000B4E3E">
            <w:pPr>
              <w:jc w:val="right"/>
            </w:pPr>
            <w:r>
              <w:t>-</w:t>
            </w:r>
          </w:p>
        </w:tc>
        <w:tc>
          <w:tcPr>
            <w:tcW w:w="1407" w:type="dxa"/>
            <w:shd w:val="clear" w:color="auto" w:fill="F5EDC1" w:themeFill="accent4"/>
          </w:tcPr>
          <w:p w14:paraId="070E92A9" w14:textId="37C4C4CB" w:rsidR="0032784D" w:rsidRDefault="0032784D" w:rsidP="000B4E3E">
            <w:pPr>
              <w:jc w:val="right"/>
            </w:pPr>
            <w:r>
              <w:t>3,600</w:t>
            </w:r>
          </w:p>
        </w:tc>
        <w:tc>
          <w:tcPr>
            <w:tcW w:w="1271" w:type="dxa"/>
            <w:shd w:val="clear" w:color="auto" w:fill="F5EDC1" w:themeFill="accent4"/>
          </w:tcPr>
          <w:p w14:paraId="551D00D6" w14:textId="52E75CC9" w:rsidR="0032784D" w:rsidRPr="0032784D" w:rsidRDefault="002D5C3B" w:rsidP="0032784D">
            <w:pPr>
              <w:jc w:val="center"/>
            </w:pPr>
            <w:r>
              <w:t>-</w:t>
            </w:r>
          </w:p>
        </w:tc>
        <w:tc>
          <w:tcPr>
            <w:tcW w:w="1430" w:type="dxa"/>
            <w:shd w:val="clear" w:color="auto" w:fill="F5EDC1" w:themeFill="accent4"/>
          </w:tcPr>
          <w:p w14:paraId="54B5E85C" w14:textId="12BE697B" w:rsidR="0032784D" w:rsidRDefault="0032784D" w:rsidP="000B4E3E">
            <w:pPr>
              <w:jc w:val="right"/>
            </w:pPr>
            <w:r>
              <w:t>3,600</w:t>
            </w:r>
          </w:p>
        </w:tc>
      </w:tr>
      <w:tr w:rsidR="0032784D" w:rsidRPr="0032784D" w14:paraId="40A61CD1" w14:textId="77777777" w:rsidTr="0032784D">
        <w:tc>
          <w:tcPr>
            <w:tcW w:w="2840" w:type="dxa"/>
          </w:tcPr>
          <w:p w14:paraId="17B766B0" w14:textId="77777777" w:rsidR="0032784D" w:rsidRDefault="0032784D" w:rsidP="000B4E3E"/>
        </w:tc>
        <w:tc>
          <w:tcPr>
            <w:tcW w:w="1252" w:type="dxa"/>
            <w:shd w:val="clear" w:color="auto" w:fill="F5EDC1" w:themeFill="accent4"/>
          </w:tcPr>
          <w:p w14:paraId="71EB363E" w14:textId="3FAC6421" w:rsidR="0032784D" w:rsidRPr="0032784D" w:rsidRDefault="0032784D" w:rsidP="000B4E3E">
            <w:pPr>
              <w:jc w:val="right"/>
              <w:rPr>
                <w:b/>
              </w:rPr>
            </w:pPr>
            <w:r w:rsidRPr="0032784D">
              <w:rPr>
                <w:b/>
              </w:rPr>
              <w:t>-</w:t>
            </w:r>
          </w:p>
        </w:tc>
        <w:tc>
          <w:tcPr>
            <w:tcW w:w="1407" w:type="dxa"/>
            <w:shd w:val="clear" w:color="auto" w:fill="F5EDC1" w:themeFill="accent4"/>
          </w:tcPr>
          <w:p w14:paraId="678CCD3A" w14:textId="538A1689" w:rsidR="0032784D" w:rsidRPr="0032784D" w:rsidRDefault="0032784D" w:rsidP="000B4E3E">
            <w:pPr>
              <w:jc w:val="right"/>
              <w:rPr>
                <w:b/>
              </w:rPr>
            </w:pPr>
            <w:r w:rsidRPr="0032784D">
              <w:rPr>
                <w:b/>
              </w:rPr>
              <w:t>19,000</w:t>
            </w:r>
          </w:p>
        </w:tc>
        <w:tc>
          <w:tcPr>
            <w:tcW w:w="1271" w:type="dxa"/>
            <w:shd w:val="clear" w:color="auto" w:fill="F5EDC1" w:themeFill="accent4"/>
          </w:tcPr>
          <w:p w14:paraId="1FAA08B5" w14:textId="738F69B9" w:rsidR="0032784D" w:rsidRPr="0032784D" w:rsidRDefault="0032784D" w:rsidP="0032784D">
            <w:pPr>
              <w:jc w:val="center"/>
              <w:rPr>
                <w:b/>
              </w:rPr>
            </w:pPr>
            <w:r w:rsidRPr="0032784D">
              <w:rPr>
                <w:b/>
              </w:rPr>
              <w:t>-</w:t>
            </w:r>
          </w:p>
        </w:tc>
        <w:tc>
          <w:tcPr>
            <w:tcW w:w="1430" w:type="dxa"/>
            <w:shd w:val="clear" w:color="auto" w:fill="F5EDC1" w:themeFill="accent4"/>
          </w:tcPr>
          <w:p w14:paraId="591CCB0A" w14:textId="5FD7C3E2" w:rsidR="0032784D" w:rsidRPr="0032784D" w:rsidRDefault="0032784D" w:rsidP="000B4E3E">
            <w:pPr>
              <w:jc w:val="right"/>
              <w:rPr>
                <w:b/>
              </w:rPr>
            </w:pPr>
            <w:r w:rsidRPr="0032784D">
              <w:rPr>
                <w:b/>
              </w:rPr>
              <w:t>19,000</w:t>
            </w:r>
          </w:p>
        </w:tc>
      </w:tr>
      <w:tr w:rsidR="0032784D" w:rsidRPr="0032784D" w14:paraId="15EF93F8" w14:textId="77777777" w:rsidTr="000B4E3E">
        <w:tc>
          <w:tcPr>
            <w:tcW w:w="2840" w:type="dxa"/>
          </w:tcPr>
          <w:p w14:paraId="2927E691" w14:textId="230C4579" w:rsidR="0032784D" w:rsidRPr="0032784D" w:rsidRDefault="0032784D" w:rsidP="000B4E3E">
            <w:pPr>
              <w:rPr>
                <w:i/>
              </w:rPr>
            </w:pPr>
            <w:r w:rsidRPr="0032784D">
              <w:rPr>
                <w:i/>
              </w:rPr>
              <w:t>2014</w:t>
            </w:r>
          </w:p>
        </w:tc>
        <w:tc>
          <w:tcPr>
            <w:tcW w:w="1252" w:type="dxa"/>
          </w:tcPr>
          <w:p w14:paraId="7AC50E5B" w14:textId="77777777" w:rsidR="0032784D" w:rsidRPr="0032784D" w:rsidRDefault="0032784D" w:rsidP="000B4E3E">
            <w:pPr>
              <w:jc w:val="right"/>
              <w:rPr>
                <w:b/>
              </w:rPr>
            </w:pPr>
          </w:p>
        </w:tc>
        <w:tc>
          <w:tcPr>
            <w:tcW w:w="1407" w:type="dxa"/>
          </w:tcPr>
          <w:p w14:paraId="74C4B669" w14:textId="77777777" w:rsidR="0032784D" w:rsidRPr="0032784D" w:rsidRDefault="0032784D" w:rsidP="000B4E3E">
            <w:pPr>
              <w:jc w:val="right"/>
              <w:rPr>
                <w:b/>
              </w:rPr>
            </w:pPr>
          </w:p>
        </w:tc>
        <w:tc>
          <w:tcPr>
            <w:tcW w:w="1271" w:type="dxa"/>
          </w:tcPr>
          <w:p w14:paraId="3996D600" w14:textId="77777777" w:rsidR="0032784D" w:rsidRPr="0032784D" w:rsidRDefault="0032784D" w:rsidP="0032784D">
            <w:pPr>
              <w:jc w:val="center"/>
              <w:rPr>
                <w:b/>
              </w:rPr>
            </w:pPr>
          </w:p>
        </w:tc>
        <w:tc>
          <w:tcPr>
            <w:tcW w:w="1430" w:type="dxa"/>
          </w:tcPr>
          <w:p w14:paraId="6A9CA194" w14:textId="77777777" w:rsidR="0032784D" w:rsidRPr="0032784D" w:rsidRDefault="0032784D" w:rsidP="000B4E3E">
            <w:pPr>
              <w:jc w:val="right"/>
              <w:rPr>
                <w:b/>
              </w:rPr>
            </w:pPr>
          </w:p>
        </w:tc>
      </w:tr>
      <w:tr w:rsidR="0032784D" w:rsidRPr="0032784D" w14:paraId="68F54242" w14:textId="77777777" w:rsidTr="0032784D">
        <w:tc>
          <w:tcPr>
            <w:tcW w:w="2840" w:type="dxa"/>
          </w:tcPr>
          <w:p w14:paraId="4C8F5C5B" w14:textId="23FBC801" w:rsidR="0032784D" w:rsidRDefault="0032784D" w:rsidP="000B4E3E">
            <w:r>
              <w:t>Land (Note 22)</w:t>
            </w:r>
          </w:p>
        </w:tc>
        <w:tc>
          <w:tcPr>
            <w:tcW w:w="1252" w:type="dxa"/>
            <w:shd w:val="clear" w:color="auto" w:fill="D4E2E0" w:themeFill="accent5"/>
          </w:tcPr>
          <w:p w14:paraId="32D6F676" w14:textId="68D35390" w:rsidR="0032784D" w:rsidRPr="0032784D" w:rsidRDefault="002D5C3B" w:rsidP="000B4E3E">
            <w:pPr>
              <w:jc w:val="right"/>
              <w:rPr>
                <w:b/>
              </w:rPr>
            </w:pPr>
            <w:r>
              <w:rPr>
                <w:b/>
              </w:rPr>
              <w:t>-</w:t>
            </w:r>
          </w:p>
        </w:tc>
        <w:tc>
          <w:tcPr>
            <w:tcW w:w="1407" w:type="dxa"/>
            <w:shd w:val="clear" w:color="auto" w:fill="D4E2E0" w:themeFill="accent5"/>
          </w:tcPr>
          <w:p w14:paraId="7BB9D9D1" w14:textId="0D3482AB" w:rsidR="0032784D" w:rsidRPr="0032784D" w:rsidRDefault="0032784D" w:rsidP="000B4E3E">
            <w:pPr>
              <w:jc w:val="right"/>
            </w:pPr>
            <w:r w:rsidRPr="0032784D">
              <w:t>15,700</w:t>
            </w:r>
          </w:p>
        </w:tc>
        <w:tc>
          <w:tcPr>
            <w:tcW w:w="1271" w:type="dxa"/>
            <w:shd w:val="clear" w:color="auto" w:fill="D4E2E0" w:themeFill="accent5"/>
          </w:tcPr>
          <w:p w14:paraId="23E615AC" w14:textId="528BE5CC" w:rsidR="0032784D" w:rsidRPr="0032784D" w:rsidRDefault="002D5C3B" w:rsidP="0032784D">
            <w:pPr>
              <w:jc w:val="center"/>
            </w:pPr>
            <w:r>
              <w:t>-</w:t>
            </w:r>
          </w:p>
        </w:tc>
        <w:tc>
          <w:tcPr>
            <w:tcW w:w="1430" w:type="dxa"/>
            <w:shd w:val="clear" w:color="auto" w:fill="D4E2E0" w:themeFill="accent5"/>
          </w:tcPr>
          <w:p w14:paraId="4CDA2CCB" w14:textId="3285855B" w:rsidR="0032784D" w:rsidRPr="0032784D" w:rsidRDefault="0032784D" w:rsidP="000B4E3E">
            <w:pPr>
              <w:jc w:val="right"/>
            </w:pPr>
            <w:r w:rsidRPr="0032784D">
              <w:t>15,700</w:t>
            </w:r>
          </w:p>
        </w:tc>
      </w:tr>
      <w:tr w:rsidR="0032784D" w:rsidRPr="0032784D" w14:paraId="411C152F" w14:textId="77777777" w:rsidTr="0032784D">
        <w:tc>
          <w:tcPr>
            <w:tcW w:w="2840" w:type="dxa"/>
          </w:tcPr>
          <w:p w14:paraId="425AB46A" w14:textId="44CDFF2A" w:rsidR="0032784D" w:rsidRDefault="0032784D" w:rsidP="000B4E3E">
            <w:r>
              <w:t>Buildings (Note 22)</w:t>
            </w:r>
            <w:r>
              <w:tab/>
            </w:r>
          </w:p>
        </w:tc>
        <w:tc>
          <w:tcPr>
            <w:tcW w:w="1252" w:type="dxa"/>
            <w:shd w:val="clear" w:color="auto" w:fill="D4E2E0" w:themeFill="accent5"/>
          </w:tcPr>
          <w:p w14:paraId="2CC82BE3" w14:textId="0E399814" w:rsidR="0032784D" w:rsidRPr="0032784D" w:rsidRDefault="002D5C3B" w:rsidP="000B4E3E">
            <w:pPr>
              <w:jc w:val="right"/>
              <w:rPr>
                <w:b/>
              </w:rPr>
            </w:pPr>
            <w:r>
              <w:rPr>
                <w:b/>
              </w:rPr>
              <w:t>-</w:t>
            </w:r>
          </w:p>
        </w:tc>
        <w:tc>
          <w:tcPr>
            <w:tcW w:w="1407" w:type="dxa"/>
            <w:shd w:val="clear" w:color="auto" w:fill="D4E2E0" w:themeFill="accent5"/>
          </w:tcPr>
          <w:p w14:paraId="16487417" w14:textId="2DC2C388" w:rsidR="0032784D" w:rsidRPr="0032784D" w:rsidRDefault="0032784D" w:rsidP="000B4E3E">
            <w:pPr>
              <w:jc w:val="right"/>
            </w:pPr>
            <w:r>
              <w:t>6,100</w:t>
            </w:r>
          </w:p>
        </w:tc>
        <w:tc>
          <w:tcPr>
            <w:tcW w:w="1271" w:type="dxa"/>
            <w:shd w:val="clear" w:color="auto" w:fill="D4E2E0" w:themeFill="accent5"/>
          </w:tcPr>
          <w:p w14:paraId="749A5AE9" w14:textId="5BFB953B" w:rsidR="0032784D" w:rsidRPr="0032784D" w:rsidRDefault="002D5C3B" w:rsidP="0032784D">
            <w:pPr>
              <w:jc w:val="center"/>
            </w:pPr>
            <w:r>
              <w:t>-</w:t>
            </w:r>
          </w:p>
        </w:tc>
        <w:tc>
          <w:tcPr>
            <w:tcW w:w="1430" w:type="dxa"/>
            <w:shd w:val="clear" w:color="auto" w:fill="D4E2E0" w:themeFill="accent5"/>
          </w:tcPr>
          <w:p w14:paraId="609EA490" w14:textId="23D3F7A6" w:rsidR="0032784D" w:rsidRPr="0032784D" w:rsidRDefault="0032784D" w:rsidP="000B4E3E">
            <w:pPr>
              <w:jc w:val="right"/>
            </w:pPr>
            <w:r>
              <w:t>6,100</w:t>
            </w:r>
          </w:p>
        </w:tc>
      </w:tr>
      <w:tr w:rsidR="0032784D" w:rsidRPr="0032784D" w14:paraId="76F55CBF" w14:textId="77777777" w:rsidTr="0032784D">
        <w:tc>
          <w:tcPr>
            <w:tcW w:w="2840" w:type="dxa"/>
          </w:tcPr>
          <w:p w14:paraId="6996F374" w14:textId="77777777" w:rsidR="0032784D" w:rsidRDefault="0032784D" w:rsidP="000B4E3E"/>
        </w:tc>
        <w:tc>
          <w:tcPr>
            <w:tcW w:w="1252" w:type="dxa"/>
            <w:tcBorders>
              <w:bottom w:val="single" w:sz="4" w:space="0" w:color="auto"/>
            </w:tcBorders>
            <w:shd w:val="clear" w:color="auto" w:fill="D4E2E0" w:themeFill="accent5"/>
          </w:tcPr>
          <w:p w14:paraId="5F06A213" w14:textId="3DF4018D" w:rsidR="0032784D" w:rsidRPr="0032784D" w:rsidRDefault="0032784D" w:rsidP="000B4E3E">
            <w:pPr>
              <w:jc w:val="right"/>
              <w:rPr>
                <w:b/>
              </w:rPr>
            </w:pPr>
            <w:r w:rsidRPr="0032784D">
              <w:rPr>
                <w:b/>
              </w:rPr>
              <w:t>-</w:t>
            </w:r>
          </w:p>
        </w:tc>
        <w:tc>
          <w:tcPr>
            <w:tcW w:w="1407" w:type="dxa"/>
            <w:tcBorders>
              <w:bottom w:val="single" w:sz="4" w:space="0" w:color="auto"/>
            </w:tcBorders>
            <w:shd w:val="clear" w:color="auto" w:fill="D4E2E0" w:themeFill="accent5"/>
          </w:tcPr>
          <w:p w14:paraId="1C849330" w14:textId="54EC42EE" w:rsidR="0032784D" w:rsidRPr="0032784D" w:rsidRDefault="0032784D" w:rsidP="000B4E3E">
            <w:pPr>
              <w:jc w:val="right"/>
              <w:rPr>
                <w:b/>
              </w:rPr>
            </w:pPr>
            <w:r w:rsidRPr="0032784D">
              <w:rPr>
                <w:b/>
              </w:rPr>
              <w:t>21,800</w:t>
            </w:r>
          </w:p>
        </w:tc>
        <w:tc>
          <w:tcPr>
            <w:tcW w:w="1271" w:type="dxa"/>
            <w:tcBorders>
              <w:bottom w:val="single" w:sz="4" w:space="0" w:color="auto"/>
            </w:tcBorders>
            <w:shd w:val="clear" w:color="auto" w:fill="D4E2E0" w:themeFill="accent5"/>
          </w:tcPr>
          <w:p w14:paraId="250F5B93" w14:textId="06D093F5" w:rsidR="0032784D" w:rsidRPr="0032784D" w:rsidRDefault="0032784D" w:rsidP="0032784D">
            <w:pPr>
              <w:jc w:val="center"/>
              <w:rPr>
                <w:b/>
              </w:rPr>
            </w:pPr>
            <w:r w:rsidRPr="0032784D">
              <w:rPr>
                <w:b/>
              </w:rPr>
              <w:t>-</w:t>
            </w:r>
          </w:p>
        </w:tc>
        <w:tc>
          <w:tcPr>
            <w:tcW w:w="1430" w:type="dxa"/>
            <w:tcBorders>
              <w:bottom w:val="single" w:sz="4" w:space="0" w:color="auto"/>
            </w:tcBorders>
            <w:shd w:val="clear" w:color="auto" w:fill="D4E2E0" w:themeFill="accent5"/>
          </w:tcPr>
          <w:p w14:paraId="5938E6A6" w14:textId="0AC8DC46" w:rsidR="0032784D" w:rsidRPr="0032784D" w:rsidRDefault="0032784D" w:rsidP="000B4E3E">
            <w:pPr>
              <w:jc w:val="right"/>
              <w:rPr>
                <w:b/>
              </w:rPr>
            </w:pPr>
            <w:r w:rsidRPr="0032784D">
              <w:rPr>
                <w:b/>
              </w:rPr>
              <w:t>21,800</w:t>
            </w:r>
          </w:p>
        </w:tc>
      </w:tr>
    </w:tbl>
    <w:p w14:paraId="3FAF3784" w14:textId="77777777" w:rsidR="00B842C2" w:rsidRDefault="00B842C2" w:rsidP="00B842C2">
      <w:r w:rsidRPr="00B842C2">
        <w:lastRenderedPageBreak/>
        <w:t>There were no transfers between Levels 1, 2 or 3 during the current and the previous periods</w:t>
      </w:r>
      <w:r>
        <w:t>.</w:t>
      </w:r>
      <w:r w:rsidR="0032784D">
        <w:tab/>
      </w:r>
    </w:p>
    <w:p w14:paraId="7FD671CA" w14:textId="77777777" w:rsidR="00B842C2" w:rsidRPr="00DA1E18" w:rsidRDefault="00B842C2" w:rsidP="00B842C2">
      <w:pPr>
        <w:rPr>
          <w:rStyle w:val="Strong"/>
        </w:rPr>
      </w:pPr>
      <w:r w:rsidRPr="00DA1E18">
        <w:rPr>
          <w:rStyle w:val="Strong"/>
        </w:rPr>
        <w:t>Valuation techniques to derive Level 2 fair values</w:t>
      </w:r>
    </w:p>
    <w:p w14:paraId="17108E34" w14:textId="11CA2000" w:rsidR="00B842C2" w:rsidRDefault="00B842C2" w:rsidP="00B842C2">
      <w:r>
        <w:t>Level 2 fair values of Land and Buildings (office accommodation) are derived using the market approach.  Market evidence of sales prices of comparable land and buildings (office accommodation) in close proximity is used to determine price per square metre.</w:t>
      </w:r>
    </w:p>
    <w:p w14:paraId="712C0DEB" w14:textId="77777777" w:rsidR="00B842C2" w:rsidRPr="00DA1E18" w:rsidRDefault="00B842C2" w:rsidP="00B842C2">
      <w:pPr>
        <w:rPr>
          <w:rStyle w:val="Strong"/>
        </w:rPr>
      </w:pPr>
      <w:r w:rsidRPr="00DA1E18">
        <w:rPr>
          <w:rStyle w:val="Strong"/>
        </w:rPr>
        <w:t>Valuation Processes</w:t>
      </w:r>
    </w:p>
    <w:p w14:paraId="43A5C058" w14:textId="421EF6F1" w:rsidR="0032784D" w:rsidRDefault="00B842C2" w:rsidP="00B842C2">
      <w:r>
        <w:t>There were no changes in valuation techniques during the period.</w:t>
      </w:r>
      <w:r w:rsidR="0032784D">
        <w:tab/>
      </w:r>
      <w:r w:rsidR="0032784D">
        <w:tab/>
      </w:r>
    </w:p>
    <w:p w14:paraId="525BB0FD" w14:textId="05B7D89E" w:rsidR="00062962" w:rsidRDefault="006B256F" w:rsidP="00F576B8">
      <w:pPr>
        <w:pStyle w:val="Heading2nonumber"/>
        <w:numPr>
          <w:ilvl w:val="0"/>
          <w:numId w:val="15"/>
        </w:numPr>
      </w:pPr>
      <w:bookmarkStart w:id="703" w:name="_Toc430091381"/>
      <w:r>
        <w:t>Intangible assets</w:t>
      </w:r>
      <w:bookmarkEnd w:id="7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2080"/>
        <w:gridCol w:w="1997"/>
      </w:tblGrid>
      <w:tr w:rsidR="00B17E69" w14:paraId="396ED33C" w14:textId="77777777" w:rsidTr="000B4E3E">
        <w:tc>
          <w:tcPr>
            <w:tcW w:w="5070" w:type="dxa"/>
          </w:tcPr>
          <w:p w14:paraId="234EF3AE" w14:textId="77777777" w:rsidR="00B17E69" w:rsidRDefault="00B17E69" w:rsidP="000B4E3E"/>
        </w:tc>
        <w:tc>
          <w:tcPr>
            <w:tcW w:w="2126" w:type="dxa"/>
          </w:tcPr>
          <w:p w14:paraId="26E72C69" w14:textId="77777777" w:rsidR="00B17E69" w:rsidRDefault="00B17E69" w:rsidP="000B4E3E">
            <w:pPr>
              <w:jc w:val="right"/>
            </w:pPr>
            <w:r>
              <w:t>2015</w:t>
            </w:r>
          </w:p>
        </w:tc>
        <w:tc>
          <w:tcPr>
            <w:tcW w:w="2046" w:type="dxa"/>
          </w:tcPr>
          <w:p w14:paraId="0D9F7597" w14:textId="77777777" w:rsidR="00B17E69" w:rsidRDefault="00B17E69" w:rsidP="000B4E3E">
            <w:pPr>
              <w:jc w:val="right"/>
            </w:pPr>
            <w:r>
              <w:t>2014</w:t>
            </w:r>
          </w:p>
        </w:tc>
      </w:tr>
      <w:tr w:rsidR="00B17E69" w14:paraId="2F30FDA2" w14:textId="77777777" w:rsidTr="000B4E3E">
        <w:tc>
          <w:tcPr>
            <w:tcW w:w="5070" w:type="dxa"/>
          </w:tcPr>
          <w:p w14:paraId="6BAA732B" w14:textId="77777777" w:rsidR="00B17E69" w:rsidRDefault="00B17E69" w:rsidP="000B4E3E"/>
        </w:tc>
        <w:tc>
          <w:tcPr>
            <w:tcW w:w="2126" w:type="dxa"/>
          </w:tcPr>
          <w:p w14:paraId="051138AD" w14:textId="77777777" w:rsidR="00B17E69" w:rsidRDefault="00B17E69" w:rsidP="000B4E3E">
            <w:pPr>
              <w:jc w:val="right"/>
            </w:pPr>
            <w:r>
              <w:t>$000</w:t>
            </w:r>
          </w:p>
        </w:tc>
        <w:tc>
          <w:tcPr>
            <w:tcW w:w="2046" w:type="dxa"/>
          </w:tcPr>
          <w:p w14:paraId="00B808A9" w14:textId="77777777" w:rsidR="00B17E69" w:rsidRDefault="00B17E69" w:rsidP="000B4E3E">
            <w:pPr>
              <w:jc w:val="right"/>
            </w:pPr>
            <w:r>
              <w:t>$000</w:t>
            </w:r>
          </w:p>
        </w:tc>
      </w:tr>
      <w:tr w:rsidR="006B256F" w14:paraId="07E2B8A4" w14:textId="77777777" w:rsidTr="000B4E3E">
        <w:tc>
          <w:tcPr>
            <w:tcW w:w="5070" w:type="dxa"/>
          </w:tcPr>
          <w:p w14:paraId="07F60C7A" w14:textId="1FD22A12" w:rsidR="006B256F" w:rsidRPr="006B256F" w:rsidRDefault="006B256F" w:rsidP="000B4E3E">
            <w:pPr>
              <w:rPr>
                <w:i/>
              </w:rPr>
            </w:pPr>
            <w:r w:rsidRPr="006B256F">
              <w:rPr>
                <w:i/>
              </w:rPr>
              <w:t>Licenses</w:t>
            </w:r>
          </w:p>
        </w:tc>
        <w:tc>
          <w:tcPr>
            <w:tcW w:w="2126" w:type="dxa"/>
          </w:tcPr>
          <w:p w14:paraId="054954A7" w14:textId="77777777" w:rsidR="006B256F" w:rsidRDefault="006B256F" w:rsidP="000B4E3E">
            <w:pPr>
              <w:jc w:val="right"/>
            </w:pPr>
          </w:p>
        </w:tc>
        <w:tc>
          <w:tcPr>
            <w:tcW w:w="2046" w:type="dxa"/>
          </w:tcPr>
          <w:p w14:paraId="69414436" w14:textId="77777777" w:rsidR="006B256F" w:rsidRDefault="006B256F" w:rsidP="000B4E3E">
            <w:pPr>
              <w:jc w:val="right"/>
            </w:pPr>
          </w:p>
        </w:tc>
      </w:tr>
      <w:tr w:rsidR="00B17E69" w14:paraId="43C145A1" w14:textId="77777777" w:rsidTr="000B4E3E">
        <w:tc>
          <w:tcPr>
            <w:tcW w:w="5070" w:type="dxa"/>
          </w:tcPr>
          <w:p w14:paraId="057EF936" w14:textId="5CA4BABF" w:rsidR="00B17E69" w:rsidRDefault="006B256F" w:rsidP="000B4E3E">
            <w:r>
              <w:t>At cost</w:t>
            </w:r>
          </w:p>
        </w:tc>
        <w:tc>
          <w:tcPr>
            <w:tcW w:w="2126" w:type="dxa"/>
            <w:shd w:val="clear" w:color="auto" w:fill="F5EDC1" w:themeFill="accent4"/>
          </w:tcPr>
          <w:p w14:paraId="732B44EC" w14:textId="369D12CB" w:rsidR="00B17E69" w:rsidRDefault="006B256F" w:rsidP="000B4E3E">
            <w:pPr>
              <w:jc w:val="right"/>
            </w:pPr>
            <w:r>
              <w:t>170</w:t>
            </w:r>
          </w:p>
        </w:tc>
        <w:tc>
          <w:tcPr>
            <w:tcW w:w="2046" w:type="dxa"/>
            <w:shd w:val="clear" w:color="auto" w:fill="D4E2E0" w:themeFill="accent5"/>
          </w:tcPr>
          <w:p w14:paraId="5E00120C" w14:textId="42E6D4AE" w:rsidR="00B17E69" w:rsidRDefault="006B256F" w:rsidP="000B4E3E">
            <w:pPr>
              <w:jc w:val="right"/>
            </w:pPr>
            <w:r>
              <w:t>119</w:t>
            </w:r>
          </w:p>
        </w:tc>
      </w:tr>
      <w:tr w:rsidR="00B17E69" w14:paraId="7B01C8DD" w14:textId="77777777" w:rsidTr="006B256F">
        <w:tc>
          <w:tcPr>
            <w:tcW w:w="5070" w:type="dxa"/>
          </w:tcPr>
          <w:p w14:paraId="68990136" w14:textId="2C79F65F" w:rsidR="00B17E69" w:rsidRDefault="006B256F" w:rsidP="000B4E3E">
            <w:r>
              <w:t>Accumulated amortisation</w:t>
            </w:r>
          </w:p>
        </w:tc>
        <w:tc>
          <w:tcPr>
            <w:tcW w:w="2126" w:type="dxa"/>
            <w:shd w:val="clear" w:color="auto" w:fill="F5EDC1" w:themeFill="accent4"/>
          </w:tcPr>
          <w:p w14:paraId="50D058A5" w14:textId="5DED6836" w:rsidR="00B17E69" w:rsidRDefault="006B256F" w:rsidP="000B4E3E">
            <w:pPr>
              <w:jc w:val="right"/>
            </w:pPr>
            <w:r>
              <w:t>(64)</w:t>
            </w:r>
          </w:p>
        </w:tc>
        <w:tc>
          <w:tcPr>
            <w:tcW w:w="2046" w:type="dxa"/>
            <w:shd w:val="clear" w:color="auto" w:fill="D4E2E0" w:themeFill="accent5"/>
          </w:tcPr>
          <w:p w14:paraId="63E59E96" w14:textId="77C3C751" w:rsidR="00B17E69" w:rsidRDefault="006B256F" w:rsidP="000B4E3E">
            <w:pPr>
              <w:jc w:val="right"/>
            </w:pPr>
            <w:r>
              <w:t>(44)</w:t>
            </w:r>
          </w:p>
        </w:tc>
      </w:tr>
      <w:tr w:rsidR="006B256F" w14:paraId="1173B8B0" w14:textId="77777777" w:rsidTr="006B256F">
        <w:tc>
          <w:tcPr>
            <w:tcW w:w="5070" w:type="dxa"/>
          </w:tcPr>
          <w:p w14:paraId="405ED75F" w14:textId="77777777" w:rsidR="006B256F" w:rsidRDefault="006B256F" w:rsidP="000B4E3E"/>
        </w:tc>
        <w:tc>
          <w:tcPr>
            <w:tcW w:w="2126" w:type="dxa"/>
            <w:tcBorders>
              <w:bottom w:val="single" w:sz="4" w:space="0" w:color="auto"/>
            </w:tcBorders>
            <w:shd w:val="clear" w:color="auto" w:fill="F5EDC1" w:themeFill="accent4"/>
          </w:tcPr>
          <w:p w14:paraId="11793C38" w14:textId="1F80EFC3" w:rsidR="006B256F" w:rsidRPr="006B256F" w:rsidRDefault="006B256F" w:rsidP="000B4E3E">
            <w:pPr>
              <w:jc w:val="right"/>
              <w:rPr>
                <w:b/>
              </w:rPr>
            </w:pPr>
            <w:r w:rsidRPr="006B256F">
              <w:rPr>
                <w:b/>
              </w:rPr>
              <w:t>106</w:t>
            </w:r>
          </w:p>
        </w:tc>
        <w:tc>
          <w:tcPr>
            <w:tcW w:w="2046" w:type="dxa"/>
            <w:tcBorders>
              <w:bottom w:val="single" w:sz="4" w:space="0" w:color="auto"/>
            </w:tcBorders>
            <w:shd w:val="clear" w:color="auto" w:fill="D4E2E0" w:themeFill="accent5"/>
          </w:tcPr>
          <w:p w14:paraId="7307E89D" w14:textId="307ACBAE" w:rsidR="006B256F" w:rsidRPr="006B256F" w:rsidRDefault="006B256F" w:rsidP="000B4E3E">
            <w:pPr>
              <w:jc w:val="right"/>
              <w:rPr>
                <w:b/>
              </w:rPr>
            </w:pPr>
            <w:r w:rsidRPr="006B256F">
              <w:rPr>
                <w:b/>
              </w:rPr>
              <w:t>75</w:t>
            </w:r>
          </w:p>
        </w:tc>
      </w:tr>
      <w:tr w:rsidR="006B256F" w14:paraId="3AF2A291" w14:textId="77777777" w:rsidTr="006B256F">
        <w:tc>
          <w:tcPr>
            <w:tcW w:w="5070" w:type="dxa"/>
          </w:tcPr>
          <w:p w14:paraId="07CEE6CA" w14:textId="09536261" w:rsidR="006B256F" w:rsidRDefault="006B256F" w:rsidP="000B4E3E">
            <w:r>
              <w:t>Computer Software</w:t>
            </w:r>
          </w:p>
        </w:tc>
        <w:tc>
          <w:tcPr>
            <w:tcW w:w="2126" w:type="dxa"/>
            <w:tcBorders>
              <w:top w:val="single" w:sz="4" w:space="0" w:color="auto"/>
            </w:tcBorders>
            <w:shd w:val="clear" w:color="auto" w:fill="FFFFFF" w:themeFill="background1"/>
          </w:tcPr>
          <w:p w14:paraId="27788E6E" w14:textId="77777777" w:rsidR="006B256F" w:rsidRDefault="006B256F" w:rsidP="000B4E3E">
            <w:pPr>
              <w:jc w:val="right"/>
            </w:pPr>
          </w:p>
        </w:tc>
        <w:tc>
          <w:tcPr>
            <w:tcW w:w="2046" w:type="dxa"/>
            <w:tcBorders>
              <w:top w:val="single" w:sz="4" w:space="0" w:color="auto"/>
            </w:tcBorders>
            <w:shd w:val="clear" w:color="auto" w:fill="FFFFFF" w:themeFill="background1"/>
          </w:tcPr>
          <w:p w14:paraId="56FCCA88" w14:textId="77777777" w:rsidR="006B256F" w:rsidRDefault="006B256F" w:rsidP="000B4E3E">
            <w:pPr>
              <w:jc w:val="right"/>
            </w:pPr>
          </w:p>
        </w:tc>
      </w:tr>
      <w:tr w:rsidR="006B256F" w14:paraId="2B0CD5F7" w14:textId="77777777" w:rsidTr="000B4E3E">
        <w:tc>
          <w:tcPr>
            <w:tcW w:w="5070" w:type="dxa"/>
          </w:tcPr>
          <w:p w14:paraId="0FA05AB1" w14:textId="52C294AB" w:rsidR="006B256F" w:rsidRDefault="006B256F" w:rsidP="000B4E3E">
            <w:r>
              <w:t>At cost</w:t>
            </w:r>
          </w:p>
        </w:tc>
        <w:tc>
          <w:tcPr>
            <w:tcW w:w="2126" w:type="dxa"/>
            <w:shd w:val="clear" w:color="auto" w:fill="F5EDC1" w:themeFill="accent4"/>
          </w:tcPr>
          <w:p w14:paraId="15C3E9D5" w14:textId="0DCE3AAB" w:rsidR="006B256F" w:rsidRDefault="006B256F" w:rsidP="000B4E3E">
            <w:pPr>
              <w:jc w:val="right"/>
            </w:pPr>
            <w:r>
              <w:t>3,828</w:t>
            </w:r>
          </w:p>
        </w:tc>
        <w:tc>
          <w:tcPr>
            <w:tcW w:w="2046" w:type="dxa"/>
            <w:shd w:val="clear" w:color="auto" w:fill="D4E2E0" w:themeFill="accent5"/>
          </w:tcPr>
          <w:p w14:paraId="17EE4654" w14:textId="3BAD5DBB" w:rsidR="006B256F" w:rsidRDefault="006B256F" w:rsidP="000B4E3E">
            <w:pPr>
              <w:jc w:val="right"/>
            </w:pPr>
            <w:r>
              <w:t>3,761</w:t>
            </w:r>
          </w:p>
        </w:tc>
      </w:tr>
      <w:tr w:rsidR="006B256F" w14:paraId="4595CD08" w14:textId="77777777" w:rsidTr="006B256F">
        <w:tc>
          <w:tcPr>
            <w:tcW w:w="5070" w:type="dxa"/>
          </w:tcPr>
          <w:p w14:paraId="3C6C79DD" w14:textId="1EE780E1" w:rsidR="006B256F" w:rsidRDefault="006B256F" w:rsidP="000B4E3E">
            <w:r>
              <w:t>Accumulated amortisation</w:t>
            </w:r>
          </w:p>
        </w:tc>
        <w:tc>
          <w:tcPr>
            <w:tcW w:w="2126" w:type="dxa"/>
            <w:shd w:val="clear" w:color="auto" w:fill="F5EDC1" w:themeFill="accent4"/>
          </w:tcPr>
          <w:p w14:paraId="288BEE7A" w14:textId="3247EA77" w:rsidR="006B256F" w:rsidRDefault="006B256F" w:rsidP="000B4E3E">
            <w:pPr>
              <w:jc w:val="right"/>
            </w:pPr>
            <w:r>
              <w:t>(1,100)</w:t>
            </w:r>
          </w:p>
        </w:tc>
        <w:tc>
          <w:tcPr>
            <w:tcW w:w="2046" w:type="dxa"/>
            <w:shd w:val="clear" w:color="auto" w:fill="D4E2E0" w:themeFill="accent5"/>
          </w:tcPr>
          <w:p w14:paraId="1B4873F9" w14:textId="0BFAAFF3" w:rsidR="006B256F" w:rsidRDefault="006B256F" w:rsidP="000B4E3E">
            <w:pPr>
              <w:jc w:val="right"/>
            </w:pPr>
            <w:r>
              <w:t>(663)</w:t>
            </w:r>
          </w:p>
        </w:tc>
      </w:tr>
      <w:tr w:rsidR="006B256F" w14:paraId="373A2009" w14:textId="77777777" w:rsidTr="006B256F">
        <w:tc>
          <w:tcPr>
            <w:tcW w:w="5070" w:type="dxa"/>
          </w:tcPr>
          <w:p w14:paraId="3D107DDC" w14:textId="77777777" w:rsidR="006B256F" w:rsidRDefault="006B256F" w:rsidP="000B4E3E"/>
        </w:tc>
        <w:tc>
          <w:tcPr>
            <w:tcW w:w="2126" w:type="dxa"/>
            <w:tcBorders>
              <w:bottom w:val="single" w:sz="4" w:space="0" w:color="auto"/>
            </w:tcBorders>
            <w:shd w:val="clear" w:color="auto" w:fill="F5EDC1" w:themeFill="accent4"/>
          </w:tcPr>
          <w:p w14:paraId="3CB92F13" w14:textId="4BEBD9C7" w:rsidR="006B256F" w:rsidRPr="006B256F" w:rsidRDefault="006B256F" w:rsidP="000B4E3E">
            <w:pPr>
              <w:jc w:val="right"/>
              <w:rPr>
                <w:b/>
              </w:rPr>
            </w:pPr>
            <w:r w:rsidRPr="006B256F">
              <w:rPr>
                <w:b/>
              </w:rPr>
              <w:t>2,728</w:t>
            </w:r>
          </w:p>
        </w:tc>
        <w:tc>
          <w:tcPr>
            <w:tcW w:w="2046" w:type="dxa"/>
            <w:tcBorders>
              <w:bottom w:val="single" w:sz="4" w:space="0" w:color="auto"/>
            </w:tcBorders>
            <w:shd w:val="clear" w:color="auto" w:fill="D4E2E0" w:themeFill="accent5"/>
          </w:tcPr>
          <w:p w14:paraId="274FB0B0" w14:textId="320E7F56" w:rsidR="006B256F" w:rsidRPr="006B256F" w:rsidRDefault="006B256F" w:rsidP="000B4E3E">
            <w:pPr>
              <w:jc w:val="right"/>
              <w:rPr>
                <w:b/>
              </w:rPr>
            </w:pPr>
            <w:r w:rsidRPr="006B256F">
              <w:rPr>
                <w:b/>
              </w:rPr>
              <w:t>3,098</w:t>
            </w:r>
          </w:p>
        </w:tc>
      </w:tr>
      <w:tr w:rsidR="006B256F" w14:paraId="6F22E468" w14:textId="77777777" w:rsidTr="006B256F">
        <w:tc>
          <w:tcPr>
            <w:tcW w:w="5070" w:type="dxa"/>
          </w:tcPr>
          <w:p w14:paraId="1A4F1879" w14:textId="77777777" w:rsidR="006B256F" w:rsidRDefault="006B256F" w:rsidP="000B4E3E"/>
        </w:tc>
        <w:tc>
          <w:tcPr>
            <w:tcW w:w="2126" w:type="dxa"/>
            <w:tcBorders>
              <w:top w:val="single" w:sz="4" w:space="0" w:color="auto"/>
              <w:bottom w:val="single" w:sz="4" w:space="0" w:color="auto"/>
            </w:tcBorders>
            <w:shd w:val="clear" w:color="auto" w:fill="F5EDC1" w:themeFill="accent4"/>
          </w:tcPr>
          <w:p w14:paraId="676A9D9D" w14:textId="2162E15A" w:rsidR="006B256F" w:rsidRPr="006B256F" w:rsidRDefault="006B256F" w:rsidP="000B4E3E">
            <w:pPr>
              <w:jc w:val="right"/>
              <w:rPr>
                <w:b/>
              </w:rPr>
            </w:pPr>
            <w:r w:rsidRPr="006B256F">
              <w:rPr>
                <w:b/>
              </w:rPr>
              <w:t>2,834</w:t>
            </w:r>
          </w:p>
        </w:tc>
        <w:tc>
          <w:tcPr>
            <w:tcW w:w="2046" w:type="dxa"/>
            <w:tcBorders>
              <w:top w:val="single" w:sz="4" w:space="0" w:color="auto"/>
              <w:bottom w:val="single" w:sz="4" w:space="0" w:color="auto"/>
            </w:tcBorders>
            <w:shd w:val="clear" w:color="auto" w:fill="D4E2E0" w:themeFill="accent5"/>
          </w:tcPr>
          <w:p w14:paraId="002D9111" w14:textId="696BF629" w:rsidR="006B256F" w:rsidRPr="006B256F" w:rsidRDefault="006B256F" w:rsidP="000B4E3E">
            <w:pPr>
              <w:jc w:val="right"/>
              <w:rPr>
                <w:b/>
              </w:rPr>
            </w:pPr>
            <w:r w:rsidRPr="006B256F">
              <w:rPr>
                <w:b/>
              </w:rPr>
              <w:t>3,173</w:t>
            </w:r>
          </w:p>
        </w:tc>
      </w:tr>
      <w:tr w:rsidR="006B256F" w14:paraId="5D4B0099" w14:textId="77777777" w:rsidTr="006B256F">
        <w:tc>
          <w:tcPr>
            <w:tcW w:w="5070" w:type="dxa"/>
            <w:shd w:val="clear" w:color="auto" w:fill="FFFFFF" w:themeFill="background1"/>
          </w:tcPr>
          <w:p w14:paraId="55219474" w14:textId="474607BE" w:rsidR="006B256F" w:rsidRPr="006B256F" w:rsidRDefault="006B256F" w:rsidP="000B4E3E">
            <w:pPr>
              <w:rPr>
                <w:b/>
              </w:rPr>
            </w:pPr>
            <w:r w:rsidRPr="006B256F">
              <w:rPr>
                <w:b/>
              </w:rPr>
              <w:t>Reconciliations:</w:t>
            </w:r>
          </w:p>
        </w:tc>
        <w:tc>
          <w:tcPr>
            <w:tcW w:w="2126" w:type="dxa"/>
            <w:tcBorders>
              <w:top w:val="single" w:sz="4" w:space="0" w:color="auto"/>
            </w:tcBorders>
            <w:shd w:val="clear" w:color="auto" w:fill="FFFFFF" w:themeFill="background1"/>
          </w:tcPr>
          <w:p w14:paraId="044916D6" w14:textId="77777777" w:rsidR="006B256F" w:rsidRDefault="006B256F" w:rsidP="000B4E3E">
            <w:pPr>
              <w:jc w:val="right"/>
            </w:pPr>
          </w:p>
        </w:tc>
        <w:tc>
          <w:tcPr>
            <w:tcW w:w="2046" w:type="dxa"/>
            <w:tcBorders>
              <w:top w:val="single" w:sz="4" w:space="0" w:color="auto"/>
            </w:tcBorders>
            <w:shd w:val="clear" w:color="auto" w:fill="FFFFFF" w:themeFill="background1"/>
          </w:tcPr>
          <w:p w14:paraId="02FDCA6A" w14:textId="77777777" w:rsidR="006B256F" w:rsidRDefault="006B256F" w:rsidP="000B4E3E">
            <w:pPr>
              <w:jc w:val="right"/>
            </w:pPr>
          </w:p>
        </w:tc>
      </w:tr>
      <w:tr w:rsidR="006B256F" w14:paraId="25F51C29" w14:textId="77777777" w:rsidTr="006B256F">
        <w:tc>
          <w:tcPr>
            <w:tcW w:w="5070" w:type="dxa"/>
            <w:shd w:val="clear" w:color="auto" w:fill="FFFFFF" w:themeFill="background1"/>
          </w:tcPr>
          <w:p w14:paraId="14C577C6" w14:textId="64A3DC5D" w:rsidR="006B256F" w:rsidRPr="006B256F" w:rsidRDefault="006B256F" w:rsidP="000B4E3E">
            <w:pPr>
              <w:rPr>
                <w:i/>
              </w:rPr>
            </w:pPr>
            <w:r w:rsidRPr="006B256F">
              <w:rPr>
                <w:i/>
              </w:rPr>
              <w:t>Licenses</w:t>
            </w:r>
          </w:p>
        </w:tc>
        <w:tc>
          <w:tcPr>
            <w:tcW w:w="2126" w:type="dxa"/>
            <w:shd w:val="clear" w:color="auto" w:fill="FFFFFF" w:themeFill="background1"/>
          </w:tcPr>
          <w:p w14:paraId="76909D66" w14:textId="77777777" w:rsidR="006B256F" w:rsidRDefault="006B256F" w:rsidP="000B4E3E">
            <w:pPr>
              <w:jc w:val="right"/>
            </w:pPr>
          </w:p>
        </w:tc>
        <w:tc>
          <w:tcPr>
            <w:tcW w:w="2046" w:type="dxa"/>
            <w:shd w:val="clear" w:color="auto" w:fill="FFFFFF" w:themeFill="background1"/>
          </w:tcPr>
          <w:p w14:paraId="24F35448" w14:textId="77777777" w:rsidR="006B256F" w:rsidRDefault="006B256F" w:rsidP="000B4E3E">
            <w:pPr>
              <w:jc w:val="right"/>
            </w:pPr>
          </w:p>
        </w:tc>
      </w:tr>
      <w:tr w:rsidR="006B256F" w14:paraId="29BFE871" w14:textId="77777777" w:rsidTr="000B4E3E">
        <w:tc>
          <w:tcPr>
            <w:tcW w:w="5070" w:type="dxa"/>
          </w:tcPr>
          <w:p w14:paraId="15F2679E" w14:textId="4245135D" w:rsidR="006B256F" w:rsidRDefault="006B256F" w:rsidP="000B4E3E">
            <w:r>
              <w:t>Carrying amount at start of period</w:t>
            </w:r>
          </w:p>
        </w:tc>
        <w:tc>
          <w:tcPr>
            <w:tcW w:w="2126" w:type="dxa"/>
            <w:shd w:val="clear" w:color="auto" w:fill="F5EDC1" w:themeFill="accent4"/>
          </w:tcPr>
          <w:p w14:paraId="0F7DD65E" w14:textId="6F04A83B" w:rsidR="006B256F" w:rsidRDefault="006B256F" w:rsidP="000B4E3E">
            <w:pPr>
              <w:jc w:val="right"/>
            </w:pPr>
            <w:r>
              <w:t>75</w:t>
            </w:r>
          </w:p>
        </w:tc>
        <w:tc>
          <w:tcPr>
            <w:tcW w:w="2046" w:type="dxa"/>
            <w:shd w:val="clear" w:color="auto" w:fill="D4E2E0" w:themeFill="accent5"/>
          </w:tcPr>
          <w:p w14:paraId="69958FF0" w14:textId="20B6CA49" w:rsidR="006B256F" w:rsidRDefault="006B256F" w:rsidP="000B4E3E">
            <w:pPr>
              <w:jc w:val="right"/>
            </w:pPr>
            <w:r>
              <w:t>91</w:t>
            </w:r>
          </w:p>
        </w:tc>
      </w:tr>
      <w:tr w:rsidR="006B256F" w14:paraId="54004FB1" w14:textId="77777777" w:rsidTr="000B4E3E">
        <w:tc>
          <w:tcPr>
            <w:tcW w:w="5070" w:type="dxa"/>
          </w:tcPr>
          <w:p w14:paraId="166BB39C" w14:textId="2AFE1D8F" w:rsidR="006B256F" w:rsidRDefault="006B256F" w:rsidP="000B4E3E">
            <w:r>
              <w:t>Additions</w:t>
            </w:r>
          </w:p>
        </w:tc>
        <w:tc>
          <w:tcPr>
            <w:tcW w:w="2126" w:type="dxa"/>
            <w:shd w:val="clear" w:color="auto" w:fill="F5EDC1" w:themeFill="accent4"/>
          </w:tcPr>
          <w:p w14:paraId="3CD63692" w14:textId="71C0B73C" w:rsidR="006B256F" w:rsidRDefault="006B256F" w:rsidP="000B4E3E">
            <w:pPr>
              <w:jc w:val="right"/>
            </w:pPr>
            <w:r>
              <w:t>52</w:t>
            </w:r>
          </w:p>
        </w:tc>
        <w:tc>
          <w:tcPr>
            <w:tcW w:w="2046" w:type="dxa"/>
            <w:shd w:val="clear" w:color="auto" w:fill="D4E2E0" w:themeFill="accent5"/>
          </w:tcPr>
          <w:p w14:paraId="00F86326" w14:textId="74DC86A3" w:rsidR="006B256F" w:rsidRDefault="00ED1716" w:rsidP="000B4E3E">
            <w:pPr>
              <w:jc w:val="right"/>
            </w:pPr>
            <w:r>
              <w:t>-</w:t>
            </w:r>
          </w:p>
        </w:tc>
      </w:tr>
      <w:tr w:rsidR="006B256F" w14:paraId="3AB4901B" w14:textId="77777777" w:rsidTr="000B4E3E">
        <w:tc>
          <w:tcPr>
            <w:tcW w:w="5070" w:type="dxa"/>
          </w:tcPr>
          <w:p w14:paraId="1B0792AD" w14:textId="3C092A8F" w:rsidR="006B256F" w:rsidRDefault="006B256F" w:rsidP="000B4E3E">
            <w:r>
              <w:lastRenderedPageBreak/>
              <w:t>Amortisation expense</w:t>
            </w:r>
          </w:p>
        </w:tc>
        <w:tc>
          <w:tcPr>
            <w:tcW w:w="2126" w:type="dxa"/>
            <w:shd w:val="clear" w:color="auto" w:fill="F5EDC1" w:themeFill="accent4"/>
          </w:tcPr>
          <w:p w14:paraId="0C92C91F" w14:textId="62155C84" w:rsidR="006B256F" w:rsidRDefault="00C870C2" w:rsidP="000B4E3E">
            <w:pPr>
              <w:jc w:val="right"/>
            </w:pPr>
            <w:r>
              <w:t>(21)</w:t>
            </w:r>
          </w:p>
        </w:tc>
        <w:tc>
          <w:tcPr>
            <w:tcW w:w="2046" w:type="dxa"/>
            <w:shd w:val="clear" w:color="auto" w:fill="D4E2E0" w:themeFill="accent5"/>
          </w:tcPr>
          <w:p w14:paraId="763A6EAB" w14:textId="49D00264" w:rsidR="006B256F" w:rsidRDefault="006B256F" w:rsidP="000B4E3E">
            <w:pPr>
              <w:jc w:val="right"/>
            </w:pPr>
            <w:r>
              <w:t>(16)</w:t>
            </w:r>
          </w:p>
        </w:tc>
      </w:tr>
      <w:tr w:rsidR="006B256F" w14:paraId="2A4E4A43" w14:textId="77777777" w:rsidTr="000B4E3E">
        <w:tc>
          <w:tcPr>
            <w:tcW w:w="5070" w:type="dxa"/>
          </w:tcPr>
          <w:p w14:paraId="038F0E9A" w14:textId="75B9D2E5" w:rsidR="006B256F" w:rsidRDefault="006B256F" w:rsidP="00ED1716">
            <w:r>
              <w:t>Carrying amount at end of period</w:t>
            </w:r>
          </w:p>
        </w:tc>
        <w:tc>
          <w:tcPr>
            <w:tcW w:w="2126" w:type="dxa"/>
            <w:shd w:val="clear" w:color="auto" w:fill="F5EDC1" w:themeFill="accent4"/>
          </w:tcPr>
          <w:p w14:paraId="222FD57B" w14:textId="3CB372DB" w:rsidR="006B256F" w:rsidRDefault="00C870C2" w:rsidP="000B4E3E">
            <w:pPr>
              <w:jc w:val="right"/>
            </w:pPr>
            <w:r>
              <w:t>106</w:t>
            </w:r>
          </w:p>
        </w:tc>
        <w:tc>
          <w:tcPr>
            <w:tcW w:w="2046" w:type="dxa"/>
            <w:shd w:val="clear" w:color="auto" w:fill="D4E2E0" w:themeFill="accent5"/>
          </w:tcPr>
          <w:p w14:paraId="201D979E" w14:textId="1B578DE9" w:rsidR="006B256F" w:rsidRDefault="006B256F" w:rsidP="000B4E3E">
            <w:pPr>
              <w:jc w:val="right"/>
            </w:pPr>
            <w:r>
              <w:t>75</w:t>
            </w:r>
          </w:p>
        </w:tc>
      </w:tr>
      <w:tr w:rsidR="006B256F" w14:paraId="0D123AE5" w14:textId="77777777" w:rsidTr="006B256F">
        <w:tc>
          <w:tcPr>
            <w:tcW w:w="5070" w:type="dxa"/>
            <w:shd w:val="clear" w:color="auto" w:fill="FFFFFF" w:themeFill="background1"/>
          </w:tcPr>
          <w:p w14:paraId="1296E805" w14:textId="0F6A17A5" w:rsidR="006B256F" w:rsidRPr="006B256F" w:rsidRDefault="006B256F" w:rsidP="000B4E3E">
            <w:pPr>
              <w:rPr>
                <w:i/>
              </w:rPr>
            </w:pPr>
            <w:r w:rsidRPr="006B256F">
              <w:rPr>
                <w:i/>
              </w:rPr>
              <w:t>Computer software</w:t>
            </w:r>
          </w:p>
        </w:tc>
        <w:tc>
          <w:tcPr>
            <w:tcW w:w="2126" w:type="dxa"/>
            <w:shd w:val="clear" w:color="auto" w:fill="FFFFFF" w:themeFill="background1"/>
          </w:tcPr>
          <w:p w14:paraId="424FC57C" w14:textId="77777777" w:rsidR="006B256F" w:rsidRPr="006B256F" w:rsidRDefault="006B256F" w:rsidP="000B4E3E">
            <w:pPr>
              <w:jc w:val="right"/>
              <w:rPr>
                <w:i/>
              </w:rPr>
            </w:pPr>
          </w:p>
        </w:tc>
        <w:tc>
          <w:tcPr>
            <w:tcW w:w="2046" w:type="dxa"/>
            <w:shd w:val="clear" w:color="auto" w:fill="FFFFFF" w:themeFill="background1"/>
          </w:tcPr>
          <w:p w14:paraId="0957EC55" w14:textId="77777777" w:rsidR="006B256F" w:rsidRPr="006B256F" w:rsidRDefault="006B256F" w:rsidP="000B4E3E">
            <w:pPr>
              <w:jc w:val="right"/>
              <w:rPr>
                <w:i/>
              </w:rPr>
            </w:pPr>
          </w:p>
        </w:tc>
      </w:tr>
      <w:tr w:rsidR="006B256F" w14:paraId="62F1764D" w14:textId="77777777" w:rsidTr="000B4E3E">
        <w:tc>
          <w:tcPr>
            <w:tcW w:w="5070" w:type="dxa"/>
          </w:tcPr>
          <w:p w14:paraId="6E1A8D19" w14:textId="6454633A" w:rsidR="006B256F" w:rsidRDefault="006B256F" w:rsidP="000B4E3E">
            <w:r>
              <w:t>Carrying amount at start of period</w:t>
            </w:r>
          </w:p>
        </w:tc>
        <w:tc>
          <w:tcPr>
            <w:tcW w:w="2126" w:type="dxa"/>
            <w:shd w:val="clear" w:color="auto" w:fill="F5EDC1" w:themeFill="accent4"/>
          </w:tcPr>
          <w:p w14:paraId="0BA3EB1A" w14:textId="146FA08F" w:rsidR="006B256F" w:rsidRDefault="006B256F" w:rsidP="000B4E3E">
            <w:pPr>
              <w:jc w:val="right"/>
            </w:pPr>
            <w:r>
              <w:t>3,098</w:t>
            </w:r>
          </w:p>
        </w:tc>
        <w:tc>
          <w:tcPr>
            <w:tcW w:w="2046" w:type="dxa"/>
            <w:shd w:val="clear" w:color="auto" w:fill="D4E2E0" w:themeFill="accent5"/>
          </w:tcPr>
          <w:p w14:paraId="2A7EF107" w14:textId="196F446D" w:rsidR="006B256F" w:rsidRDefault="006B256F" w:rsidP="000B4E3E">
            <w:pPr>
              <w:jc w:val="right"/>
            </w:pPr>
            <w:r>
              <w:t>2,060</w:t>
            </w:r>
          </w:p>
        </w:tc>
      </w:tr>
      <w:tr w:rsidR="006B256F" w14:paraId="2B343346" w14:textId="77777777" w:rsidTr="000B4E3E">
        <w:tc>
          <w:tcPr>
            <w:tcW w:w="5070" w:type="dxa"/>
          </w:tcPr>
          <w:p w14:paraId="4CBD3A72" w14:textId="0C9FC9E4" w:rsidR="006B256F" w:rsidRDefault="006B256F" w:rsidP="000B4E3E">
            <w:r>
              <w:t>Additions</w:t>
            </w:r>
          </w:p>
        </w:tc>
        <w:tc>
          <w:tcPr>
            <w:tcW w:w="2126" w:type="dxa"/>
            <w:shd w:val="clear" w:color="auto" w:fill="F5EDC1" w:themeFill="accent4"/>
          </w:tcPr>
          <w:p w14:paraId="1278072D" w14:textId="6910F1EA" w:rsidR="006B256F" w:rsidRDefault="006B256F" w:rsidP="000B4E3E">
            <w:pPr>
              <w:jc w:val="right"/>
            </w:pPr>
            <w:r>
              <w:t>67</w:t>
            </w:r>
          </w:p>
        </w:tc>
        <w:tc>
          <w:tcPr>
            <w:tcW w:w="2046" w:type="dxa"/>
            <w:shd w:val="clear" w:color="auto" w:fill="D4E2E0" w:themeFill="accent5"/>
          </w:tcPr>
          <w:p w14:paraId="21B80212" w14:textId="4A1D7FCA" w:rsidR="006B256F" w:rsidRDefault="006B256F" w:rsidP="000B4E3E">
            <w:pPr>
              <w:jc w:val="right"/>
            </w:pPr>
            <w:r>
              <w:t>1,383</w:t>
            </w:r>
          </w:p>
        </w:tc>
      </w:tr>
      <w:tr w:rsidR="006B256F" w14:paraId="4854930E" w14:textId="77777777" w:rsidTr="006B256F">
        <w:tc>
          <w:tcPr>
            <w:tcW w:w="5070" w:type="dxa"/>
          </w:tcPr>
          <w:p w14:paraId="7BD4A2F8" w14:textId="6F9A6277" w:rsidR="006B256F" w:rsidRDefault="006B256F" w:rsidP="000B4E3E">
            <w:r>
              <w:t>Amortisation expense</w:t>
            </w:r>
          </w:p>
        </w:tc>
        <w:tc>
          <w:tcPr>
            <w:tcW w:w="2126" w:type="dxa"/>
            <w:shd w:val="clear" w:color="auto" w:fill="F5EDC1" w:themeFill="accent4"/>
          </w:tcPr>
          <w:p w14:paraId="277CF8FC" w14:textId="10C06A6A" w:rsidR="006B256F" w:rsidRDefault="006B256F" w:rsidP="000B4E3E">
            <w:pPr>
              <w:jc w:val="right"/>
            </w:pPr>
            <w:r>
              <w:t>(437)</w:t>
            </w:r>
          </w:p>
        </w:tc>
        <w:tc>
          <w:tcPr>
            <w:tcW w:w="2046" w:type="dxa"/>
            <w:shd w:val="clear" w:color="auto" w:fill="D4E2E0" w:themeFill="accent5"/>
          </w:tcPr>
          <w:p w14:paraId="00689CD0" w14:textId="40BF2FA9" w:rsidR="006B256F" w:rsidRDefault="006B256F" w:rsidP="000B4E3E">
            <w:pPr>
              <w:jc w:val="right"/>
            </w:pPr>
            <w:r>
              <w:t>(345)</w:t>
            </w:r>
          </w:p>
        </w:tc>
      </w:tr>
      <w:tr w:rsidR="006B256F" w14:paraId="5D9F73F0" w14:textId="77777777" w:rsidTr="006B256F">
        <w:tc>
          <w:tcPr>
            <w:tcW w:w="5070" w:type="dxa"/>
          </w:tcPr>
          <w:p w14:paraId="2B072B8A" w14:textId="4A353187" w:rsidR="006B256F" w:rsidRPr="006B256F" w:rsidRDefault="006B256F" w:rsidP="00ED1716">
            <w:pPr>
              <w:rPr>
                <w:b/>
              </w:rPr>
            </w:pPr>
            <w:r w:rsidRPr="006B256F">
              <w:rPr>
                <w:b/>
              </w:rPr>
              <w:t>Carrying amount at end of period</w:t>
            </w:r>
          </w:p>
        </w:tc>
        <w:tc>
          <w:tcPr>
            <w:tcW w:w="2126" w:type="dxa"/>
            <w:tcBorders>
              <w:bottom w:val="single" w:sz="4" w:space="0" w:color="auto"/>
            </w:tcBorders>
            <w:shd w:val="clear" w:color="auto" w:fill="F5EDC1" w:themeFill="accent4"/>
          </w:tcPr>
          <w:p w14:paraId="4D1E0BE3" w14:textId="46436409" w:rsidR="006B256F" w:rsidRPr="006B256F" w:rsidRDefault="006B256F" w:rsidP="000B4E3E">
            <w:pPr>
              <w:jc w:val="right"/>
              <w:rPr>
                <w:b/>
              </w:rPr>
            </w:pPr>
            <w:r w:rsidRPr="006B256F">
              <w:rPr>
                <w:b/>
              </w:rPr>
              <w:t>2,728</w:t>
            </w:r>
          </w:p>
        </w:tc>
        <w:tc>
          <w:tcPr>
            <w:tcW w:w="2046" w:type="dxa"/>
            <w:tcBorders>
              <w:bottom w:val="single" w:sz="4" w:space="0" w:color="auto"/>
            </w:tcBorders>
            <w:shd w:val="clear" w:color="auto" w:fill="D4E2E0" w:themeFill="accent5"/>
          </w:tcPr>
          <w:p w14:paraId="14BACEE2" w14:textId="226192F3" w:rsidR="006B256F" w:rsidRPr="006B256F" w:rsidRDefault="006B256F" w:rsidP="000B4E3E">
            <w:pPr>
              <w:jc w:val="right"/>
              <w:rPr>
                <w:b/>
              </w:rPr>
            </w:pPr>
            <w:r w:rsidRPr="006B256F">
              <w:rPr>
                <w:b/>
              </w:rPr>
              <w:t>3,098</w:t>
            </w:r>
          </w:p>
        </w:tc>
      </w:tr>
    </w:tbl>
    <w:p w14:paraId="01A93D2F" w14:textId="77777777" w:rsidR="00B17E69" w:rsidRDefault="00B17E69" w:rsidP="00F576B8"/>
    <w:p w14:paraId="144F3A6A" w14:textId="233260E6" w:rsidR="006B256F" w:rsidRDefault="00147103" w:rsidP="00147103">
      <w:pPr>
        <w:pStyle w:val="Heading2nonumber"/>
        <w:numPr>
          <w:ilvl w:val="0"/>
          <w:numId w:val="15"/>
        </w:numPr>
      </w:pPr>
      <w:bookmarkStart w:id="704" w:name="_Toc430091382"/>
      <w:r>
        <w:t>Impairment of assets</w:t>
      </w:r>
      <w:bookmarkEnd w:id="704"/>
    </w:p>
    <w:p w14:paraId="2410E41C" w14:textId="3B38616B" w:rsidR="00147103" w:rsidRDefault="00147103" w:rsidP="00147103">
      <w:r>
        <w:t>There were no indications of impairment to property, plant and equipment or intangible assets as at 30 June 2015.</w:t>
      </w:r>
    </w:p>
    <w:p w14:paraId="5BB4FABF" w14:textId="3BC5BE48" w:rsidR="00147103" w:rsidRDefault="00147103" w:rsidP="00147103">
      <w:r>
        <w:t>The Authority held no goodwill or intangible assets with an indefinite useful life during the reporting period. At the end of the reporting period there were no intangible assets not yet available for use.</w:t>
      </w:r>
    </w:p>
    <w:p w14:paraId="6FB58EC0" w14:textId="490454D1" w:rsidR="00147103" w:rsidRDefault="00147103" w:rsidP="00147103">
      <w:r>
        <w:t>All surplus assets at 30 June 2015 have either been classified as assets held for sale or written-off.</w:t>
      </w:r>
    </w:p>
    <w:p w14:paraId="1869A6E4" w14:textId="0FFB9916" w:rsidR="00147103" w:rsidRDefault="00147103" w:rsidP="00147103">
      <w:pPr>
        <w:pStyle w:val="Heading2nonumber"/>
        <w:numPr>
          <w:ilvl w:val="0"/>
          <w:numId w:val="15"/>
        </w:numPr>
      </w:pPr>
      <w:bookmarkStart w:id="705" w:name="_Toc430091383"/>
      <w:r>
        <w:t>Payables</w:t>
      </w:r>
      <w:bookmarkEnd w:id="7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2076"/>
        <w:gridCol w:w="1997"/>
      </w:tblGrid>
      <w:tr w:rsidR="00147103" w14:paraId="04341885" w14:textId="77777777" w:rsidTr="000B4E3E">
        <w:tc>
          <w:tcPr>
            <w:tcW w:w="5070" w:type="dxa"/>
          </w:tcPr>
          <w:p w14:paraId="28342C15" w14:textId="77777777" w:rsidR="00147103" w:rsidRDefault="00147103" w:rsidP="000B4E3E"/>
        </w:tc>
        <w:tc>
          <w:tcPr>
            <w:tcW w:w="2126" w:type="dxa"/>
          </w:tcPr>
          <w:p w14:paraId="748BDE65" w14:textId="77777777" w:rsidR="00147103" w:rsidRPr="00147103" w:rsidRDefault="00147103" w:rsidP="000B4E3E">
            <w:pPr>
              <w:jc w:val="right"/>
              <w:rPr>
                <w:b/>
              </w:rPr>
            </w:pPr>
            <w:r w:rsidRPr="00147103">
              <w:rPr>
                <w:b/>
              </w:rPr>
              <w:t>2015</w:t>
            </w:r>
          </w:p>
        </w:tc>
        <w:tc>
          <w:tcPr>
            <w:tcW w:w="2046" w:type="dxa"/>
          </w:tcPr>
          <w:p w14:paraId="34DFAE72" w14:textId="77777777" w:rsidR="00147103" w:rsidRPr="00147103" w:rsidRDefault="00147103" w:rsidP="000B4E3E">
            <w:pPr>
              <w:jc w:val="right"/>
              <w:rPr>
                <w:b/>
              </w:rPr>
            </w:pPr>
            <w:r w:rsidRPr="00147103">
              <w:rPr>
                <w:b/>
              </w:rPr>
              <w:t>2014</w:t>
            </w:r>
          </w:p>
        </w:tc>
      </w:tr>
      <w:tr w:rsidR="00147103" w14:paraId="03B4DB0A" w14:textId="77777777" w:rsidTr="000B4E3E">
        <w:tc>
          <w:tcPr>
            <w:tcW w:w="5070" w:type="dxa"/>
          </w:tcPr>
          <w:p w14:paraId="5D9D5645" w14:textId="77777777" w:rsidR="00147103" w:rsidRDefault="00147103" w:rsidP="000B4E3E"/>
        </w:tc>
        <w:tc>
          <w:tcPr>
            <w:tcW w:w="2126" w:type="dxa"/>
          </w:tcPr>
          <w:p w14:paraId="7803787E" w14:textId="77777777" w:rsidR="00147103" w:rsidRPr="00147103" w:rsidRDefault="00147103" w:rsidP="000B4E3E">
            <w:pPr>
              <w:jc w:val="right"/>
              <w:rPr>
                <w:b/>
              </w:rPr>
            </w:pPr>
            <w:r w:rsidRPr="00147103">
              <w:rPr>
                <w:b/>
              </w:rPr>
              <w:t>$000</w:t>
            </w:r>
          </w:p>
        </w:tc>
        <w:tc>
          <w:tcPr>
            <w:tcW w:w="2046" w:type="dxa"/>
          </w:tcPr>
          <w:p w14:paraId="38327B66" w14:textId="77777777" w:rsidR="00147103" w:rsidRPr="00147103" w:rsidRDefault="00147103" w:rsidP="000B4E3E">
            <w:pPr>
              <w:jc w:val="right"/>
              <w:rPr>
                <w:b/>
              </w:rPr>
            </w:pPr>
            <w:r w:rsidRPr="00147103">
              <w:rPr>
                <w:b/>
              </w:rPr>
              <w:t>$000</w:t>
            </w:r>
          </w:p>
        </w:tc>
      </w:tr>
      <w:tr w:rsidR="00147103" w14:paraId="1387904F" w14:textId="77777777" w:rsidTr="000B4E3E">
        <w:tc>
          <w:tcPr>
            <w:tcW w:w="5070" w:type="dxa"/>
          </w:tcPr>
          <w:p w14:paraId="260ACCE5" w14:textId="05EEDE64" w:rsidR="00147103" w:rsidRDefault="00147103" w:rsidP="000B4E3E">
            <w:r w:rsidRPr="00147103">
              <w:rPr>
                <w:b/>
              </w:rPr>
              <w:t>Current</w:t>
            </w:r>
            <w:r>
              <w:br/>
            </w:r>
            <w:r w:rsidRPr="00147103">
              <w:rPr>
                <w:i/>
              </w:rPr>
              <w:t>General Account</w:t>
            </w:r>
          </w:p>
        </w:tc>
        <w:tc>
          <w:tcPr>
            <w:tcW w:w="2126" w:type="dxa"/>
          </w:tcPr>
          <w:p w14:paraId="07633A99" w14:textId="77777777" w:rsidR="00147103" w:rsidRPr="00147103" w:rsidRDefault="00147103" w:rsidP="000B4E3E">
            <w:pPr>
              <w:jc w:val="right"/>
              <w:rPr>
                <w:b/>
              </w:rPr>
            </w:pPr>
          </w:p>
        </w:tc>
        <w:tc>
          <w:tcPr>
            <w:tcW w:w="2046" w:type="dxa"/>
          </w:tcPr>
          <w:p w14:paraId="04CBA50D" w14:textId="77777777" w:rsidR="00147103" w:rsidRPr="00147103" w:rsidRDefault="00147103" w:rsidP="000B4E3E">
            <w:pPr>
              <w:jc w:val="right"/>
              <w:rPr>
                <w:b/>
              </w:rPr>
            </w:pPr>
          </w:p>
        </w:tc>
      </w:tr>
      <w:tr w:rsidR="00147103" w14:paraId="372D70AC" w14:textId="77777777" w:rsidTr="000B4E3E">
        <w:tc>
          <w:tcPr>
            <w:tcW w:w="5070" w:type="dxa"/>
          </w:tcPr>
          <w:p w14:paraId="4C43C016" w14:textId="37D657E7" w:rsidR="00147103" w:rsidRDefault="00147103" w:rsidP="000B4E3E">
            <w:r>
              <w:t>Trade payables</w:t>
            </w:r>
          </w:p>
        </w:tc>
        <w:tc>
          <w:tcPr>
            <w:tcW w:w="2126" w:type="dxa"/>
            <w:shd w:val="clear" w:color="auto" w:fill="F5EDC1" w:themeFill="accent4"/>
          </w:tcPr>
          <w:p w14:paraId="5E2CE156" w14:textId="34F70DE3" w:rsidR="00147103" w:rsidRDefault="00147103" w:rsidP="000B4E3E">
            <w:pPr>
              <w:jc w:val="right"/>
            </w:pPr>
            <w:r>
              <w:t>134</w:t>
            </w:r>
          </w:p>
        </w:tc>
        <w:tc>
          <w:tcPr>
            <w:tcW w:w="2046" w:type="dxa"/>
            <w:shd w:val="clear" w:color="auto" w:fill="D4E2E0" w:themeFill="accent5"/>
          </w:tcPr>
          <w:p w14:paraId="7ACD75CF" w14:textId="04DC968F" w:rsidR="00147103" w:rsidRDefault="00147103" w:rsidP="000B4E3E">
            <w:pPr>
              <w:jc w:val="right"/>
            </w:pPr>
            <w:r>
              <w:t>75</w:t>
            </w:r>
          </w:p>
        </w:tc>
      </w:tr>
      <w:tr w:rsidR="00147103" w14:paraId="270AD0FC" w14:textId="77777777" w:rsidTr="000B4E3E">
        <w:tc>
          <w:tcPr>
            <w:tcW w:w="5070" w:type="dxa"/>
          </w:tcPr>
          <w:p w14:paraId="654854AB" w14:textId="1D889E4E" w:rsidR="00147103" w:rsidRDefault="00147103" w:rsidP="000B4E3E">
            <w:r>
              <w:t>Accrued expenses</w:t>
            </w:r>
          </w:p>
        </w:tc>
        <w:tc>
          <w:tcPr>
            <w:tcW w:w="2126" w:type="dxa"/>
            <w:shd w:val="clear" w:color="auto" w:fill="F5EDC1" w:themeFill="accent4"/>
          </w:tcPr>
          <w:p w14:paraId="22E50A53" w14:textId="1D2DCC36" w:rsidR="00147103" w:rsidRDefault="00147103" w:rsidP="000B4E3E">
            <w:pPr>
              <w:jc w:val="right"/>
            </w:pPr>
            <w:r>
              <w:t>405</w:t>
            </w:r>
          </w:p>
        </w:tc>
        <w:tc>
          <w:tcPr>
            <w:tcW w:w="2046" w:type="dxa"/>
            <w:shd w:val="clear" w:color="auto" w:fill="D4E2E0" w:themeFill="accent5"/>
          </w:tcPr>
          <w:p w14:paraId="47C9E2B3" w14:textId="00FFFE1A" w:rsidR="00147103" w:rsidRDefault="00147103" w:rsidP="000B4E3E">
            <w:pPr>
              <w:jc w:val="right"/>
            </w:pPr>
            <w:r>
              <w:t>260</w:t>
            </w:r>
          </w:p>
        </w:tc>
      </w:tr>
      <w:tr w:rsidR="00147103" w14:paraId="4BCC7898" w14:textId="77777777" w:rsidTr="000B4E3E">
        <w:tc>
          <w:tcPr>
            <w:tcW w:w="5070" w:type="dxa"/>
          </w:tcPr>
          <w:p w14:paraId="0AD793A9" w14:textId="7E3B2E1D" w:rsidR="00147103" w:rsidRDefault="00147103" w:rsidP="000B4E3E">
            <w:r>
              <w:t>Accrued salaries</w:t>
            </w:r>
          </w:p>
        </w:tc>
        <w:tc>
          <w:tcPr>
            <w:tcW w:w="2126" w:type="dxa"/>
            <w:shd w:val="clear" w:color="auto" w:fill="F5EDC1" w:themeFill="accent4"/>
          </w:tcPr>
          <w:p w14:paraId="0B4875AB" w14:textId="3F651901" w:rsidR="00147103" w:rsidRDefault="00147103" w:rsidP="000B4E3E">
            <w:pPr>
              <w:jc w:val="right"/>
            </w:pPr>
            <w:r>
              <w:t>503</w:t>
            </w:r>
          </w:p>
        </w:tc>
        <w:tc>
          <w:tcPr>
            <w:tcW w:w="2046" w:type="dxa"/>
            <w:shd w:val="clear" w:color="auto" w:fill="D4E2E0" w:themeFill="accent5"/>
          </w:tcPr>
          <w:p w14:paraId="75D6C83B" w14:textId="247D089E" w:rsidR="00147103" w:rsidRDefault="00147103" w:rsidP="000B4E3E">
            <w:pPr>
              <w:jc w:val="right"/>
            </w:pPr>
            <w:r>
              <w:t>379</w:t>
            </w:r>
          </w:p>
        </w:tc>
      </w:tr>
      <w:tr w:rsidR="00147103" w14:paraId="241552F6" w14:textId="77777777" w:rsidTr="000B4E3E">
        <w:tc>
          <w:tcPr>
            <w:tcW w:w="5070" w:type="dxa"/>
          </w:tcPr>
          <w:p w14:paraId="04F01409" w14:textId="611C6EFF" w:rsidR="00147103" w:rsidRDefault="00147103" w:rsidP="000B4E3E">
            <w:r>
              <w:t>Other payables</w:t>
            </w:r>
          </w:p>
        </w:tc>
        <w:tc>
          <w:tcPr>
            <w:tcW w:w="2126" w:type="dxa"/>
            <w:shd w:val="clear" w:color="auto" w:fill="F5EDC1" w:themeFill="accent4"/>
          </w:tcPr>
          <w:p w14:paraId="093D47C2" w14:textId="1ADB1F5B" w:rsidR="00147103" w:rsidRDefault="00147103" w:rsidP="000B4E3E">
            <w:pPr>
              <w:jc w:val="right"/>
            </w:pPr>
            <w:r>
              <w:t>124</w:t>
            </w:r>
          </w:p>
        </w:tc>
        <w:tc>
          <w:tcPr>
            <w:tcW w:w="2046" w:type="dxa"/>
            <w:shd w:val="clear" w:color="auto" w:fill="D4E2E0" w:themeFill="accent5"/>
          </w:tcPr>
          <w:p w14:paraId="0EF69095" w14:textId="634E9D0E" w:rsidR="00147103" w:rsidRDefault="00147103" w:rsidP="000B4E3E">
            <w:pPr>
              <w:jc w:val="right"/>
            </w:pPr>
            <w:r>
              <w:t>27</w:t>
            </w:r>
          </w:p>
        </w:tc>
      </w:tr>
      <w:tr w:rsidR="00147103" w14:paraId="3E24CC08" w14:textId="77777777" w:rsidTr="00147103">
        <w:tc>
          <w:tcPr>
            <w:tcW w:w="5070" w:type="dxa"/>
            <w:shd w:val="clear" w:color="auto" w:fill="FFFFFF" w:themeFill="background1"/>
          </w:tcPr>
          <w:p w14:paraId="586D50E3" w14:textId="29934D11" w:rsidR="00147103" w:rsidRPr="00147103" w:rsidRDefault="00147103" w:rsidP="000B4E3E">
            <w:pPr>
              <w:rPr>
                <w:i/>
              </w:rPr>
            </w:pPr>
            <w:r w:rsidRPr="00147103">
              <w:rPr>
                <w:i/>
              </w:rPr>
              <w:lastRenderedPageBreak/>
              <w:t>Employers’ Indemnity Supplementation Fund (see Note 30)</w:t>
            </w:r>
          </w:p>
        </w:tc>
        <w:tc>
          <w:tcPr>
            <w:tcW w:w="2126" w:type="dxa"/>
            <w:shd w:val="clear" w:color="auto" w:fill="FFFFFF" w:themeFill="background1"/>
          </w:tcPr>
          <w:p w14:paraId="74C4FD70" w14:textId="77777777" w:rsidR="00147103" w:rsidRDefault="00147103" w:rsidP="000B4E3E">
            <w:pPr>
              <w:jc w:val="right"/>
            </w:pPr>
          </w:p>
        </w:tc>
        <w:tc>
          <w:tcPr>
            <w:tcW w:w="2046" w:type="dxa"/>
            <w:shd w:val="clear" w:color="auto" w:fill="FFFFFF" w:themeFill="background1"/>
          </w:tcPr>
          <w:p w14:paraId="443B9DE2" w14:textId="77777777" w:rsidR="00147103" w:rsidRDefault="00147103" w:rsidP="000B4E3E">
            <w:pPr>
              <w:jc w:val="right"/>
            </w:pPr>
          </w:p>
        </w:tc>
      </w:tr>
      <w:tr w:rsidR="00147103" w14:paraId="41CC4C4B" w14:textId="77777777" w:rsidTr="00147103">
        <w:tc>
          <w:tcPr>
            <w:tcW w:w="5070" w:type="dxa"/>
          </w:tcPr>
          <w:p w14:paraId="61BD9E45" w14:textId="5597B243" w:rsidR="00147103" w:rsidRDefault="00147103" w:rsidP="000B4E3E">
            <w:r>
              <w:t>Claim payments</w:t>
            </w:r>
          </w:p>
        </w:tc>
        <w:tc>
          <w:tcPr>
            <w:tcW w:w="2126" w:type="dxa"/>
            <w:shd w:val="clear" w:color="auto" w:fill="F5EDC1" w:themeFill="accent4"/>
          </w:tcPr>
          <w:p w14:paraId="426DB015" w14:textId="379E8616" w:rsidR="00147103" w:rsidRDefault="00147103" w:rsidP="000B4E3E">
            <w:pPr>
              <w:jc w:val="right"/>
            </w:pPr>
            <w:r>
              <w:t>72</w:t>
            </w:r>
          </w:p>
        </w:tc>
        <w:tc>
          <w:tcPr>
            <w:tcW w:w="2046" w:type="dxa"/>
            <w:shd w:val="clear" w:color="auto" w:fill="D4E2E0" w:themeFill="accent5"/>
          </w:tcPr>
          <w:p w14:paraId="0508E881" w14:textId="578ADA59" w:rsidR="00147103" w:rsidRDefault="00147103" w:rsidP="000B4E3E">
            <w:pPr>
              <w:jc w:val="right"/>
            </w:pPr>
            <w:r>
              <w:t>122</w:t>
            </w:r>
          </w:p>
        </w:tc>
      </w:tr>
      <w:tr w:rsidR="00147103" w14:paraId="69860D30" w14:textId="77777777" w:rsidTr="00147103">
        <w:tc>
          <w:tcPr>
            <w:tcW w:w="5070" w:type="dxa"/>
          </w:tcPr>
          <w:p w14:paraId="11AF23B3" w14:textId="77777777" w:rsidR="00147103" w:rsidRDefault="00147103" w:rsidP="000B4E3E"/>
        </w:tc>
        <w:tc>
          <w:tcPr>
            <w:tcW w:w="2126" w:type="dxa"/>
            <w:tcBorders>
              <w:bottom w:val="single" w:sz="4" w:space="0" w:color="auto"/>
            </w:tcBorders>
            <w:shd w:val="clear" w:color="auto" w:fill="F5EDC1" w:themeFill="accent4"/>
          </w:tcPr>
          <w:p w14:paraId="06F93A0F" w14:textId="56B4CDCB" w:rsidR="00147103" w:rsidRPr="00147103" w:rsidRDefault="00147103" w:rsidP="000B4E3E">
            <w:pPr>
              <w:jc w:val="right"/>
              <w:rPr>
                <w:b/>
              </w:rPr>
            </w:pPr>
            <w:r w:rsidRPr="00147103">
              <w:rPr>
                <w:b/>
              </w:rPr>
              <w:t>1,238</w:t>
            </w:r>
          </w:p>
        </w:tc>
        <w:tc>
          <w:tcPr>
            <w:tcW w:w="2046" w:type="dxa"/>
            <w:tcBorders>
              <w:bottom w:val="single" w:sz="4" w:space="0" w:color="auto"/>
            </w:tcBorders>
            <w:shd w:val="clear" w:color="auto" w:fill="D4E2E0" w:themeFill="accent5"/>
          </w:tcPr>
          <w:p w14:paraId="2235157C" w14:textId="7147B90A" w:rsidR="00147103" w:rsidRPr="00147103" w:rsidRDefault="00147103" w:rsidP="000B4E3E">
            <w:pPr>
              <w:jc w:val="right"/>
              <w:rPr>
                <w:b/>
              </w:rPr>
            </w:pPr>
            <w:r w:rsidRPr="00147103">
              <w:rPr>
                <w:b/>
              </w:rPr>
              <w:t>863</w:t>
            </w:r>
          </w:p>
        </w:tc>
      </w:tr>
    </w:tbl>
    <w:p w14:paraId="18E93F0D" w14:textId="77777777" w:rsidR="00147103" w:rsidRDefault="00147103" w:rsidP="00F576B8"/>
    <w:p w14:paraId="5B699097" w14:textId="48A58B28" w:rsidR="00147103" w:rsidRDefault="000B3CD6" w:rsidP="00147103">
      <w:pPr>
        <w:pStyle w:val="Heading2nonumber"/>
        <w:numPr>
          <w:ilvl w:val="0"/>
          <w:numId w:val="15"/>
        </w:numPr>
      </w:pPr>
      <w:bookmarkStart w:id="706" w:name="_Toc430091384"/>
      <w:r>
        <w:t>Provisions</w:t>
      </w:r>
      <w:bookmarkEnd w:id="7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1791"/>
        <w:gridCol w:w="283"/>
        <w:gridCol w:w="1998"/>
      </w:tblGrid>
      <w:tr w:rsidR="00147103" w14:paraId="1B31C79B" w14:textId="77777777" w:rsidTr="000B4E3E">
        <w:tc>
          <w:tcPr>
            <w:tcW w:w="5070" w:type="dxa"/>
          </w:tcPr>
          <w:p w14:paraId="7BDCD8ED" w14:textId="77777777" w:rsidR="00147103" w:rsidRDefault="00147103" w:rsidP="000B4E3E"/>
        </w:tc>
        <w:tc>
          <w:tcPr>
            <w:tcW w:w="2126" w:type="dxa"/>
            <w:gridSpan w:val="2"/>
          </w:tcPr>
          <w:p w14:paraId="627B07C3" w14:textId="77777777" w:rsidR="00147103" w:rsidRPr="000B3CD6" w:rsidRDefault="00147103" w:rsidP="000B4E3E">
            <w:pPr>
              <w:jc w:val="right"/>
              <w:rPr>
                <w:b/>
              </w:rPr>
            </w:pPr>
            <w:r w:rsidRPr="000B3CD6">
              <w:rPr>
                <w:b/>
              </w:rPr>
              <w:t>2015</w:t>
            </w:r>
          </w:p>
        </w:tc>
        <w:tc>
          <w:tcPr>
            <w:tcW w:w="2046" w:type="dxa"/>
          </w:tcPr>
          <w:p w14:paraId="24E5B3DC" w14:textId="77777777" w:rsidR="00147103" w:rsidRPr="000B3CD6" w:rsidRDefault="00147103" w:rsidP="000B4E3E">
            <w:pPr>
              <w:jc w:val="right"/>
              <w:rPr>
                <w:b/>
              </w:rPr>
            </w:pPr>
            <w:r w:rsidRPr="000B3CD6">
              <w:rPr>
                <w:b/>
              </w:rPr>
              <w:t>2014</w:t>
            </w:r>
          </w:p>
        </w:tc>
      </w:tr>
      <w:tr w:rsidR="00147103" w14:paraId="363C1366" w14:textId="77777777" w:rsidTr="000B4E3E">
        <w:tc>
          <w:tcPr>
            <w:tcW w:w="5070" w:type="dxa"/>
          </w:tcPr>
          <w:p w14:paraId="5FC34020" w14:textId="77777777" w:rsidR="00147103" w:rsidRDefault="00147103" w:rsidP="000B4E3E"/>
        </w:tc>
        <w:tc>
          <w:tcPr>
            <w:tcW w:w="2126" w:type="dxa"/>
            <w:gridSpan w:val="2"/>
          </w:tcPr>
          <w:p w14:paraId="607FFC04" w14:textId="77777777" w:rsidR="00147103" w:rsidRPr="000B3CD6" w:rsidRDefault="00147103" w:rsidP="000B4E3E">
            <w:pPr>
              <w:jc w:val="right"/>
              <w:rPr>
                <w:b/>
              </w:rPr>
            </w:pPr>
            <w:r w:rsidRPr="000B3CD6">
              <w:rPr>
                <w:b/>
              </w:rPr>
              <w:t>$000</w:t>
            </w:r>
          </w:p>
        </w:tc>
        <w:tc>
          <w:tcPr>
            <w:tcW w:w="2046" w:type="dxa"/>
          </w:tcPr>
          <w:p w14:paraId="28F410FA" w14:textId="77777777" w:rsidR="00147103" w:rsidRPr="000B3CD6" w:rsidRDefault="00147103" w:rsidP="000B4E3E">
            <w:pPr>
              <w:jc w:val="right"/>
              <w:rPr>
                <w:b/>
              </w:rPr>
            </w:pPr>
            <w:r w:rsidRPr="000B3CD6">
              <w:rPr>
                <w:b/>
              </w:rPr>
              <w:t>$000</w:t>
            </w:r>
          </w:p>
        </w:tc>
      </w:tr>
      <w:tr w:rsidR="000B3CD6" w14:paraId="3F22B4C9" w14:textId="77777777" w:rsidTr="000B4E3E">
        <w:tc>
          <w:tcPr>
            <w:tcW w:w="5070" w:type="dxa"/>
          </w:tcPr>
          <w:p w14:paraId="304E590C" w14:textId="317E530B" w:rsidR="000B3CD6" w:rsidRDefault="000B3CD6" w:rsidP="000B4E3E">
            <w:r w:rsidRPr="000B3CD6">
              <w:rPr>
                <w:b/>
              </w:rPr>
              <w:t>Current</w:t>
            </w:r>
            <w:r w:rsidRPr="000B3CD6">
              <w:rPr>
                <w:b/>
              </w:rPr>
              <w:br/>
              <w:t>General Account</w:t>
            </w:r>
            <w:r>
              <w:br/>
            </w:r>
            <w:r w:rsidRPr="000B3CD6">
              <w:rPr>
                <w:i/>
              </w:rPr>
              <w:t>Employee benefits provision</w:t>
            </w:r>
          </w:p>
        </w:tc>
        <w:tc>
          <w:tcPr>
            <w:tcW w:w="2126" w:type="dxa"/>
            <w:gridSpan w:val="2"/>
          </w:tcPr>
          <w:p w14:paraId="48BAEC36" w14:textId="77777777" w:rsidR="000B3CD6" w:rsidRPr="000B3CD6" w:rsidRDefault="000B3CD6" w:rsidP="000B4E3E">
            <w:pPr>
              <w:jc w:val="right"/>
              <w:rPr>
                <w:b/>
              </w:rPr>
            </w:pPr>
          </w:p>
        </w:tc>
        <w:tc>
          <w:tcPr>
            <w:tcW w:w="2046" w:type="dxa"/>
          </w:tcPr>
          <w:p w14:paraId="4604BF10" w14:textId="77777777" w:rsidR="000B3CD6" w:rsidRPr="000B3CD6" w:rsidRDefault="000B3CD6" w:rsidP="000B4E3E">
            <w:pPr>
              <w:jc w:val="right"/>
              <w:rPr>
                <w:b/>
              </w:rPr>
            </w:pPr>
          </w:p>
        </w:tc>
      </w:tr>
      <w:tr w:rsidR="00147103" w14:paraId="44FA0F5C" w14:textId="77777777" w:rsidTr="000B4E3E">
        <w:tc>
          <w:tcPr>
            <w:tcW w:w="5070" w:type="dxa"/>
          </w:tcPr>
          <w:p w14:paraId="39C0FBF5" w14:textId="5644A689" w:rsidR="00147103" w:rsidRDefault="000B3CD6" w:rsidP="000B4E3E">
            <w:r>
              <w:t>Annual leave</w:t>
            </w:r>
            <w:r w:rsidRPr="000B3CD6">
              <w:rPr>
                <w:vertAlign w:val="superscript"/>
              </w:rPr>
              <w:t>(a)</w:t>
            </w:r>
          </w:p>
        </w:tc>
        <w:tc>
          <w:tcPr>
            <w:tcW w:w="2126" w:type="dxa"/>
            <w:gridSpan w:val="2"/>
            <w:shd w:val="clear" w:color="auto" w:fill="F5EDC1" w:themeFill="accent4"/>
          </w:tcPr>
          <w:p w14:paraId="3B8EBFEB" w14:textId="22B5B1EF" w:rsidR="00147103" w:rsidRDefault="000B3CD6" w:rsidP="000B4E3E">
            <w:pPr>
              <w:jc w:val="right"/>
            </w:pPr>
            <w:r>
              <w:t>471</w:t>
            </w:r>
          </w:p>
        </w:tc>
        <w:tc>
          <w:tcPr>
            <w:tcW w:w="2046" w:type="dxa"/>
            <w:shd w:val="clear" w:color="auto" w:fill="D4E2E0" w:themeFill="accent5"/>
          </w:tcPr>
          <w:p w14:paraId="6E657302" w14:textId="2F77E156" w:rsidR="00147103" w:rsidRDefault="000B3CD6" w:rsidP="000B4E3E">
            <w:pPr>
              <w:jc w:val="right"/>
            </w:pPr>
            <w:r>
              <w:t>573</w:t>
            </w:r>
          </w:p>
        </w:tc>
      </w:tr>
      <w:tr w:rsidR="00147103" w14:paraId="3EF0047F" w14:textId="77777777" w:rsidTr="000B4E3E">
        <w:tc>
          <w:tcPr>
            <w:tcW w:w="5070" w:type="dxa"/>
          </w:tcPr>
          <w:p w14:paraId="482C0B05" w14:textId="250C6CF9" w:rsidR="00147103" w:rsidRDefault="000B3CD6" w:rsidP="000B4E3E">
            <w:r>
              <w:t>Long service leave</w:t>
            </w:r>
            <w:r w:rsidRPr="000B3CD6">
              <w:rPr>
                <w:vertAlign w:val="superscript"/>
              </w:rPr>
              <w:t>(b)</w:t>
            </w:r>
          </w:p>
        </w:tc>
        <w:tc>
          <w:tcPr>
            <w:tcW w:w="2126" w:type="dxa"/>
            <w:gridSpan w:val="2"/>
            <w:shd w:val="clear" w:color="auto" w:fill="F5EDC1" w:themeFill="accent4"/>
          </w:tcPr>
          <w:p w14:paraId="5CAFAD69" w14:textId="68BD3FEE" w:rsidR="00147103" w:rsidRDefault="000B3CD6" w:rsidP="000B4E3E">
            <w:pPr>
              <w:jc w:val="right"/>
            </w:pPr>
            <w:r>
              <w:t>2,257</w:t>
            </w:r>
          </w:p>
        </w:tc>
        <w:tc>
          <w:tcPr>
            <w:tcW w:w="2046" w:type="dxa"/>
            <w:shd w:val="clear" w:color="auto" w:fill="D4E2E0" w:themeFill="accent5"/>
          </w:tcPr>
          <w:p w14:paraId="5A9C72E1" w14:textId="3F4A857F" w:rsidR="00147103" w:rsidRDefault="000B3CD6" w:rsidP="000B4E3E">
            <w:pPr>
              <w:jc w:val="right"/>
            </w:pPr>
            <w:r>
              <w:t>2,001</w:t>
            </w:r>
          </w:p>
        </w:tc>
      </w:tr>
      <w:tr w:rsidR="000B3CD6" w14:paraId="261B819B" w14:textId="77777777" w:rsidTr="000B3CD6">
        <w:tc>
          <w:tcPr>
            <w:tcW w:w="5070" w:type="dxa"/>
          </w:tcPr>
          <w:p w14:paraId="72F5A943" w14:textId="0847DE45" w:rsidR="000B3CD6" w:rsidRDefault="000B3CD6" w:rsidP="000B4E3E">
            <w:r>
              <w:t>Superannuation</w:t>
            </w:r>
            <w:r w:rsidRPr="000B3CD6">
              <w:rPr>
                <w:vertAlign w:val="superscript"/>
              </w:rPr>
              <w:t>(d)</w:t>
            </w:r>
          </w:p>
        </w:tc>
        <w:tc>
          <w:tcPr>
            <w:tcW w:w="2126" w:type="dxa"/>
            <w:gridSpan w:val="2"/>
            <w:shd w:val="clear" w:color="auto" w:fill="F5EDC1" w:themeFill="accent4"/>
          </w:tcPr>
          <w:p w14:paraId="556B7696" w14:textId="4826B111" w:rsidR="000B3CD6" w:rsidRDefault="000B3CD6" w:rsidP="000B4E3E">
            <w:pPr>
              <w:jc w:val="right"/>
            </w:pPr>
            <w:r>
              <w:t>524</w:t>
            </w:r>
          </w:p>
        </w:tc>
        <w:tc>
          <w:tcPr>
            <w:tcW w:w="2046" w:type="dxa"/>
            <w:shd w:val="clear" w:color="auto" w:fill="D4E2E0" w:themeFill="accent5"/>
          </w:tcPr>
          <w:p w14:paraId="16B12D17" w14:textId="0F63B544" w:rsidR="000B3CD6" w:rsidRDefault="000B3CD6" w:rsidP="000B4E3E">
            <w:pPr>
              <w:jc w:val="right"/>
            </w:pPr>
            <w:r>
              <w:t>483</w:t>
            </w:r>
          </w:p>
        </w:tc>
      </w:tr>
      <w:tr w:rsidR="000B3CD6" w14:paraId="59D333CB" w14:textId="77777777" w:rsidTr="000B3CD6">
        <w:tc>
          <w:tcPr>
            <w:tcW w:w="5070" w:type="dxa"/>
          </w:tcPr>
          <w:p w14:paraId="571C2DE7" w14:textId="77777777" w:rsidR="000B3CD6" w:rsidRDefault="000B3CD6" w:rsidP="000B4E3E"/>
        </w:tc>
        <w:tc>
          <w:tcPr>
            <w:tcW w:w="2126" w:type="dxa"/>
            <w:gridSpan w:val="2"/>
            <w:tcBorders>
              <w:bottom w:val="single" w:sz="4" w:space="0" w:color="auto"/>
            </w:tcBorders>
            <w:shd w:val="clear" w:color="auto" w:fill="F5EDC1" w:themeFill="accent4"/>
          </w:tcPr>
          <w:p w14:paraId="6F19E0CA" w14:textId="1676EAC9" w:rsidR="000B3CD6" w:rsidRPr="000B3CD6" w:rsidRDefault="000B3CD6" w:rsidP="000B4E3E">
            <w:pPr>
              <w:jc w:val="right"/>
              <w:rPr>
                <w:b/>
              </w:rPr>
            </w:pPr>
            <w:r w:rsidRPr="000B3CD6">
              <w:rPr>
                <w:b/>
              </w:rPr>
              <w:t>3,252</w:t>
            </w:r>
          </w:p>
        </w:tc>
        <w:tc>
          <w:tcPr>
            <w:tcW w:w="2046" w:type="dxa"/>
            <w:tcBorders>
              <w:bottom w:val="single" w:sz="4" w:space="0" w:color="auto"/>
            </w:tcBorders>
            <w:shd w:val="clear" w:color="auto" w:fill="D4E2E0" w:themeFill="accent5"/>
          </w:tcPr>
          <w:p w14:paraId="4ED19879" w14:textId="6B19D40B" w:rsidR="000B3CD6" w:rsidRPr="000B3CD6" w:rsidRDefault="000B3CD6" w:rsidP="000B4E3E">
            <w:pPr>
              <w:jc w:val="right"/>
              <w:rPr>
                <w:b/>
              </w:rPr>
            </w:pPr>
            <w:r w:rsidRPr="000B3CD6">
              <w:rPr>
                <w:b/>
              </w:rPr>
              <w:t>3,057</w:t>
            </w:r>
          </w:p>
        </w:tc>
      </w:tr>
      <w:tr w:rsidR="000B3CD6" w14:paraId="46814080" w14:textId="77777777" w:rsidTr="000B3CD6">
        <w:tc>
          <w:tcPr>
            <w:tcW w:w="5070" w:type="dxa"/>
          </w:tcPr>
          <w:p w14:paraId="60F26D01" w14:textId="77777777" w:rsidR="000B3CD6" w:rsidRDefault="000B3CD6" w:rsidP="000B4E3E"/>
        </w:tc>
        <w:tc>
          <w:tcPr>
            <w:tcW w:w="2126" w:type="dxa"/>
            <w:gridSpan w:val="2"/>
            <w:tcBorders>
              <w:top w:val="single" w:sz="4" w:space="0" w:color="auto"/>
            </w:tcBorders>
            <w:shd w:val="clear" w:color="auto" w:fill="FFFFFF" w:themeFill="background1"/>
          </w:tcPr>
          <w:p w14:paraId="4F4C9ED2" w14:textId="77777777" w:rsidR="000B3CD6" w:rsidRDefault="000B3CD6" w:rsidP="000B4E3E">
            <w:pPr>
              <w:jc w:val="right"/>
            </w:pPr>
          </w:p>
        </w:tc>
        <w:tc>
          <w:tcPr>
            <w:tcW w:w="2046" w:type="dxa"/>
            <w:tcBorders>
              <w:top w:val="single" w:sz="4" w:space="0" w:color="auto"/>
            </w:tcBorders>
            <w:shd w:val="clear" w:color="auto" w:fill="FFFFFF" w:themeFill="background1"/>
          </w:tcPr>
          <w:p w14:paraId="4975C7DD" w14:textId="77777777" w:rsidR="000B3CD6" w:rsidRDefault="000B3CD6" w:rsidP="000B4E3E">
            <w:pPr>
              <w:jc w:val="right"/>
            </w:pPr>
          </w:p>
        </w:tc>
      </w:tr>
      <w:tr w:rsidR="000B3CD6" w14:paraId="6FC3BF5C" w14:textId="77777777" w:rsidTr="000B3CD6">
        <w:tc>
          <w:tcPr>
            <w:tcW w:w="5070" w:type="dxa"/>
          </w:tcPr>
          <w:p w14:paraId="0484D72C" w14:textId="43910D61" w:rsidR="000B3CD6" w:rsidRPr="000B3CD6" w:rsidRDefault="000B3CD6" w:rsidP="000B4E3E">
            <w:pPr>
              <w:rPr>
                <w:i/>
              </w:rPr>
            </w:pPr>
            <w:r w:rsidRPr="000B3CD6">
              <w:rPr>
                <w:i/>
              </w:rPr>
              <w:t>Uninsured Workers</w:t>
            </w:r>
            <w:r w:rsidRPr="000B3CD6">
              <w:rPr>
                <w:i/>
                <w:vertAlign w:val="superscript"/>
              </w:rPr>
              <w:t>(e)</w:t>
            </w:r>
          </w:p>
        </w:tc>
        <w:tc>
          <w:tcPr>
            <w:tcW w:w="2126" w:type="dxa"/>
            <w:gridSpan w:val="2"/>
            <w:shd w:val="clear" w:color="auto" w:fill="F5EDC1" w:themeFill="accent4"/>
          </w:tcPr>
          <w:p w14:paraId="773F6123" w14:textId="1E4C836F" w:rsidR="000B3CD6" w:rsidRDefault="000B3CD6" w:rsidP="000B4E3E">
            <w:pPr>
              <w:jc w:val="right"/>
            </w:pPr>
            <w:r>
              <w:t>1,750</w:t>
            </w:r>
          </w:p>
        </w:tc>
        <w:tc>
          <w:tcPr>
            <w:tcW w:w="2046" w:type="dxa"/>
            <w:shd w:val="clear" w:color="auto" w:fill="D4E2E0" w:themeFill="accent5"/>
          </w:tcPr>
          <w:p w14:paraId="557E77B8" w14:textId="785AEC6C" w:rsidR="000B3CD6" w:rsidRDefault="000B3CD6" w:rsidP="000B4E3E">
            <w:pPr>
              <w:jc w:val="right"/>
            </w:pPr>
            <w:r>
              <w:t>1,189</w:t>
            </w:r>
          </w:p>
        </w:tc>
      </w:tr>
      <w:tr w:rsidR="000B3CD6" w14:paraId="435A0946" w14:textId="77777777" w:rsidTr="000B3CD6">
        <w:tc>
          <w:tcPr>
            <w:tcW w:w="5070" w:type="dxa"/>
          </w:tcPr>
          <w:p w14:paraId="7D18521A" w14:textId="77777777" w:rsidR="000B3CD6" w:rsidRDefault="000B3CD6" w:rsidP="000B4E3E"/>
        </w:tc>
        <w:tc>
          <w:tcPr>
            <w:tcW w:w="2126" w:type="dxa"/>
            <w:gridSpan w:val="2"/>
            <w:tcBorders>
              <w:bottom w:val="single" w:sz="4" w:space="0" w:color="auto"/>
            </w:tcBorders>
            <w:shd w:val="clear" w:color="auto" w:fill="F5EDC1" w:themeFill="accent4"/>
          </w:tcPr>
          <w:p w14:paraId="2912BC89" w14:textId="679458D2" w:rsidR="000B3CD6" w:rsidRPr="000B3CD6" w:rsidRDefault="000B3CD6" w:rsidP="000B4E3E">
            <w:pPr>
              <w:jc w:val="right"/>
              <w:rPr>
                <w:b/>
              </w:rPr>
            </w:pPr>
            <w:r w:rsidRPr="000B3CD6">
              <w:rPr>
                <w:b/>
              </w:rPr>
              <w:t>1,750</w:t>
            </w:r>
          </w:p>
        </w:tc>
        <w:tc>
          <w:tcPr>
            <w:tcW w:w="2046" w:type="dxa"/>
            <w:tcBorders>
              <w:bottom w:val="single" w:sz="4" w:space="0" w:color="auto"/>
            </w:tcBorders>
            <w:shd w:val="clear" w:color="auto" w:fill="D4E2E0" w:themeFill="accent5"/>
          </w:tcPr>
          <w:p w14:paraId="4ED7AECF" w14:textId="412066D3" w:rsidR="000B3CD6" w:rsidRPr="000B3CD6" w:rsidRDefault="000B3CD6" w:rsidP="000B4E3E">
            <w:pPr>
              <w:jc w:val="right"/>
              <w:rPr>
                <w:b/>
              </w:rPr>
            </w:pPr>
            <w:r w:rsidRPr="000B3CD6">
              <w:rPr>
                <w:b/>
              </w:rPr>
              <w:t>1,189</w:t>
            </w:r>
          </w:p>
        </w:tc>
      </w:tr>
      <w:tr w:rsidR="000B3CD6" w14:paraId="4E6A26A9" w14:textId="77777777" w:rsidTr="000B3CD6">
        <w:tc>
          <w:tcPr>
            <w:tcW w:w="5070" w:type="dxa"/>
            <w:shd w:val="clear" w:color="auto" w:fill="FFFFFF" w:themeFill="background1"/>
          </w:tcPr>
          <w:p w14:paraId="20C650F7" w14:textId="275F6BB1" w:rsidR="000B3CD6" w:rsidRPr="000B3CD6" w:rsidRDefault="000B3CD6" w:rsidP="000B4E3E">
            <w:pPr>
              <w:rPr>
                <w:i/>
              </w:rPr>
            </w:pPr>
            <w:r w:rsidRPr="000B3CD6">
              <w:rPr>
                <w:i/>
              </w:rPr>
              <w:t>Other provisions</w:t>
            </w:r>
          </w:p>
        </w:tc>
        <w:tc>
          <w:tcPr>
            <w:tcW w:w="2126" w:type="dxa"/>
            <w:gridSpan w:val="2"/>
            <w:tcBorders>
              <w:top w:val="single" w:sz="4" w:space="0" w:color="auto"/>
            </w:tcBorders>
            <w:shd w:val="clear" w:color="auto" w:fill="FFFFFF" w:themeFill="background1"/>
          </w:tcPr>
          <w:p w14:paraId="731CEAB8" w14:textId="77777777" w:rsidR="000B3CD6" w:rsidRDefault="000B3CD6" w:rsidP="000B4E3E">
            <w:pPr>
              <w:jc w:val="right"/>
            </w:pPr>
          </w:p>
        </w:tc>
        <w:tc>
          <w:tcPr>
            <w:tcW w:w="2046" w:type="dxa"/>
            <w:tcBorders>
              <w:top w:val="single" w:sz="4" w:space="0" w:color="auto"/>
            </w:tcBorders>
            <w:shd w:val="clear" w:color="auto" w:fill="FFFFFF" w:themeFill="background1"/>
          </w:tcPr>
          <w:p w14:paraId="376590A0" w14:textId="77777777" w:rsidR="000B3CD6" w:rsidRDefault="000B3CD6" w:rsidP="000B4E3E">
            <w:pPr>
              <w:jc w:val="right"/>
            </w:pPr>
          </w:p>
        </w:tc>
      </w:tr>
      <w:tr w:rsidR="000B3CD6" w14:paraId="10B914CB" w14:textId="77777777" w:rsidTr="000B3CD6">
        <w:tc>
          <w:tcPr>
            <w:tcW w:w="5070" w:type="dxa"/>
          </w:tcPr>
          <w:p w14:paraId="6A7255A2" w14:textId="3C6D1513" w:rsidR="000B3CD6" w:rsidRDefault="000B3CD6" w:rsidP="000B4E3E">
            <w:r>
              <w:t>Employment on-costs</w:t>
            </w:r>
            <w:r w:rsidRPr="000B3CD6">
              <w:rPr>
                <w:vertAlign w:val="superscript"/>
              </w:rPr>
              <w:t>(c)</w:t>
            </w:r>
            <w:r>
              <w:t xml:space="preserve"> </w:t>
            </w:r>
          </w:p>
        </w:tc>
        <w:tc>
          <w:tcPr>
            <w:tcW w:w="2126" w:type="dxa"/>
            <w:gridSpan w:val="2"/>
            <w:shd w:val="clear" w:color="auto" w:fill="F5EDC1" w:themeFill="accent4"/>
          </w:tcPr>
          <w:p w14:paraId="3F4C0D61" w14:textId="3FCE4428" w:rsidR="000B3CD6" w:rsidRDefault="000B3CD6" w:rsidP="000B4E3E">
            <w:pPr>
              <w:jc w:val="right"/>
            </w:pPr>
            <w:r>
              <w:t>163</w:t>
            </w:r>
          </w:p>
        </w:tc>
        <w:tc>
          <w:tcPr>
            <w:tcW w:w="2046" w:type="dxa"/>
            <w:shd w:val="clear" w:color="auto" w:fill="D4E2E0" w:themeFill="accent5"/>
          </w:tcPr>
          <w:p w14:paraId="63AA20CC" w14:textId="67198C98" w:rsidR="000B3CD6" w:rsidRDefault="000B3CD6" w:rsidP="000B4E3E">
            <w:pPr>
              <w:jc w:val="right"/>
            </w:pPr>
            <w:r>
              <w:t>153</w:t>
            </w:r>
          </w:p>
        </w:tc>
      </w:tr>
      <w:tr w:rsidR="000B3CD6" w14:paraId="790908F7" w14:textId="77777777" w:rsidTr="000B3CD6">
        <w:tc>
          <w:tcPr>
            <w:tcW w:w="5070" w:type="dxa"/>
          </w:tcPr>
          <w:p w14:paraId="4AECA75D" w14:textId="77777777" w:rsidR="000B3CD6" w:rsidRDefault="000B3CD6" w:rsidP="000B4E3E"/>
        </w:tc>
        <w:tc>
          <w:tcPr>
            <w:tcW w:w="2126" w:type="dxa"/>
            <w:gridSpan w:val="2"/>
            <w:tcBorders>
              <w:bottom w:val="single" w:sz="4" w:space="0" w:color="auto"/>
            </w:tcBorders>
            <w:shd w:val="clear" w:color="auto" w:fill="F5EDC1" w:themeFill="accent4"/>
          </w:tcPr>
          <w:p w14:paraId="73DD75AC" w14:textId="6AA9E590" w:rsidR="000B3CD6" w:rsidRPr="000B3CD6" w:rsidRDefault="000B3CD6" w:rsidP="000B4E3E">
            <w:pPr>
              <w:jc w:val="right"/>
              <w:rPr>
                <w:b/>
              </w:rPr>
            </w:pPr>
            <w:r w:rsidRPr="000B3CD6">
              <w:rPr>
                <w:b/>
              </w:rPr>
              <w:t>163</w:t>
            </w:r>
          </w:p>
        </w:tc>
        <w:tc>
          <w:tcPr>
            <w:tcW w:w="2046" w:type="dxa"/>
            <w:tcBorders>
              <w:bottom w:val="single" w:sz="4" w:space="0" w:color="auto"/>
            </w:tcBorders>
            <w:shd w:val="clear" w:color="auto" w:fill="D4E2E0" w:themeFill="accent5"/>
          </w:tcPr>
          <w:p w14:paraId="11F82DFD" w14:textId="12D8AC7E" w:rsidR="000B3CD6" w:rsidRPr="000B3CD6" w:rsidRDefault="000B3CD6" w:rsidP="000B4E3E">
            <w:pPr>
              <w:jc w:val="right"/>
              <w:rPr>
                <w:b/>
              </w:rPr>
            </w:pPr>
            <w:r w:rsidRPr="000B3CD6">
              <w:rPr>
                <w:b/>
              </w:rPr>
              <w:t>153</w:t>
            </w:r>
          </w:p>
        </w:tc>
      </w:tr>
      <w:tr w:rsidR="000B3CD6" w14:paraId="423880EB" w14:textId="77777777" w:rsidTr="000B3CD6">
        <w:tc>
          <w:tcPr>
            <w:tcW w:w="6912" w:type="dxa"/>
            <w:gridSpan w:val="2"/>
          </w:tcPr>
          <w:p w14:paraId="676CAE38" w14:textId="7963A56C" w:rsidR="000B3CD6" w:rsidRPr="000B3CD6" w:rsidRDefault="000B3CD6" w:rsidP="000B4E3E">
            <w:pPr>
              <w:rPr>
                <w:i/>
              </w:rPr>
            </w:pPr>
            <w:r w:rsidRPr="000B3CD6">
              <w:rPr>
                <w:i/>
              </w:rPr>
              <w:t>Employers’ Indemnity Supplementation Fund (see note 30)</w:t>
            </w:r>
          </w:p>
        </w:tc>
        <w:tc>
          <w:tcPr>
            <w:tcW w:w="284" w:type="dxa"/>
            <w:shd w:val="clear" w:color="auto" w:fill="FFFFFF" w:themeFill="background1"/>
          </w:tcPr>
          <w:p w14:paraId="4F647575" w14:textId="77777777" w:rsidR="000B3CD6" w:rsidRDefault="000B3CD6" w:rsidP="000B4E3E">
            <w:pPr>
              <w:jc w:val="right"/>
            </w:pPr>
          </w:p>
        </w:tc>
        <w:tc>
          <w:tcPr>
            <w:tcW w:w="2046" w:type="dxa"/>
            <w:shd w:val="clear" w:color="auto" w:fill="FFFFFF" w:themeFill="background1"/>
          </w:tcPr>
          <w:p w14:paraId="5BFADE8C" w14:textId="77777777" w:rsidR="000B3CD6" w:rsidRDefault="000B3CD6" w:rsidP="000B4E3E">
            <w:pPr>
              <w:jc w:val="right"/>
            </w:pPr>
          </w:p>
        </w:tc>
      </w:tr>
      <w:tr w:rsidR="000B3CD6" w14:paraId="11048BB6" w14:textId="77777777" w:rsidTr="000B4E3E">
        <w:tc>
          <w:tcPr>
            <w:tcW w:w="5070" w:type="dxa"/>
          </w:tcPr>
          <w:p w14:paraId="07D45377" w14:textId="7ECE1FD5" w:rsidR="000B3CD6" w:rsidRDefault="000B3CD6" w:rsidP="000B4E3E">
            <w:r>
              <w:t>Liability for estimated future claim payments</w:t>
            </w:r>
          </w:p>
        </w:tc>
        <w:tc>
          <w:tcPr>
            <w:tcW w:w="2126" w:type="dxa"/>
            <w:gridSpan w:val="2"/>
            <w:shd w:val="clear" w:color="auto" w:fill="F5EDC1" w:themeFill="accent4"/>
          </w:tcPr>
          <w:p w14:paraId="7792B1F3" w14:textId="44A83B78" w:rsidR="000B3CD6" w:rsidRDefault="000B3CD6" w:rsidP="000B4E3E">
            <w:pPr>
              <w:jc w:val="right"/>
            </w:pPr>
            <w:r>
              <w:t>1,753</w:t>
            </w:r>
          </w:p>
        </w:tc>
        <w:tc>
          <w:tcPr>
            <w:tcW w:w="2046" w:type="dxa"/>
            <w:shd w:val="clear" w:color="auto" w:fill="D4E2E0" w:themeFill="accent5"/>
          </w:tcPr>
          <w:p w14:paraId="51C1C08C" w14:textId="04FE45A3" w:rsidR="000B3CD6" w:rsidRDefault="000B3CD6" w:rsidP="000B4E3E">
            <w:pPr>
              <w:jc w:val="right"/>
            </w:pPr>
            <w:r>
              <w:t>1,904</w:t>
            </w:r>
          </w:p>
        </w:tc>
      </w:tr>
      <w:tr w:rsidR="000B3CD6" w14:paraId="6964DA5B" w14:textId="77777777" w:rsidTr="000B3CD6">
        <w:tc>
          <w:tcPr>
            <w:tcW w:w="5070" w:type="dxa"/>
          </w:tcPr>
          <w:p w14:paraId="18E04C3A" w14:textId="77777777" w:rsidR="000B3CD6" w:rsidRDefault="000B3CD6" w:rsidP="000B4E3E"/>
        </w:tc>
        <w:tc>
          <w:tcPr>
            <w:tcW w:w="2126" w:type="dxa"/>
            <w:gridSpan w:val="2"/>
            <w:tcBorders>
              <w:bottom w:val="single" w:sz="4" w:space="0" w:color="auto"/>
            </w:tcBorders>
            <w:shd w:val="clear" w:color="auto" w:fill="F5EDC1" w:themeFill="accent4"/>
          </w:tcPr>
          <w:p w14:paraId="6FD90244" w14:textId="5D19B2F1" w:rsidR="000B3CD6" w:rsidRPr="000B3CD6" w:rsidRDefault="000B3CD6" w:rsidP="000B4E3E">
            <w:pPr>
              <w:jc w:val="right"/>
              <w:rPr>
                <w:b/>
              </w:rPr>
            </w:pPr>
            <w:r w:rsidRPr="000B3CD6">
              <w:rPr>
                <w:b/>
              </w:rPr>
              <w:t>1,753</w:t>
            </w:r>
          </w:p>
        </w:tc>
        <w:tc>
          <w:tcPr>
            <w:tcW w:w="2046" w:type="dxa"/>
            <w:tcBorders>
              <w:bottom w:val="single" w:sz="4" w:space="0" w:color="auto"/>
            </w:tcBorders>
            <w:shd w:val="clear" w:color="auto" w:fill="D4E2E0" w:themeFill="accent5"/>
          </w:tcPr>
          <w:p w14:paraId="7338E98E" w14:textId="3DF2B83E" w:rsidR="000B3CD6" w:rsidRPr="000B3CD6" w:rsidRDefault="000B3CD6" w:rsidP="000B4E3E">
            <w:pPr>
              <w:jc w:val="right"/>
              <w:rPr>
                <w:b/>
              </w:rPr>
            </w:pPr>
            <w:r w:rsidRPr="000B3CD6">
              <w:rPr>
                <w:b/>
              </w:rPr>
              <w:t>1,904</w:t>
            </w:r>
          </w:p>
        </w:tc>
      </w:tr>
      <w:tr w:rsidR="000B3CD6" w14:paraId="72552C06" w14:textId="77777777" w:rsidTr="000B3CD6">
        <w:tc>
          <w:tcPr>
            <w:tcW w:w="5070" w:type="dxa"/>
          </w:tcPr>
          <w:p w14:paraId="7679E4E1" w14:textId="4886D68B" w:rsidR="000B3CD6" w:rsidRPr="000B3CD6" w:rsidRDefault="000B3CD6" w:rsidP="000B4E3E">
            <w:pPr>
              <w:rPr>
                <w:b/>
              </w:rPr>
            </w:pPr>
            <w:r w:rsidRPr="000B3CD6">
              <w:rPr>
                <w:b/>
              </w:rPr>
              <w:t>Total current provisions</w:t>
            </w:r>
          </w:p>
        </w:tc>
        <w:tc>
          <w:tcPr>
            <w:tcW w:w="2126" w:type="dxa"/>
            <w:gridSpan w:val="2"/>
            <w:tcBorders>
              <w:top w:val="single" w:sz="4" w:space="0" w:color="auto"/>
              <w:bottom w:val="single" w:sz="4" w:space="0" w:color="auto"/>
            </w:tcBorders>
            <w:shd w:val="clear" w:color="auto" w:fill="F5EDC1" w:themeFill="accent4"/>
          </w:tcPr>
          <w:p w14:paraId="3D4E850C" w14:textId="77E16FC7" w:rsidR="000B3CD6" w:rsidRPr="000B3CD6" w:rsidRDefault="000B3CD6" w:rsidP="000B4E3E">
            <w:pPr>
              <w:jc w:val="right"/>
              <w:rPr>
                <w:b/>
              </w:rPr>
            </w:pPr>
            <w:r w:rsidRPr="000B3CD6">
              <w:rPr>
                <w:b/>
              </w:rPr>
              <w:t>6,918</w:t>
            </w:r>
          </w:p>
        </w:tc>
        <w:tc>
          <w:tcPr>
            <w:tcW w:w="2046" w:type="dxa"/>
            <w:tcBorders>
              <w:top w:val="single" w:sz="4" w:space="0" w:color="auto"/>
              <w:bottom w:val="single" w:sz="4" w:space="0" w:color="auto"/>
            </w:tcBorders>
            <w:shd w:val="clear" w:color="auto" w:fill="D4E2E0" w:themeFill="accent5"/>
          </w:tcPr>
          <w:p w14:paraId="0852FA33" w14:textId="1E8A2AF8" w:rsidR="000B3CD6" w:rsidRPr="000B3CD6" w:rsidRDefault="000B3CD6" w:rsidP="000B4E3E">
            <w:pPr>
              <w:jc w:val="right"/>
              <w:rPr>
                <w:b/>
              </w:rPr>
            </w:pPr>
            <w:r w:rsidRPr="000B3CD6">
              <w:rPr>
                <w:b/>
              </w:rPr>
              <w:t>6,303</w:t>
            </w:r>
          </w:p>
        </w:tc>
      </w:tr>
    </w:tbl>
    <w:p w14:paraId="17A15FEE" w14:textId="77777777" w:rsidR="00804249" w:rsidRDefault="00804249" w:rsidP="00F576B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1656"/>
        <w:gridCol w:w="422"/>
        <w:gridCol w:w="2001"/>
      </w:tblGrid>
      <w:tr w:rsidR="000C5C83" w14:paraId="3AC5FD27" w14:textId="77777777" w:rsidTr="000C5C83">
        <w:tc>
          <w:tcPr>
            <w:tcW w:w="5070" w:type="dxa"/>
          </w:tcPr>
          <w:p w14:paraId="15A57DB7" w14:textId="77777777" w:rsidR="000C5C83" w:rsidRDefault="000C5C83" w:rsidP="000C5C83"/>
        </w:tc>
        <w:tc>
          <w:tcPr>
            <w:tcW w:w="2126" w:type="dxa"/>
            <w:gridSpan w:val="2"/>
          </w:tcPr>
          <w:p w14:paraId="08D49CE4" w14:textId="77777777" w:rsidR="000C5C83" w:rsidRPr="00E66A08" w:rsidRDefault="000C5C83" w:rsidP="000C5C83">
            <w:pPr>
              <w:jc w:val="right"/>
              <w:rPr>
                <w:b/>
              </w:rPr>
            </w:pPr>
            <w:r w:rsidRPr="00E66A08">
              <w:rPr>
                <w:b/>
              </w:rPr>
              <w:t>2015</w:t>
            </w:r>
          </w:p>
        </w:tc>
        <w:tc>
          <w:tcPr>
            <w:tcW w:w="2046" w:type="dxa"/>
          </w:tcPr>
          <w:p w14:paraId="5F938E46" w14:textId="77777777" w:rsidR="000C5C83" w:rsidRPr="00E66A08" w:rsidRDefault="000C5C83" w:rsidP="000C5C83">
            <w:pPr>
              <w:jc w:val="right"/>
              <w:rPr>
                <w:b/>
              </w:rPr>
            </w:pPr>
            <w:r w:rsidRPr="00E66A08">
              <w:rPr>
                <w:b/>
              </w:rPr>
              <w:t>2014</w:t>
            </w:r>
          </w:p>
        </w:tc>
      </w:tr>
      <w:tr w:rsidR="000C5C83" w14:paraId="7EB42141" w14:textId="77777777" w:rsidTr="000C5C83">
        <w:tc>
          <w:tcPr>
            <w:tcW w:w="5070" w:type="dxa"/>
          </w:tcPr>
          <w:p w14:paraId="588DA652" w14:textId="77777777" w:rsidR="000C5C83" w:rsidRDefault="000C5C83" w:rsidP="000C5C83"/>
        </w:tc>
        <w:tc>
          <w:tcPr>
            <w:tcW w:w="2126" w:type="dxa"/>
            <w:gridSpan w:val="2"/>
          </w:tcPr>
          <w:p w14:paraId="4D3279DF" w14:textId="77777777" w:rsidR="000C5C83" w:rsidRPr="00E66A08" w:rsidRDefault="000C5C83" w:rsidP="000C5C83">
            <w:pPr>
              <w:jc w:val="right"/>
              <w:rPr>
                <w:b/>
              </w:rPr>
            </w:pPr>
            <w:r w:rsidRPr="00E66A08">
              <w:rPr>
                <w:b/>
              </w:rPr>
              <w:t>$000</w:t>
            </w:r>
          </w:p>
        </w:tc>
        <w:tc>
          <w:tcPr>
            <w:tcW w:w="2046" w:type="dxa"/>
          </w:tcPr>
          <w:p w14:paraId="247A30F0" w14:textId="77777777" w:rsidR="000C5C83" w:rsidRPr="00E66A08" w:rsidRDefault="000C5C83" w:rsidP="000C5C83">
            <w:pPr>
              <w:jc w:val="right"/>
              <w:rPr>
                <w:b/>
              </w:rPr>
            </w:pPr>
            <w:r w:rsidRPr="00E66A08">
              <w:rPr>
                <w:b/>
              </w:rPr>
              <w:t>$000</w:t>
            </w:r>
          </w:p>
        </w:tc>
      </w:tr>
      <w:tr w:rsidR="00E66A08" w14:paraId="6820C6D6" w14:textId="77777777" w:rsidTr="000C5C83">
        <w:tc>
          <w:tcPr>
            <w:tcW w:w="5070" w:type="dxa"/>
          </w:tcPr>
          <w:p w14:paraId="6DA206F1" w14:textId="4C78F767" w:rsidR="00E66A08" w:rsidRDefault="00E66A08" w:rsidP="000C5C83">
            <w:r w:rsidRPr="00E66A08">
              <w:rPr>
                <w:b/>
              </w:rPr>
              <w:t>Non-current</w:t>
            </w:r>
            <w:r w:rsidRPr="00E66A08">
              <w:rPr>
                <w:b/>
              </w:rPr>
              <w:br/>
              <w:t>General Account</w:t>
            </w:r>
            <w:r>
              <w:br/>
            </w:r>
            <w:r w:rsidRPr="00E66A08">
              <w:rPr>
                <w:i/>
              </w:rPr>
              <w:t>Employee benefits provision</w:t>
            </w:r>
          </w:p>
        </w:tc>
        <w:tc>
          <w:tcPr>
            <w:tcW w:w="2126" w:type="dxa"/>
            <w:gridSpan w:val="2"/>
          </w:tcPr>
          <w:p w14:paraId="7BF14348" w14:textId="77777777" w:rsidR="00E66A08" w:rsidRDefault="00E66A08" w:rsidP="000C5C83">
            <w:pPr>
              <w:jc w:val="right"/>
            </w:pPr>
          </w:p>
        </w:tc>
        <w:tc>
          <w:tcPr>
            <w:tcW w:w="2046" w:type="dxa"/>
          </w:tcPr>
          <w:p w14:paraId="71AF2B65" w14:textId="77777777" w:rsidR="00E66A08" w:rsidRDefault="00E66A08" w:rsidP="000C5C83">
            <w:pPr>
              <w:jc w:val="right"/>
            </w:pPr>
          </w:p>
        </w:tc>
      </w:tr>
      <w:tr w:rsidR="000C5C83" w14:paraId="69A281F5" w14:textId="77777777" w:rsidTr="000C5C83">
        <w:tc>
          <w:tcPr>
            <w:tcW w:w="5070" w:type="dxa"/>
          </w:tcPr>
          <w:p w14:paraId="5F6CB20C" w14:textId="57B80754" w:rsidR="000C5C83" w:rsidRDefault="00E66A08" w:rsidP="000C5C83">
            <w:r>
              <w:t>Long service leave</w:t>
            </w:r>
            <w:r w:rsidRPr="00E66A08">
              <w:rPr>
                <w:vertAlign w:val="superscript"/>
              </w:rPr>
              <w:t>(b)</w:t>
            </w:r>
          </w:p>
        </w:tc>
        <w:tc>
          <w:tcPr>
            <w:tcW w:w="2126" w:type="dxa"/>
            <w:gridSpan w:val="2"/>
            <w:shd w:val="clear" w:color="auto" w:fill="F5EDC1" w:themeFill="accent4"/>
          </w:tcPr>
          <w:p w14:paraId="67F764BA" w14:textId="49FE0459" w:rsidR="000C5C83" w:rsidRDefault="00E66A08" w:rsidP="000C5C83">
            <w:pPr>
              <w:jc w:val="right"/>
            </w:pPr>
            <w:r>
              <w:t>627</w:t>
            </w:r>
          </w:p>
        </w:tc>
        <w:tc>
          <w:tcPr>
            <w:tcW w:w="2046" w:type="dxa"/>
            <w:shd w:val="clear" w:color="auto" w:fill="D4E2E0" w:themeFill="accent5"/>
          </w:tcPr>
          <w:p w14:paraId="18E022C4" w14:textId="30F99436" w:rsidR="000C5C83" w:rsidRDefault="00E66A08" w:rsidP="000C5C83">
            <w:pPr>
              <w:jc w:val="right"/>
            </w:pPr>
            <w:r>
              <w:t>732</w:t>
            </w:r>
          </w:p>
        </w:tc>
      </w:tr>
      <w:tr w:rsidR="000C5C83" w14:paraId="4ED7F78D" w14:textId="77777777" w:rsidTr="00E66A08">
        <w:tc>
          <w:tcPr>
            <w:tcW w:w="5070" w:type="dxa"/>
          </w:tcPr>
          <w:p w14:paraId="1A607C28" w14:textId="71B7B933" w:rsidR="000C5C83" w:rsidRDefault="00E66A08" w:rsidP="000C5C83">
            <w:r>
              <w:t>Superannuation</w:t>
            </w:r>
            <w:r w:rsidRPr="00E66A08">
              <w:rPr>
                <w:vertAlign w:val="superscript"/>
              </w:rPr>
              <w:t>(d)</w:t>
            </w:r>
          </w:p>
        </w:tc>
        <w:tc>
          <w:tcPr>
            <w:tcW w:w="2126" w:type="dxa"/>
            <w:gridSpan w:val="2"/>
            <w:shd w:val="clear" w:color="auto" w:fill="F5EDC1" w:themeFill="accent4"/>
          </w:tcPr>
          <w:p w14:paraId="0287D072" w14:textId="3048D4B6" w:rsidR="000C5C83" w:rsidRDefault="00E66A08" w:rsidP="000C5C83">
            <w:pPr>
              <w:jc w:val="right"/>
            </w:pPr>
            <w:r>
              <w:t>5,375</w:t>
            </w:r>
          </w:p>
        </w:tc>
        <w:tc>
          <w:tcPr>
            <w:tcW w:w="2046" w:type="dxa"/>
            <w:shd w:val="clear" w:color="auto" w:fill="D4E2E0" w:themeFill="accent5"/>
          </w:tcPr>
          <w:p w14:paraId="2F544496" w14:textId="75151544" w:rsidR="000C5C83" w:rsidRDefault="00E66A08" w:rsidP="000C5C83">
            <w:pPr>
              <w:jc w:val="right"/>
            </w:pPr>
            <w:r>
              <w:t>5,134</w:t>
            </w:r>
          </w:p>
        </w:tc>
      </w:tr>
      <w:tr w:rsidR="00E66A08" w14:paraId="3A4456A7" w14:textId="77777777" w:rsidTr="00E66A08">
        <w:tc>
          <w:tcPr>
            <w:tcW w:w="5070" w:type="dxa"/>
          </w:tcPr>
          <w:p w14:paraId="16095866" w14:textId="77777777" w:rsidR="00E66A08" w:rsidRDefault="00E66A08" w:rsidP="000C5C83"/>
        </w:tc>
        <w:tc>
          <w:tcPr>
            <w:tcW w:w="2126" w:type="dxa"/>
            <w:gridSpan w:val="2"/>
            <w:tcBorders>
              <w:bottom w:val="single" w:sz="4" w:space="0" w:color="auto"/>
            </w:tcBorders>
            <w:shd w:val="clear" w:color="auto" w:fill="F5EDC1" w:themeFill="accent4"/>
          </w:tcPr>
          <w:p w14:paraId="7F90F128" w14:textId="6ABD0913" w:rsidR="00E66A08" w:rsidRPr="00E66A08" w:rsidRDefault="00E66A08" w:rsidP="000C5C83">
            <w:pPr>
              <w:jc w:val="right"/>
              <w:rPr>
                <w:b/>
              </w:rPr>
            </w:pPr>
            <w:r w:rsidRPr="00E66A08">
              <w:rPr>
                <w:b/>
              </w:rPr>
              <w:t>6,002</w:t>
            </w:r>
          </w:p>
        </w:tc>
        <w:tc>
          <w:tcPr>
            <w:tcW w:w="2046" w:type="dxa"/>
            <w:tcBorders>
              <w:bottom w:val="single" w:sz="4" w:space="0" w:color="auto"/>
            </w:tcBorders>
            <w:shd w:val="clear" w:color="auto" w:fill="D4E2E0" w:themeFill="accent5"/>
          </w:tcPr>
          <w:p w14:paraId="76807CE5" w14:textId="711217E2" w:rsidR="00E66A08" w:rsidRPr="00E66A08" w:rsidRDefault="00E66A08" w:rsidP="000C5C83">
            <w:pPr>
              <w:jc w:val="right"/>
              <w:rPr>
                <w:b/>
              </w:rPr>
            </w:pPr>
            <w:r w:rsidRPr="00E66A08">
              <w:rPr>
                <w:b/>
              </w:rPr>
              <w:t>5,866</w:t>
            </w:r>
          </w:p>
        </w:tc>
      </w:tr>
      <w:tr w:rsidR="00E66A08" w14:paraId="0A882CEA" w14:textId="77777777" w:rsidTr="00E66A08">
        <w:tc>
          <w:tcPr>
            <w:tcW w:w="5070" w:type="dxa"/>
          </w:tcPr>
          <w:p w14:paraId="5B3C5601" w14:textId="77777777" w:rsidR="00E66A08" w:rsidRDefault="00E66A08" w:rsidP="000C5C83"/>
        </w:tc>
        <w:tc>
          <w:tcPr>
            <w:tcW w:w="2126" w:type="dxa"/>
            <w:gridSpan w:val="2"/>
            <w:tcBorders>
              <w:top w:val="single" w:sz="4" w:space="0" w:color="auto"/>
            </w:tcBorders>
            <w:shd w:val="clear" w:color="auto" w:fill="FFFFFF" w:themeFill="background1"/>
          </w:tcPr>
          <w:p w14:paraId="34BC46F8" w14:textId="77777777" w:rsidR="00E66A08" w:rsidRDefault="00E66A08" w:rsidP="000C5C83">
            <w:pPr>
              <w:jc w:val="right"/>
            </w:pPr>
          </w:p>
        </w:tc>
        <w:tc>
          <w:tcPr>
            <w:tcW w:w="2046" w:type="dxa"/>
            <w:tcBorders>
              <w:top w:val="single" w:sz="4" w:space="0" w:color="auto"/>
            </w:tcBorders>
            <w:shd w:val="clear" w:color="auto" w:fill="FFFFFF" w:themeFill="background1"/>
          </w:tcPr>
          <w:p w14:paraId="35FB736F" w14:textId="77777777" w:rsidR="00E66A08" w:rsidRDefault="00E66A08" w:rsidP="000C5C83">
            <w:pPr>
              <w:jc w:val="right"/>
            </w:pPr>
          </w:p>
        </w:tc>
      </w:tr>
      <w:tr w:rsidR="00E66A08" w14:paraId="7DA807B0" w14:textId="77777777" w:rsidTr="00E66A08">
        <w:tc>
          <w:tcPr>
            <w:tcW w:w="5070" w:type="dxa"/>
          </w:tcPr>
          <w:p w14:paraId="463F2D65" w14:textId="323BE359" w:rsidR="00E66A08" w:rsidRDefault="00E66A08" w:rsidP="000C5C83">
            <w:r>
              <w:t>Uninsured Workers</w:t>
            </w:r>
            <w:r w:rsidRPr="00E66A08">
              <w:rPr>
                <w:vertAlign w:val="superscript"/>
              </w:rPr>
              <w:t>(e)</w:t>
            </w:r>
          </w:p>
        </w:tc>
        <w:tc>
          <w:tcPr>
            <w:tcW w:w="2126" w:type="dxa"/>
            <w:gridSpan w:val="2"/>
            <w:shd w:val="clear" w:color="auto" w:fill="F5EDC1" w:themeFill="accent4"/>
          </w:tcPr>
          <w:p w14:paraId="00BD5BAE" w14:textId="14F65804" w:rsidR="00E66A08" w:rsidRDefault="00E66A08" w:rsidP="000C5C83">
            <w:pPr>
              <w:jc w:val="right"/>
            </w:pPr>
            <w:r>
              <w:t>7,322</w:t>
            </w:r>
          </w:p>
        </w:tc>
        <w:tc>
          <w:tcPr>
            <w:tcW w:w="2046" w:type="dxa"/>
            <w:shd w:val="clear" w:color="auto" w:fill="D4E2E0" w:themeFill="accent5"/>
          </w:tcPr>
          <w:p w14:paraId="7B72C978" w14:textId="499B599C" w:rsidR="00E66A08" w:rsidRDefault="00E66A08" w:rsidP="000C5C83">
            <w:pPr>
              <w:jc w:val="right"/>
            </w:pPr>
            <w:r>
              <w:t>9,036</w:t>
            </w:r>
          </w:p>
        </w:tc>
      </w:tr>
      <w:tr w:rsidR="00E66A08" w14:paraId="4FD8B5B5" w14:textId="77777777" w:rsidTr="00E66A08">
        <w:tc>
          <w:tcPr>
            <w:tcW w:w="5070" w:type="dxa"/>
          </w:tcPr>
          <w:p w14:paraId="3AFB88D9" w14:textId="77777777" w:rsidR="00E66A08" w:rsidRDefault="00E66A08" w:rsidP="000C5C83"/>
        </w:tc>
        <w:tc>
          <w:tcPr>
            <w:tcW w:w="2126" w:type="dxa"/>
            <w:gridSpan w:val="2"/>
            <w:tcBorders>
              <w:bottom w:val="single" w:sz="4" w:space="0" w:color="auto"/>
            </w:tcBorders>
            <w:shd w:val="clear" w:color="auto" w:fill="F5EDC1" w:themeFill="accent4"/>
          </w:tcPr>
          <w:p w14:paraId="5EBDAF84" w14:textId="47BFAE4E" w:rsidR="00E66A08" w:rsidRDefault="00E66A08" w:rsidP="000C5C83">
            <w:pPr>
              <w:jc w:val="right"/>
            </w:pPr>
            <w:r>
              <w:t>7,322</w:t>
            </w:r>
          </w:p>
        </w:tc>
        <w:tc>
          <w:tcPr>
            <w:tcW w:w="2046" w:type="dxa"/>
            <w:tcBorders>
              <w:bottom w:val="single" w:sz="4" w:space="0" w:color="auto"/>
            </w:tcBorders>
            <w:shd w:val="clear" w:color="auto" w:fill="D4E2E0" w:themeFill="accent5"/>
          </w:tcPr>
          <w:p w14:paraId="2E034E1F" w14:textId="1F8EC01A" w:rsidR="00E66A08" w:rsidRDefault="00E66A08" w:rsidP="000C5C83">
            <w:pPr>
              <w:jc w:val="right"/>
            </w:pPr>
            <w:r>
              <w:t>9,036</w:t>
            </w:r>
          </w:p>
        </w:tc>
      </w:tr>
      <w:tr w:rsidR="00E66A08" w14:paraId="7E64272C" w14:textId="77777777" w:rsidTr="00E66A08">
        <w:tc>
          <w:tcPr>
            <w:tcW w:w="5070" w:type="dxa"/>
          </w:tcPr>
          <w:p w14:paraId="20B07712" w14:textId="633FB300" w:rsidR="00E66A08" w:rsidRPr="00E66A08" w:rsidRDefault="00E66A08" w:rsidP="000C5C83">
            <w:pPr>
              <w:rPr>
                <w:i/>
              </w:rPr>
            </w:pPr>
            <w:r w:rsidRPr="00E66A08">
              <w:rPr>
                <w:i/>
              </w:rPr>
              <w:t>Other provisions</w:t>
            </w:r>
          </w:p>
        </w:tc>
        <w:tc>
          <w:tcPr>
            <w:tcW w:w="2126" w:type="dxa"/>
            <w:gridSpan w:val="2"/>
            <w:tcBorders>
              <w:top w:val="single" w:sz="4" w:space="0" w:color="auto"/>
            </w:tcBorders>
            <w:shd w:val="clear" w:color="auto" w:fill="FFFFFF" w:themeFill="background1"/>
          </w:tcPr>
          <w:p w14:paraId="2CD4A7C3" w14:textId="77777777" w:rsidR="00E66A08" w:rsidRDefault="00E66A08" w:rsidP="000C5C83">
            <w:pPr>
              <w:jc w:val="right"/>
            </w:pPr>
          </w:p>
        </w:tc>
        <w:tc>
          <w:tcPr>
            <w:tcW w:w="2046" w:type="dxa"/>
            <w:tcBorders>
              <w:top w:val="single" w:sz="4" w:space="0" w:color="auto"/>
            </w:tcBorders>
            <w:shd w:val="clear" w:color="auto" w:fill="FFFFFF" w:themeFill="background1"/>
          </w:tcPr>
          <w:p w14:paraId="75349C7C" w14:textId="77777777" w:rsidR="00E66A08" w:rsidRDefault="00E66A08" w:rsidP="000C5C83">
            <w:pPr>
              <w:jc w:val="right"/>
            </w:pPr>
          </w:p>
        </w:tc>
      </w:tr>
      <w:tr w:rsidR="00E66A08" w14:paraId="1941D91C" w14:textId="77777777" w:rsidTr="000C5C83">
        <w:tc>
          <w:tcPr>
            <w:tcW w:w="5070" w:type="dxa"/>
          </w:tcPr>
          <w:p w14:paraId="38819163" w14:textId="0E32CE35" w:rsidR="00E66A08" w:rsidRDefault="00E66A08" w:rsidP="000C5C83">
            <w:r>
              <w:t>Employment on-costs</w:t>
            </w:r>
            <w:r w:rsidRPr="00E66A08">
              <w:rPr>
                <w:vertAlign w:val="superscript"/>
              </w:rPr>
              <w:t>(c)</w:t>
            </w:r>
          </w:p>
        </w:tc>
        <w:tc>
          <w:tcPr>
            <w:tcW w:w="2126" w:type="dxa"/>
            <w:gridSpan w:val="2"/>
            <w:shd w:val="clear" w:color="auto" w:fill="F5EDC1" w:themeFill="accent4"/>
          </w:tcPr>
          <w:p w14:paraId="5DB34C05" w14:textId="7DDA800E" w:rsidR="00E66A08" w:rsidRDefault="00E66A08" w:rsidP="000C5C83">
            <w:pPr>
              <w:jc w:val="right"/>
            </w:pPr>
            <w:r>
              <w:t>37</w:t>
            </w:r>
          </w:p>
        </w:tc>
        <w:tc>
          <w:tcPr>
            <w:tcW w:w="2046" w:type="dxa"/>
            <w:shd w:val="clear" w:color="auto" w:fill="D4E2E0" w:themeFill="accent5"/>
          </w:tcPr>
          <w:p w14:paraId="4278397A" w14:textId="426F96D1" w:rsidR="00E66A08" w:rsidRDefault="00E66A08" w:rsidP="000C5C83">
            <w:pPr>
              <w:jc w:val="right"/>
            </w:pPr>
            <w:r>
              <w:t>44</w:t>
            </w:r>
          </w:p>
        </w:tc>
      </w:tr>
      <w:tr w:rsidR="00E66A08" w14:paraId="12AC9C4B" w14:textId="77777777" w:rsidTr="000C5C83">
        <w:tc>
          <w:tcPr>
            <w:tcW w:w="5070" w:type="dxa"/>
          </w:tcPr>
          <w:p w14:paraId="27A17703" w14:textId="77777777" w:rsidR="00E66A08" w:rsidRDefault="00E66A08" w:rsidP="000C5C83"/>
        </w:tc>
        <w:tc>
          <w:tcPr>
            <w:tcW w:w="2126" w:type="dxa"/>
            <w:gridSpan w:val="2"/>
            <w:shd w:val="clear" w:color="auto" w:fill="F5EDC1" w:themeFill="accent4"/>
          </w:tcPr>
          <w:p w14:paraId="785F7678" w14:textId="02F4B3E1" w:rsidR="00E66A08" w:rsidRPr="00E66A08" w:rsidRDefault="00E66A08" w:rsidP="000C5C83">
            <w:pPr>
              <w:jc w:val="right"/>
              <w:rPr>
                <w:b/>
              </w:rPr>
            </w:pPr>
            <w:r w:rsidRPr="00E66A08">
              <w:rPr>
                <w:b/>
              </w:rPr>
              <w:t>37</w:t>
            </w:r>
          </w:p>
        </w:tc>
        <w:tc>
          <w:tcPr>
            <w:tcW w:w="2046" w:type="dxa"/>
            <w:shd w:val="clear" w:color="auto" w:fill="D4E2E0" w:themeFill="accent5"/>
          </w:tcPr>
          <w:p w14:paraId="0150C545" w14:textId="00A57A6C" w:rsidR="00E66A08" w:rsidRPr="00E66A08" w:rsidRDefault="00E66A08" w:rsidP="000C5C83">
            <w:pPr>
              <w:jc w:val="right"/>
              <w:rPr>
                <w:b/>
              </w:rPr>
            </w:pPr>
            <w:r w:rsidRPr="00E66A08">
              <w:rPr>
                <w:b/>
              </w:rPr>
              <w:t>44</w:t>
            </w:r>
          </w:p>
        </w:tc>
      </w:tr>
      <w:tr w:rsidR="00E66A08" w14:paraId="207542AB" w14:textId="77777777" w:rsidTr="00E66A08">
        <w:tc>
          <w:tcPr>
            <w:tcW w:w="6771" w:type="dxa"/>
            <w:gridSpan w:val="2"/>
          </w:tcPr>
          <w:p w14:paraId="4E599D45" w14:textId="10F653BD" w:rsidR="00E66A08" w:rsidRPr="00E66A08" w:rsidRDefault="00E66A08" w:rsidP="000C5C83">
            <w:pPr>
              <w:rPr>
                <w:i/>
              </w:rPr>
            </w:pPr>
            <w:r w:rsidRPr="00E66A08">
              <w:rPr>
                <w:i/>
              </w:rPr>
              <w:t>Employers’ Indemnity Supplementation Fund (see note 30)</w:t>
            </w:r>
          </w:p>
        </w:tc>
        <w:tc>
          <w:tcPr>
            <w:tcW w:w="425" w:type="dxa"/>
            <w:shd w:val="clear" w:color="auto" w:fill="FFFFFF" w:themeFill="background1"/>
          </w:tcPr>
          <w:p w14:paraId="5EF34B4A" w14:textId="77777777" w:rsidR="00E66A08" w:rsidRDefault="00E66A08" w:rsidP="000C5C83">
            <w:pPr>
              <w:jc w:val="right"/>
            </w:pPr>
          </w:p>
        </w:tc>
        <w:tc>
          <w:tcPr>
            <w:tcW w:w="2046" w:type="dxa"/>
            <w:shd w:val="clear" w:color="auto" w:fill="FFFFFF" w:themeFill="background1"/>
          </w:tcPr>
          <w:p w14:paraId="369C2CF3" w14:textId="77777777" w:rsidR="00E66A08" w:rsidRDefault="00E66A08" w:rsidP="000C5C83">
            <w:pPr>
              <w:jc w:val="right"/>
            </w:pPr>
          </w:p>
        </w:tc>
      </w:tr>
      <w:tr w:rsidR="00E66A08" w14:paraId="6E76BE8C" w14:textId="77777777" w:rsidTr="00E66A08">
        <w:tc>
          <w:tcPr>
            <w:tcW w:w="5070" w:type="dxa"/>
          </w:tcPr>
          <w:p w14:paraId="6EA5EC6A" w14:textId="5C78EC4E" w:rsidR="00E66A08" w:rsidRDefault="00E66A08" w:rsidP="000C5C83">
            <w:r>
              <w:t>Liability for future claim payments</w:t>
            </w:r>
          </w:p>
        </w:tc>
        <w:tc>
          <w:tcPr>
            <w:tcW w:w="2126" w:type="dxa"/>
            <w:gridSpan w:val="2"/>
            <w:shd w:val="clear" w:color="auto" w:fill="F5EDC1" w:themeFill="accent4"/>
          </w:tcPr>
          <w:p w14:paraId="6E6B9B7C" w14:textId="260E584F" w:rsidR="00E66A08" w:rsidRDefault="00E66A08" w:rsidP="000C5C83">
            <w:pPr>
              <w:jc w:val="right"/>
            </w:pPr>
            <w:r>
              <w:t>16,249</w:t>
            </w:r>
          </w:p>
        </w:tc>
        <w:tc>
          <w:tcPr>
            <w:tcW w:w="2046" w:type="dxa"/>
            <w:shd w:val="clear" w:color="auto" w:fill="D4E2E0" w:themeFill="accent5"/>
          </w:tcPr>
          <w:p w14:paraId="3138E35A" w14:textId="0F5E9EBA" w:rsidR="00E66A08" w:rsidRDefault="00E66A08" w:rsidP="000C5C83">
            <w:pPr>
              <w:jc w:val="right"/>
            </w:pPr>
            <w:r>
              <w:t>19,370</w:t>
            </w:r>
          </w:p>
        </w:tc>
      </w:tr>
      <w:tr w:rsidR="00E66A08" w14:paraId="48B119CD" w14:textId="77777777" w:rsidTr="00E66A08">
        <w:tc>
          <w:tcPr>
            <w:tcW w:w="5070" w:type="dxa"/>
          </w:tcPr>
          <w:p w14:paraId="245D3807" w14:textId="77777777" w:rsidR="00E66A08" w:rsidRDefault="00E66A08" w:rsidP="000C5C83"/>
        </w:tc>
        <w:tc>
          <w:tcPr>
            <w:tcW w:w="2126" w:type="dxa"/>
            <w:gridSpan w:val="2"/>
            <w:tcBorders>
              <w:bottom w:val="single" w:sz="4" w:space="0" w:color="auto"/>
            </w:tcBorders>
            <w:shd w:val="clear" w:color="auto" w:fill="F5EDC1" w:themeFill="accent4"/>
          </w:tcPr>
          <w:p w14:paraId="273B1805" w14:textId="4D379BB3" w:rsidR="00E66A08" w:rsidRPr="00E66A08" w:rsidRDefault="00E66A08" w:rsidP="000C5C83">
            <w:pPr>
              <w:jc w:val="right"/>
              <w:rPr>
                <w:b/>
              </w:rPr>
            </w:pPr>
            <w:r w:rsidRPr="00E66A08">
              <w:rPr>
                <w:b/>
              </w:rPr>
              <w:t>16,249</w:t>
            </w:r>
          </w:p>
        </w:tc>
        <w:tc>
          <w:tcPr>
            <w:tcW w:w="2046" w:type="dxa"/>
            <w:tcBorders>
              <w:bottom w:val="single" w:sz="4" w:space="0" w:color="auto"/>
            </w:tcBorders>
            <w:shd w:val="clear" w:color="auto" w:fill="D4E2E0" w:themeFill="accent5"/>
          </w:tcPr>
          <w:p w14:paraId="2115497E" w14:textId="695CEDC7" w:rsidR="00E66A08" w:rsidRPr="00E66A08" w:rsidRDefault="00E66A08" w:rsidP="000C5C83">
            <w:pPr>
              <w:jc w:val="right"/>
              <w:rPr>
                <w:b/>
              </w:rPr>
            </w:pPr>
            <w:r w:rsidRPr="00E66A08">
              <w:rPr>
                <w:b/>
              </w:rPr>
              <w:t>19,370</w:t>
            </w:r>
          </w:p>
        </w:tc>
      </w:tr>
      <w:tr w:rsidR="00E66A08" w14:paraId="0DC75B14" w14:textId="77777777" w:rsidTr="00E66A08">
        <w:tc>
          <w:tcPr>
            <w:tcW w:w="5070" w:type="dxa"/>
          </w:tcPr>
          <w:p w14:paraId="6B361791" w14:textId="77777777" w:rsidR="00E66A08" w:rsidRDefault="00E66A08" w:rsidP="000C5C83"/>
        </w:tc>
        <w:tc>
          <w:tcPr>
            <w:tcW w:w="2126" w:type="dxa"/>
            <w:gridSpan w:val="2"/>
            <w:tcBorders>
              <w:top w:val="single" w:sz="4" w:space="0" w:color="auto"/>
              <w:bottom w:val="single" w:sz="4" w:space="0" w:color="auto"/>
            </w:tcBorders>
            <w:shd w:val="clear" w:color="auto" w:fill="FFFFFF" w:themeFill="background1"/>
          </w:tcPr>
          <w:p w14:paraId="1533071F" w14:textId="77777777" w:rsidR="00E66A08" w:rsidRDefault="00E66A08" w:rsidP="000C5C83">
            <w:pPr>
              <w:jc w:val="right"/>
            </w:pPr>
          </w:p>
        </w:tc>
        <w:tc>
          <w:tcPr>
            <w:tcW w:w="2046" w:type="dxa"/>
            <w:tcBorders>
              <w:top w:val="single" w:sz="4" w:space="0" w:color="auto"/>
              <w:bottom w:val="single" w:sz="4" w:space="0" w:color="auto"/>
            </w:tcBorders>
            <w:shd w:val="clear" w:color="auto" w:fill="FFFFFF" w:themeFill="background1"/>
          </w:tcPr>
          <w:p w14:paraId="61A4E3E3" w14:textId="77777777" w:rsidR="00E66A08" w:rsidRDefault="00E66A08" w:rsidP="000C5C83">
            <w:pPr>
              <w:jc w:val="right"/>
            </w:pPr>
          </w:p>
        </w:tc>
      </w:tr>
      <w:tr w:rsidR="00E66A08" w14:paraId="375441E2" w14:textId="77777777" w:rsidTr="00E66A08">
        <w:tc>
          <w:tcPr>
            <w:tcW w:w="5070" w:type="dxa"/>
          </w:tcPr>
          <w:p w14:paraId="32841CCB" w14:textId="367058FD" w:rsidR="00E66A08" w:rsidRPr="00E66A08" w:rsidRDefault="00E66A08" w:rsidP="000C5C83">
            <w:pPr>
              <w:rPr>
                <w:b/>
              </w:rPr>
            </w:pPr>
            <w:r w:rsidRPr="00E66A08">
              <w:rPr>
                <w:b/>
              </w:rPr>
              <w:t>Total non-current provisions</w:t>
            </w:r>
          </w:p>
        </w:tc>
        <w:tc>
          <w:tcPr>
            <w:tcW w:w="2126" w:type="dxa"/>
            <w:gridSpan w:val="2"/>
            <w:tcBorders>
              <w:top w:val="single" w:sz="4" w:space="0" w:color="auto"/>
              <w:bottom w:val="single" w:sz="4" w:space="0" w:color="auto"/>
            </w:tcBorders>
            <w:shd w:val="clear" w:color="auto" w:fill="F5EDC1" w:themeFill="accent4"/>
          </w:tcPr>
          <w:p w14:paraId="11515604" w14:textId="0F12AC3E" w:rsidR="00E66A08" w:rsidRPr="00E66A08" w:rsidRDefault="00E66A08" w:rsidP="000C5C83">
            <w:pPr>
              <w:jc w:val="right"/>
              <w:rPr>
                <w:b/>
              </w:rPr>
            </w:pPr>
            <w:r w:rsidRPr="00E66A08">
              <w:rPr>
                <w:b/>
              </w:rPr>
              <w:t>29,610</w:t>
            </w:r>
          </w:p>
        </w:tc>
        <w:tc>
          <w:tcPr>
            <w:tcW w:w="2046" w:type="dxa"/>
            <w:tcBorders>
              <w:top w:val="single" w:sz="4" w:space="0" w:color="auto"/>
              <w:bottom w:val="single" w:sz="4" w:space="0" w:color="auto"/>
            </w:tcBorders>
            <w:shd w:val="clear" w:color="auto" w:fill="D4E2E0" w:themeFill="accent5"/>
          </w:tcPr>
          <w:p w14:paraId="785D88C1" w14:textId="5A668131" w:rsidR="00E66A08" w:rsidRPr="00E66A08" w:rsidRDefault="00E66A08" w:rsidP="000C5C83">
            <w:pPr>
              <w:jc w:val="right"/>
              <w:rPr>
                <w:b/>
              </w:rPr>
            </w:pPr>
            <w:r w:rsidRPr="00E66A08">
              <w:rPr>
                <w:b/>
              </w:rPr>
              <w:t>34,316</w:t>
            </w:r>
          </w:p>
        </w:tc>
      </w:tr>
    </w:tbl>
    <w:p w14:paraId="1A7FBC5B" w14:textId="77777777" w:rsidR="009A5F6F" w:rsidRDefault="009A5F6F" w:rsidP="00F576B8"/>
    <w:p w14:paraId="3169C0BB" w14:textId="316D1A20" w:rsidR="009A5F6F" w:rsidRDefault="00E66A08" w:rsidP="00E66A08">
      <w:r>
        <w:t xml:space="preserve">(a) </w:t>
      </w:r>
      <w:r w:rsidRPr="00E66A08">
        <w:t>Annual leave liabilities have been classified as current as there is no unconditional right to defer settlement for at least 12 months after the  reporting period. Assessments indicate that actual settlement of the liabilities is expected to occur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2078"/>
        <w:gridCol w:w="2001"/>
      </w:tblGrid>
      <w:tr w:rsidR="009A5F6F" w14:paraId="64BCB1E2" w14:textId="77777777" w:rsidTr="000B4E3E">
        <w:tc>
          <w:tcPr>
            <w:tcW w:w="5070" w:type="dxa"/>
          </w:tcPr>
          <w:p w14:paraId="0C6C1D82" w14:textId="2D95733B" w:rsidR="009A5F6F" w:rsidRDefault="00E66A08" w:rsidP="00E66A08">
            <w:pPr>
              <w:keepLines w:val="0"/>
              <w:spacing w:after="0" w:line="240" w:lineRule="auto"/>
            </w:pPr>
            <w:r>
              <w:t>Within 12 months of the end of the reporting period</w:t>
            </w:r>
          </w:p>
        </w:tc>
        <w:tc>
          <w:tcPr>
            <w:tcW w:w="2126" w:type="dxa"/>
            <w:shd w:val="clear" w:color="auto" w:fill="F5EDC1" w:themeFill="accent4"/>
          </w:tcPr>
          <w:p w14:paraId="2AB4AF03" w14:textId="59726A7C" w:rsidR="009A5F6F" w:rsidRDefault="00E66A08" w:rsidP="000B4E3E">
            <w:pPr>
              <w:jc w:val="right"/>
            </w:pPr>
            <w:r>
              <w:t>427</w:t>
            </w:r>
          </w:p>
        </w:tc>
        <w:tc>
          <w:tcPr>
            <w:tcW w:w="2046" w:type="dxa"/>
            <w:shd w:val="clear" w:color="auto" w:fill="D4E2E0" w:themeFill="accent5"/>
          </w:tcPr>
          <w:p w14:paraId="70AAD510" w14:textId="156BFEE7" w:rsidR="009A5F6F" w:rsidRDefault="00E66A08" w:rsidP="000B4E3E">
            <w:pPr>
              <w:jc w:val="right"/>
            </w:pPr>
            <w:r>
              <w:t>490</w:t>
            </w:r>
          </w:p>
        </w:tc>
      </w:tr>
      <w:tr w:rsidR="009A5F6F" w14:paraId="4B24771C" w14:textId="77777777" w:rsidTr="00164894">
        <w:tc>
          <w:tcPr>
            <w:tcW w:w="5070" w:type="dxa"/>
          </w:tcPr>
          <w:p w14:paraId="36011AAC" w14:textId="6B1E8DF3" w:rsidR="009A5F6F" w:rsidRDefault="00E66A08" w:rsidP="000B4E3E">
            <w:r>
              <w:lastRenderedPageBreak/>
              <w:t>More than 12 months after the end of the reporting period</w:t>
            </w:r>
          </w:p>
        </w:tc>
        <w:tc>
          <w:tcPr>
            <w:tcW w:w="2126" w:type="dxa"/>
            <w:shd w:val="clear" w:color="auto" w:fill="F5EDC1" w:themeFill="accent4"/>
          </w:tcPr>
          <w:p w14:paraId="6368FDB7" w14:textId="0E389FA9" w:rsidR="009A5F6F" w:rsidRDefault="00E66A08" w:rsidP="000B4E3E">
            <w:pPr>
              <w:jc w:val="right"/>
            </w:pPr>
            <w:r>
              <w:t>44</w:t>
            </w:r>
          </w:p>
        </w:tc>
        <w:tc>
          <w:tcPr>
            <w:tcW w:w="2046" w:type="dxa"/>
            <w:shd w:val="clear" w:color="auto" w:fill="D4E2E0" w:themeFill="accent5"/>
          </w:tcPr>
          <w:p w14:paraId="4DDA4F63" w14:textId="2D51DDF4" w:rsidR="009A5F6F" w:rsidRDefault="00E66A08" w:rsidP="000B4E3E">
            <w:pPr>
              <w:jc w:val="right"/>
            </w:pPr>
            <w:r>
              <w:t>83</w:t>
            </w:r>
          </w:p>
        </w:tc>
      </w:tr>
      <w:tr w:rsidR="00E66A08" w14:paraId="09DA9519" w14:textId="77777777" w:rsidTr="00164894">
        <w:tc>
          <w:tcPr>
            <w:tcW w:w="5070" w:type="dxa"/>
          </w:tcPr>
          <w:p w14:paraId="0C144DA7" w14:textId="77777777" w:rsidR="00E66A08" w:rsidRDefault="00E66A08" w:rsidP="000B4E3E"/>
        </w:tc>
        <w:tc>
          <w:tcPr>
            <w:tcW w:w="2126" w:type="dxa"/>
            <w:tcBorders>
              <w:bottom w:val="single" w:sz="4" w:space="0" w:color="auto"/>
            </w:tcBorders>
            <w:shd w:val="clear" w:color="auto" w:fill="F5EDC1" w:themeFill="accent4"/>
          </w:tcPr>
          <w:p w14:paraId="01F3A762" w14:textId="21968A6B" w:rsidR="00E66A08" w:rsidRPr="00164894" w:rsidRDefault="00E66A08" w:rsidP="000B4E3E">
            <w:pPr>
              <w:jc w:val="right"/>
              <w:rPr>
                <w:b/>
              </w:rPr>
            </w:pPr>
            <w:r w:rsidRPr="00164894">
              <w:rPr>
                <w:b/>
              </w:rPr>
              <w:t>471</w:t>
            </w:r>
          </w:p>
        </w:tc>
        <w:tc>
          <w:tcPr>
            <w:tcW w:w="2046" w:type="dxa"/>
            <w:tcBorders>
              <w:bottom w:val="single" w:sz="4" w:space="0" w:color="auto"/>
            </w:tcBorders>
            <w:shd w:val="clear" w:color="auto" w:fill="D4E2E0" w:themeFill="accent5"/>
          </w:tcPr>
          <w:p w14:paraId="7B69186A" w14:textId="2748F667" w:rsidR="00E66A08" w:rsidRPr="00164894" w:rsidRDefault="00E66A08" w:rsidP="000B4E3E">
            <w:pPr>
              <w:jc w:val="right"/>
              <w:rPr>
                <w:b/>
              </w:rPr>
            </w:pPr>
            <w:r w:rsidRPr="00164894">
              <w:rPr>
                <w:b/>
              </w:rPr>
              <w:t>573</w:t>
            </w:r>
          </w:p>
        </w:tc>
      </w:tr>
    </w:tbl>
    <w:p w14:paraId="24542DCB" w14:textId="77777777" w:rsidR="00E66A08" w:rsidRDefault="00E66A08" w:rsidP="00F576B8"/>
    <w:p w14:paraId="50FA4776" w14:textId="11F963ED" w:rsidR="009A5F6F" w:rsidRDefault="00E66A08" w:rsidP="00F576B8">
      <w:r>
        <w:t xml:space="preserve">(b) </w:t>
      </w:r>
      <w:r w:rsidRPr="00E66A08">
        <w:t>Long service leave liabilities have been classified as current where there is no unconditional right to defer settlement for at least 12 months after the end of the reporting period. Assessments indica</w:t>
      </w:r>
      <w:r>
        <w:t>te that actual settle</w:t>
      </w:r>
      <w:r w:rsidRPr="00E66A08">
        <w:t>ment of the liabilities is expected to occur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2082"/>
        <w:gridCol w:w="2005"/>
      </w:tblGrid>
      <w:tr w:rsidR="00E66A08" w14:paraId="56CEF850" w14:textId="77777777" w:rsidTr="000B4E3E">
        <w:tc>
          <w:tcPr>
            <w:tcW w:w="5070" w:type="dxa"/>
          </w:tcPr>
          <w:p w14:paraId="74D0950C" w14:textId="77777777" w:rsidR="00E66A08" w:rsidRDefault="00E66A08" w:rsidP="00E66A08">
            <w:pPr>
              <w:keepLines w:val="0"/>
              <w:spacing w:line="240" w:lineRule="auto"/>
            </w:pPr>
            <w:r>
              <w:t>Within 12 months of the end of the reporting period</w:t>
            </w:r>
          </w:p>
        </w:tc>
        <w:tc>
          <w:tcPr>
            <w:tcW w:w="2126" w:type="dxa"/>
            <w:shd w:val="clear" w:color="auto" w:fill="F5EDC1" w:themeFill="accent4"/>
          </w:tcPr>
          <w:p w14:paraId="00F2F4C2" w14:textId="1E80FFAA" w:rsidR="00E66A08" w:rsidRDefault="00E66A08" w:rsidP="000B4E3E">
            <w:pPr>
              <w:jc w:val="right"/>
            </w:pPr>
            <w:r>
              <w:t>781</w:t>
            </w:r>
          </w:p>
        </w:tc>
        <w:tc>
          <w:tcPr>
            <w:tcW w:w="2046" w:type="dxa"/>
            <w:shd w:val="clear" w:color="auto" w:fill="D4E2E0" w:themeFill="accent5"/>
          </w:tcPr>
          <w:p w14:paraId="03A472A6" w14:textId="16357C8E" w:rsidR="00E66A08" w:rsidRDefault="00E66A08" w:rsidP="000B4E3E">
            <w:pPr>
              <w:jc w:val="right"/>
            </w:pPr>
            <w:r>
              <w:t>970</w:t>
            </w:r>
          </w:p>
        </w:tc>
      </w:tr>
      <w:tr w:rsidR="00E66A08" w14:paraId="31F4D91D" w14:textId="77777777" w:rsidTr="00164894">
        <w:tc>
          <w:tcPr>
            <w:tcW w:w="5070" w:type="dxa"/>
          </w:tcPr>
          <w:p w14:paraId="5D18E845" w14:textId="77777777" w:rsidR="00E66A08" w:rsidRDefault="00E66A08" w:rsidP="000B4E3E">
            <w:r>
              <w:t>More than 12 months after the end of the reporting period</w:t>
            </w:r>
          </w:p>
        </w:tc>
        <w:tc>
          <w:tcPr>
            <w:tcW w:w="2126" w:type="dxa"/>
            <w:shd w:val="clear" w:color="auto" w:fill="F5EDC1" w:themeFill="accent4"/>
          </w:tcPr>
          <w:p w14:paraId="1F938113" w14:textId="721CC384" w:rsidR="00E66A08" w:rsidRDefault="00E66A08" w:rsidP="000B4E3E">
            <w:pPr>
              <w:jc w:val="right"/>
            </w:pPr>
            <w:r>
              <w:t>2,103</w:t>
            </w:r>
          </w:p>
        </w:tc>
        <w:tc>
          <w:tcPr>
            <w:tcW w:w="2046" w:type="dxa"/>
            <w:shd w:val="clear" w:color="auto" w:fill="D4E2E0" w:themeFill="accent5"/>
          </w:tcPr>
          <w:p w14:paraId="78CB7FDA" w14:textId="24575D5E" w:rsidR="00E66A08" w:rsidRDefault="00E66A08" w:rsidP="000B4E3E">
            <w:pPr>
              <w:jc w:val="right"/>
            </w:pPr>
            <w:r>
              <w:t>1,763</w:t>
            </w:r>
          </w:p>
        </w:tc>
      </w:tr>
      <w:tr w:rsidR="00E66A08" w14:paraId="2BD427BD" w14:textId="77777777" w:rsidTr="00164894">
        <w:tc>
          <w:tcPr>
            <w:tcW w:w="5070" w:type="dxa"/>
          </w:tcPr>
          <w:p w14:paraId="1939FE3C" w14:textId="77777777" w:rsidR="00E66A08" w:rsidRDefault="00E66A08" w:rsidP="000B4E3E"/>
        </w:tc>
        <w:tc>
          <w:tcPr>
            <w:tcW w:w="2126" w:type="dxa"/>
            <w:tcBorders>
              <w:bottom w:val="single" w:sz="4" w:space="0" w:color="auto"/>
            </w:tcBorders>
            <w:shd w:val="clear" w:color="auto" w:fill="F5EDC1" w:themeFill="accent4"/>
          </w:tcPr>
          <w:p w14:paraId="60DB0F53" w14:textId="5C1E9174" w:rsidR="00E66A08" w:rsidRPr="00164894" w:rsidRDefault="00E66A08" w:rsidP="000B4E3E">
            <w:pPr>
              <w:jc w:val="right"/>
              <w:rPr>
                <w:b/>
              </w:rPr>
            </w:pPr>
            <w:r w:rsidRPr="00164894">
              <w:rPr>
                <w:b/>
              </w:rPr>
              <w:t>2,884</w:t>
            </w:r>
          </w:p>
        </w:tc>
        <w:tc>
          <w:tcPr>
            <w:tcW w:w="2046" w:type="dxa"/>
            <w:tcBorders>
              <w:bottom w:val="single" w:sz="4" w:space="0" w:color="auto"/>
            </w:tcBorders>
            <w:shd w:val="clear" w:color="auto" w:fill="D4E2E0" w:themeFill="accent5"/>
          </w:tcPr>
          <w:p w14:paraId="4EE7C096" w14:textId="0A9A21B5" w:rsidR="00E66A08" w:rsidRPr="00164894" w:rsidRDefault="00E66A08" w:rsidP="000B4E3E">
            <w:pPr>
              <w:jc w:val="right"/>
              <w:rPr>
                <w:b/>
              </w:rPr>
            </w:pPr>
            <w:r w:rsidRPr="00164894">
              <w:rPr>
                <w:b/>
              </w:rPr>
              <w:t>2,733</w:t>
            </w:r>
          </w:p>
        </w:tc>
      </w:tr>
    </w:tbl>
    <w:p w14:paraId="2C944EFD" w14:textId="77777777" w:rsidR="009A5F6F" w:rsidRDefault="009A5F6F" w:rsidP="00F576B8"/>
    <w:p w14:paraId="268F0063" w14:textId="7C015994" w:rsidR="00164894" w:rsidRDefault="00C2647F" w:rsidP="00F576B8">
      <w:r>
        <w:t xml:space="preserve">(c) </w:t>
      </w:r>
      <w:r w:rsidRPr="00C2647F">
        <w:t>The settlement of annual and long service leave liabilities gives rise to the payment of employment on-costs including workers’ compensation insurance and payroll tax. The provision is the present value of expected future payments. The associated expense, apart from the unwinding of the discount (finance cost), is disclosed in note 16 ‘Other expenses’.</w:t>
      </w:r>
    </w:p>
    <w:p w14:paraId="5AA8A037" w14:textId="4E5F268E" w:rsidR="00C2647F" w:rsidRDefault="00C2647F" w:rsidP="00C2647F">
      <w:r>
        <w:t>(d) Defined benefit superannuation plans</w:t>
      </w:r>
    </w:p>
    <w:p w14:paraId="570E9DE5" w14:textId="12173D98" w:rsidR="00164894" w:rsidRDefault="00C2647F" w:rsidP="00C2647F">
      <w:r>
        <w:t>Movements in the present value of the defined benefit obligation in the reporting period were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529"/>
        <w:gridCol w:w="425"/>
        <w:gridCol w:w="298"/>
        <w:gridCol w:w="1119"/>
        <w:gridCol w:w="288"/>
        <w:gridCol w:w="1271"/>
        <w:gridCol w:w="1135"/>
        <w:gridCol w:w="295"/>
      </w:tblGrid>
      <w:tr w:rsidR="00E129CB" w:rsidRPr="00FC5D3A" w14:paraId="5EE9EFF3" w14:textId="77777777" w:rsidTr="00E129CB">
        <w:tc>
          <w:tcPr>
            <w:tcW w:w="2840" w:type="dxa"/>
          </w:tcPr>
          <w:p w14:paraId="4DA22B5D" w14:textId="77777777" w:rsidR="00E129CB" w:rsidRPr="00FC5D3A" w:rsidRDefault="00E129CB" w:rsidP="000B4E3E">
            <w:pPr>
              <w:rPr>
                <w:w w:val="90"/>
              </w:rPr>
            </w:pPr>
          </w:p>
        </w:tc>
        <w:tc>
          <w:tcPr>
            <w:tcW w:w="2371" w:type="dxa"/>
            <w:gridSpan w:val="4"/>
          </w:tcPr>
          <w:p w14:paraId="61665A89" w14:textId="49A08130" w:rsidR="00E129CB" w:rsidRPr="00E129CB" w:rsidRDefault="00E129CB" w:rsidP="000B4E3E">
            <w:pPr>
              <w:jc w:val="right"/>
              <w:rPr>
                <w:w w:val="90"/>
              </w:rPr>
            </w:pPr>
            <w:r w:rsidRPr="00E129CB">
              <w:t>Pension Scheme</w:t>
            </w:r>
          </w:p>
        </w:tc>
        <w:tc>
          <w:tcPr>
            <w:tcW w:w="288" w:type="dxa"/>
          </w:tcPr>
          <w:p w14:paraId="2EAC2C1D" w14:textId="73DBCA85" w:rsidR="00E129CB" w:rsidRPr="00E129CB" w:rsidRDefault="00E129CB" w:rsidP="000B4E3E">
            <w:pPr>
              <w:jc w:val="right"/>
              <w:rPr>
                <w:w w:val="90"/>
              </w:rPr>
            </w:pPr>
          </w:p>
        </w:tc>
        <w:tc>
          <w:tcPr>
            <w:tcW w:w="2406" w:type="dxa"/>
            <w:gridSpan w:val="2"/>
          </w:tcPr>
          <w:p w14:paraId="1E250F0E" w14:textId="2FFB6264" w:rsidR="00E129CB" w:rsidRPr="00E129CB" w:rsidRDefault="00E129CB" w:rsidP="000B4E3E">
            <w:pPr>
              <w:jc w:val="right"/>
              <w:rPr>
                <w:w w:val="90"/>
              </w:rPr>
            </w:pPr>
            <w:r w:rsidRPr="00E129CB">
              <w:rPr>
                <w:w w:val="90"/>
              </w:rPr>
              <w:t xml:space="preserve">Pre-transfer benefit – Gold State Superannuation Scheme </w:t>
            </w:r>
          </w:p>
        </w:tc>
        <w:tc>
          <w:tcPr>
            <w:tcW w:w="295" w:type="dxa"/>
          </w:tcPr>
          <w:p w14:paraId="0EBF609C" w14:textId="79D90B3A" w:rsidR="00E129CB" w:rsidRPr="00E129CB" w:rsidRDefault="00E129CB" w:rsidP="000B4E3E">
            <w:pPr>
              <w:jc w:val="right"/>
              <w:rPr>
                <w:w w:val="90"/>
              </w:rPr>
            </w:pPr>
          </w:p>
        </w:tc>
      </w:tr>
      <w:tr w:rsidR="00E129CB" w:rsidRPr="00FC5D3A" w14:paraId="3A3EB74F" w14:textId="77777777" w:rsidTr="00E129CB">
        <w:tc>
          <w:tcPr>
            <w:tcW w:w="2840" w:type="dxa"/>
          </w:tcPr>
          <w:p w14:paraId="4FA72EB8" w14:textId="77777777" w:rsidR="00E129CB" w:rsidRPr="00FC5D3A" w:rsidRDefault="00E129CB" w:rsidP="000B4E3E">
            <w:pPr>
              <w:rPr>
                <w:w w:val="90"/>
              </w:rPr>
            </w:pPr>
          </w:p>
        </w:tc>
        <w:tc>
          <w:tcPr>
            <w:tcW w:w="1252" w:type="dxa"/>
            <w:gridSpan w:val="3"/>
          </w:tcPr>
          <w:p w14:paraId="5BB822D5" w14:textId="541E4B30" w:rsidR="00E129CB" w:rsidRPr="00E129CB" w:rsidRDefault="00E129CB" w:rsidP="000B4E3E">
            <w:pPr>
              <w:jc w:val="right"/>
            </w:pPr>
            <w:r w:rsidRPr="00E129CB">
              <w:t>2015</w:t>
            </w:r>
            <w:r w:rsidRPr="00E129CB">
              <w:br/>
              <w:t>$000</w:t>
            </w:r>
          </w:p>
        </w:tc>
        <w:tc>
          <w:tcPr>
            <w:tcW w:w="1407" w:type="dxa"/>
            <w:gridSpan w:val="2"/>
            <w:shd w:val="clear" w:color="auto" w:fill="FFFFFF" w:themeFill="background1"/>
          </w:tcPr>
          <w:p w14:paraId="421D24FD" w14:textId="4CD54D2D" w:rsidR="00E129CB" w:rsidRPr="00E129CB" w:rsidRDefault="00E129CB" w:rsidP="000B4E3E">
            <w:pPr>
              <w:jc w:val="right"/>
            </w:pPr>
            <w:r w:rsidRPr="00E129CB">
              <w:t>2014</w:t>
            </w:r>
            <w:r w:rsidRPr="00E129CB">
              <w:br/>
              <w:t>$000</w:t>
            </w:r>
          </w:p>
        </w:tc>
        <w:tc>
          <w:tcPr>
            <w:tcW w:w="1271" w:type="dxa"/>
          </w:tcPr>
          <w:p w14:paraId="7320CF0E" w14:textId="1948994B" w:rsidR="00E129CB" w:rsidRPr="00E129CB" w:rsidRDefault="00E129CB" w:rsidP="000B4E3E">
            <w:pPr>
              <w:jc w:val="right"/>
            </w:pPr>
            <w:r w:rsidRPr="00E129CB">
              <w:t>2015</w:t>
            </w:r>
            <w:r w:rsidRPr="00E129CB">
              <w:br/>
              <w:t>$000</w:t>
            </w:r>
          </w:p>
        </w:tc>
        <w:tc>
          <w:tcPr>
            <w:tcW w:w="1430" w:type="dxa"/>
            <w:gridSpan w:val="2"/>
          </w:tcPr>
          <w:p w14:paraId="4CB4416C" w14:textId="1DF95325" w:rsidR="00E129CB" w:rsidRPr="00E129CB" w:rsidRDefault="00E129CB" w:rsidP="000B4E3E">
            <w:pPr>
              <w:jc w:val="right"/>
            </w:pPr>
            <w:r w:rsidRPr="00E129CB">
              <w:t>2014</w:t>
            </w:r>
            <w:r w:rsidRPr="00E129CB">
              <w:br/>
              <w:t>$000</w:t>
            </w:r>
          </w:p>
        </w:tc>
      </w:tr>
      <w:tr w:rsidR="00E129CB" w:rsidRPr="0032784D" w14:paraId="41D976C0" w14:textId="77777777" w:rsidTr="00E129CB">
        <w:tc>
          <w:tcPr>
            <w:tcW w:w="2840" w:type="dxa"/>
          </w:tcPr>
          <w:p w14:paraId="7AE90646" w14:textId="0E40CE6F" w:rsidR="00E129CB" w:rsidRPr="0032784D" w:rsidRDefault="00E129CB" w:rsidP="000B4E3E">
            <w:r>
              <w:t>Liability at start of period</w:t>
            </w:r>
          </w:p>
        </w:tc>
        <w:tc>
          <w:tcPr>
            <w:tcW w:w="1252" w:type="dxa"/>
            <w:gridSpan w:val="3"/>
            <w:shd w:val="clear" w:color="auto" w:fill="F5EDC1" w:themeFill="accent4"/>
          </w:tcPr>
          <w:p w14:paraId="58A2B3DF" w14:textId="673C2E45" w:rsidR="00E129CB" w:rsidRPr="0032784D" w:rsidRDefault="00E129CB" w:rsidP="000B4E3E">
            <w:pPr>
              <w:jc w:val="right"/>
            </w:pPr>
            <w:r>
              <w:t>5,155</w:t>
            </w:r>
          </w:p>
        </w:tc>
        <w:tc>
          <w:tcPr>
            <w:tcW w:w="1407" w:type="dxa"/>
            <w:gridSpan w:val="2"/>
            <w:shd w:val="clear" w:color="auto" w:fill="D4E2E0" w:themeFill="accent5"/>
          </w:tcPr>
          <w:p w14:paraId="74DB695F" w14:textId="0AC804E1" w:rsidR="00E129CB" w:rsidRPr="0032784D" w:rsidRDefault="00E129CB" w:rsidP="000B4E3E">
            <w:pPr>
              <w:jc w:val="right"/>
            </w:pPr>
            <w:r>
              <w:t>4,998</w:t>
            </w:r>
          </w:p>
        </w:tc>
        <w:tc>
          <w:tcPr>
            <w:tcW w:w="1271" w:type="dxa"/>
            <w:shd w:val="clear" w:color="auto" w:fill="F5EDC1" w:themeFill="accent4"/>
          </w:tcPr>
          <w:p w14:paraId="206648EA" w14:textId="366FF039" w:rsidR="00E129CB" w:rsidRPr="0032784D" w:rsidRDefault="00E129CB" w:rsidP="000B4E3E">
            <w:pPr>
              <w:jc w:val="center"/>
            </w:pPr>
            <w:r>
              <w:t>461</w:t>
            </w:r>
          </w:p>
        </w:tc>
        <w:tc>
          <w:tcPr>
            <w:tcW w:w="1430" w:type="dxa"/>
            <w:gridSpan w:val="2"/>
            <w:shd w:val="clear" w:color="auto" w:fill="D4E2E0" w:themeFill="accent5"/>
          </w:tcPr>
          <w:p w14:paraId="0F0805F6" w14:textId="7F5F954B" w:rsidR="00E129CB" w:rsidRPr="0032784D" w:rsidRDefault="00E129CB" w:rsidP="000B4E3E">
            <w:pPr>
              <w:jc w:val="right"/>
            </w:pPr>
            <w:r>
              <w:t>483</w:t>
            </w:r>
          </w:p>
        </w:tc>
      </w:tr>
      <w:tr w:rsidR="00E129CB" w14:paraId="40A8EB53" w14:textId="77777777" w:rsidTr="00E129CB">
        <w:tc>
          <w:tcPr>
            <w:tcW w:w="3369" w:type="dxa"/>
            <w:gridSpan w:val="2"/>
          </w:tcPr>
          <w:p w14:paraId="4EAD690F" w14:textId="5115E7AD" w:rsidR="00E129CB" w:rsidRPr="00E129CB" w:rsidRDefault="00E129CB" w:rsidP="000B4E3E">
            <w:pPr>
              <w:rPr>
                <w:b/>
              </w:rPr>
            </w:pPr>
            <w:r w:rsidRPr="00E129CB">
              <w:rPr>
                <w:b/>
              </w:rPr>
              <w:t>Included in profit or loss:</w:t>
            </w:r>
          </w:p>
        </w:tc>
        <w:tc>
          <w:tcPr>
            <w:tcW w:w="723" w:type="dxa"/>
            <w:gridSpan w:val="2"/>
            <w:shd w:val="clear" w:color="auto" w:fill="FFFFFF" w:themeFill="background1"/>
          </w:tcPr>
          <w:p w14:paraId="6DA43EF6" w14:textId="77777777" w:rsidR="00E129CB" w:rsidRPr="0032784D" w:rsidRDefault="00E129CB" w:rsidP="000B4E3E">
            <w:pPr>
              <w:jc w:val="right"/>
            </w:pPr>
          </w:p>
        </w:tc>
        <w:tc>
          <w:tcPr>
            <w:tcW w:w="1407" w:type="dxa"/>
            <w:gridSpan w:val="2"/>
            <w:shd w:val="clear" w:color="auto" w:fill="FFFFFF" w:themeFill="background1"/>
          </w:tcPr>
          <w:p w14:paraId="51104D64" w14:textId="2F4A141E" w:rsidR="00E129CB" w:rsidRDefault="00E129CB" w:rsidP="000B4E3E">
            <w:pPr>
              <w:jc w:val="right"/>
            </w:pPr>
          </w:p>
        </w:tc>
        <w:tc>
          <w:tcPr>
            <w:tcW w:w="1271" w:type="dxa"/>
            <w:shd w:val="clear" w:color="auto" w:fill="FFFFFF" w:themeFill="background1"/>
          </w:tcPr>
          <w:p w14:paraId="7975D010" w14:textId="77777777" w:rsidR="00E129CB" w:rsidRPr="0032784D" w:rsidRDefault="00E129CB" w:rsidP="000B4E3E">
            <w:pPr>
              <w:jc w:val="center"/>
            </w:pPr>
          </w:p>
        </w:tc>
        <w:tc>
          <w:tcPr>
            <w:tcW w:w="1430" w:type="dxa"/>
            <w:gridSpan w:val="2"/>
            <w:shd w:val="clear" w:color="auto" w:fill="FFFFFF" w:themeFill="background1"/>
          </w:tcPr>
          <w:p w14:paraId="37BBF4BE" w14:textId="47F28193" w:rsidR="00E129CB" w:rsidRDefault="00E129CB" w:rsidP="000B4E3E">
            <w:pPr>
              <w:jc w:val="right"/>
            </w:pPr>
          </w:p>
        </w:tc>
      </w:tr>
      <w:tr w:rsidR="00E129CB" w:rsidRPr="0032784D" w14:paraId="1AAE946A" w14:textId="77777777" w:rsidTr="00E129CB">
        <w:tc>
          <w:tcPr>
            <w:tcW w:w="2840" w:type="dxa"/>
          </w:tcPr>
          <w:p w14:paraId="2B58A1E0" w14:textId="5065CB76" w:rsidR="00E129CB" w:rsidRDefault="00E129CB" w:rsidP="000B4E3E">
            <w:r>
              <w:t>Current service cost</w:t>
            </w:r>
          </w:p>
        </w:tc>
        <w:tc>
          <w:tcPr>
            <w:tcW w:w="1252" w:type="dxa"/>
            <w:gridSpan w:val="3"/>
            <w:shd w:val="clear" w:color="auto" w:fill="F5EDC1" w:themeFill="accent4"/>
          </w:tcPr>
          <w:p w14:paraId="0246D63C" w14:textId="73ED3EE5" w:rsidR="00E129CB" w:rsidRPr="00E129CB" w:rsidRDefault="00912451" w:rsidP="000B4E3E">
            <w:pPr>
              <w:jc w:val="right"/>
            </w:pPr>
            <w:r>
              <w:t>-</w:t>
            </w:r>
          </w:p>
        </w:tc>
        <w:tc>
          <w:tcPr>
            <w:tcW w:w="1407" w:type="dxa"/>
            <w:gridSpan w:val="2"/>
            <w:shd w:val="clear" w:color="auto" w:fill="D4E2E0" w:themeFill="accent5"/>
          </w:tcPr>
          <w:p w14:paraId="729576B0" w14:textId="7D96F9DC" w:rsidR="00E129CB" w:rsidRPr="00E129CB" w:rsidRDefault="00E129CB" w:rsidP="000B4E3E">
            <w:pPr>
              <w:jc w:val="right"/>
            </w:pPr>
            <w:r>
              <w:t>-</w:t>
            </w:r>
          </w:p>
        </w:tc>
        <w:tc>
          <w:tcPr>
            <w:tcW w:w="1271" w:type="dxa"/>
            <w:shd w:val="clear" w:color="auto" w:fill="F5EDC1" w:themeFill="accent4"/>
          </w:tcPr>
          <w:p w14:paraId="6AF7354C" w14:textId="23FC7631" w:rsidR="00E129CB" w:rsidRPr="00E129CB" w:rsidRDefault="00E129CB" w:rsidP="000B4E3E">
            <w:pPr>
              <w:jc w:val="center"/>
            </w:pPr>
            <w:r>
              <w:t>-</w:t>
            </w:r>
          </w:p>
        </w:tc>
        <w:tc>
          <w:tcPr>
            <w:tcW w:w="1430" w:type="dxa"/>
            <w:gridSpan w:val="2"/>
            <w:shd w:val="clear" w:color="auto" w:fill="D4E2E0" w:themeFill="accent5"/>
          </w:tcPr>
          <w:p w14:paraId="28C4A304" w14:textId="274F06A6" w:rsidR="00E129CB" w:rsidRPr="00E129CB" w:rsidRDefault="00E129CB" w:rsidP="000B4E3E">
            <w:pPr>
              <w:jc w:val="right"/>
            </w:pPr>
            <w:r>
              <w:t>-</w:t>
            </w:r>
          </w:p>
        </w:tc>
      </w:tr>
      <w:tr w:rsidR="00E129CB" w:rsidRPr="0032784D" w14:paraId="4B42E40E" w14:textId="77777777" w:rsidTr="00E129CB">
        <w:tc>
          <w:tcPr>
            <w:tcW w:w="2840" w:type="dxa"/>
          </w:tcPr>
          <w:p w14:paraId="5DBABCBA" w14:textId="6033D8FB" w:rsidR="00E129CB" w:rsidRDefault="00E129CB" w:rsidP="000B4E3E">
            <w:r>
              <w:lastRenderedPageBreak/>
              <w:t>Past service cost</w:t>
            </w:r>
          </w:p>
        </w:tc>
        <w:tc>
          <w:tcPr>
            <w:tcW w:w="1252" w:type="dxa"/>
            <w:gridSpan w:val="3"/>
            <w:shd w:val="clear" w:color="auto" w:fill="F5EDC1" w:themeFill="accent4"/>
          </w:tcPr>
          <w:p w14:paraId="5FE70316" w14:textId="4018049A" w:rsidR="00E129CB" w:rsidRDefault="00E129CB" w:rsidP="000B4E3E">
            <w:pPr>
              <w:jc w:val="right"/>
            </w:pPr>
            <w:r>
              <w:t>-</w:t>
            </w:r>
          </w:p>
        </w:tc>
        <w:tc>
          <w:tcPr>
            <w:tcW w:w="1407" w:type="dxa"/>
            <w:gridSpan w:val="2"/>
            <w:shd w:val="clear" w:color="auto" w:fill="D4E2E0" w:themeFill="accent5"/>
          </w:tcPr>
          <w:p w14:paraId="3C6E42D3" w14:textId="7475659A" w:rsidR="00E129CB" w:rsidRDefault="00E129CB" w:rsidP="000B4E3E">
            <w:pPr>
              <w:jc w:val="right"/>
            </w:pPr>
            <w:r>
              <w:t>-</w:t>
            </w:r>
          </w:p>
        </w:tc>
        <w:tc>
          <w:tcPr>
            <w:tcW w:w="1271" w:type="dxa"/>
            <w:shd w:val="clear" w:color="auto" w:fill="F5EDC1" w:themeFill="accent4"/>
          </w:tcPr>
          <w:p w14:paraId="6D067EB4" w14:textId="56C7C718" w:rsidR="00E129CB" w:rsidRDefault="00E129CB" w:rsidP="000B4E3E">
            <w:pPr>
              <w:jc w:val="center"/>
            </w:pPr>
            <w:r>
              <w:t>-</w:t>
            </w:r>
          </w:p>
        </w:tc>
        <w:tc>
          <w:tcPr>
            <w:tcW w:w="1430" w:type="dxa"/>
            <w:gridSpan w:val="2"/>
            <w:shd w:val="clear" w:color="auto" w:fill="D4E2E0" w:themeFill="accent5"/>
          </w:tcPr>
          <w:p w14:paraId="2D37A85E" w14:textId="492DD130" w:rsidR="00E129CB" w:rsidRDefault="00E129CB" w:rsidP="000B4E3E">
            <w:pPr>
              <w:jc w:val="right"/>
            </w:pPr>
            <w:r>
              <w:t>-</w:t>
            </w:r>
          </w:p>
        </w:tc>
      </w:tr>
      <w:tr w:rsidR="00E129CB" w:rsidRPr="0032784D" w14:paraId="3D8A31BD" w14:textId="77777777" w:rsidTr="00E129CB">
        <w:tc>
          <w:tcPr>
            <w:tcW w:w="2840" w:type="dxa"/>
          </w:tcPr>
          <w:p w14:paraId="6522B3F4" w14:textId="79A2F5AD" w:rsidR="00E129CB" w:rsidRDefault="00E129CB" w:rsidP="000B4E3E">
            <w:r>
              <w:t>Interest cost</w:t>
            </w:r>
          </w:p>
        </w:tc>
        <w:tc>
          <w:tcPr>
            <w:tcW w:w="1252" w:type="dxa"/>
            <w:gridSpan w:val="3"/>
            <w:shd w:val="clear" w:color="auto" w:fill="F5EDC1" w:themeFill="accent4"/>
          </w:tcPr>
          <w:p w14:paraId="7F5E8C3A" w14:textId="7BB7E73A" w:rsidR="00E129CB" w:rsidRDefault="00E129CB" w:rsidP="000B4E3E">
            <w:pPr>
              <w:jc w:val="right"/>
            </w:pPr>
            <w:r>
              <w:t>175</w:t>
            </w:r>
          </w:p>
        </w:tc>
        <w:tc>
          <w:tcPr>
            <w:tcW w:w="1407" w:type="dxa"/>
            <w:gridSpan w:val="2"/>
            <w:shd w:val="clear" w:color="auto" w:fill="D4E2E0" w:themeFill="accent5"/>
          </w:tcPr>
          <w:p w14:paraId="69367F2F" w14:textId="592EA629" w:rsidR="00E129CB" w:rsidRDefault="00E129CB" w:rsidP="000B4E3E">
            <w:pPr>
              <w:jc w:val="right"/>
            </w:pPr>
            <w:r>
              <w:t>184</w:t>
            </w:r>
          </w:p>
        </w:tc>
        <w:tc>
          <w:tcPr>
            <w:tcW w:w="1271" w:type="dxa"/>
            <w:shd w:val="clear" w:color="auto" w:fill="F5EDC1" w:themeFill="accent4"/>
          </w:tcPr>
          <w:p w14:paraId="6ABA207D" w14:textId="6DA96A1A" w:rsidR="00E129CB" w:rsidRDefault="00E129CB" w:rsidP="000B4E3E">
            <w:pPr>
              <w:jc w:val="center"/>
            </w:pPr>
            <w:r>
              <w:t>16</w:t>
            </w:r>
          </w:p>
        </w:tc>
        <w:tc>
          <w:tcPr>
            <w:tcW w:w="1430" w:type="dxa"/>
            <w:gridSpan w:val="2"/>
            <w:shd w:val="clear" w:color="auto" w:fill="D4E2E0" w:themeFill="accent5"/>
          </w:tcPr>
          <w:p w14:paraId="017D4344" w14:textId="17586747" w:rsidR="00E129CB" w:rsidRDefault="00E129CB" w:rsidP="000B4E3E">
            <w:pPr>
              <w:jc w:val="right"/>
            </w:pPr>
            <w:r>
              <w:t>18</w:t>
            </w:r>
          </w:p>
        </w:tc>
      </w:tr>
      <w:tr w:rsidR="00E129CB" w:rsidRPr="0032784D" w14:paraId="7AC42FB6" w14:textId="77777777" w:rsidTr="00E129CB">
        <w:tc>
          <w:tcPr>
            <w:tcW w:w="2840" w:type="dxa"/>
          </w:tcPr>
          <w:p w14:paraId="01825227" w14:textId="77777777" w:rsidR="00E129CB" w:rsidRDefault="00E129CB" w:rsidP="000B4E3E"/>
        </w:tc>
        <w:tc>
          <w:tcPr>
            <w:tcW w:w="1252" w:type="dxa"/>
            <w:gridSpan w:val="3"/>
            <w:tcBorders>
              <w:bottom w:val="single" w:sz="4" w:space="0" w:color="auto"/>
            </w:tcBorders>
            <w:shd w:val="clear" w:color="auto" w:fill="F5EDC1" w:themeFill="accent4"/>
          </w:tcPr>
          <w:p w14:paraId="7F96539E" w14:textId="53674B4F" w:rsidR="00E129CB" w:rsidRPr="00E129CB" w:rsidRDefault="00E129CB" w:rsidP="000B4E3E">
            <w:pPr>
              <w:jc w:val="right"/>
              <w:rPr>
                <w:b/>
              </w:rPr>
            </w:pPr>
            <w:r w:rsidRPr="00E129CB">
              <w:rPr>
                <w:b/>
              </w:rPr>
              <w:t>175</w:t>
            </w:r>
          </w:p>
        </w:tc>
        <w:tc>
          <w:tcPr>
            <w:tcW w:w="1407" w:type="dxa"/>
            <w:gridSpan w:val="2"/>
            <w:tcBorders>
              <w:bottom w:val="single" w:sz="4" w:space="0" w:color="auto"/>
            </w:tcBorders>
            <w:shd w:val="clear" w:color="auto" w:fill="D4E2E0" w:themeFill="accent5"/>
          </w:tcPr>
          <w:p w14:paraId="4512D01B" w14:textId="3CC0E8A5" w:rsidR="00E129CB" w:rsidRPr="00E129CB" w:rsidRDefault="00E129CB" w:rsidP="000B4E3E">
            <w:pPr>
              <w:jc w:val="right"/>
              <w:rPr>
                <w:b/>
              </w:rPr>
            </w:pPr>
            <w:r w:rsidRPr="00E129CB">
              <w:rPr>
                <w:b/>
              </w:rPr>
              <w:t>184</w:t>
            </w:r>
          </w:p>
        </w:tc>
        <w:tc>
          <w:tcPr>
            <w:tcW w:w="1271" w:type="dxa"/>
            <w:tcBorders>
              <w:bottom w:val="single" w:sz="4" w:space="0" w:color="auto"/>
            </w:tcBorders>
            <w:shd w:val="clear" w:color="auto" w:fill="F5EDC1" w:themeFill="accent4"/>
          </w:tcPr>
          <w:p w14:paraId="7DC67CD6" w14:textId="4FA9DEB4" w:rsidR="00E129CB" w:rsidRPr="00E129CB" w:rsidRDefault="00E129CB" w:rsidP="000B4E3E">
            <w:pPr>
              <w:jc w:val="center"/>
              <w:rPr>
                <w:b/>
              </w:rPr>
            </w:pPr>
            <w:r w:rsidRPr="00E129CB">
              <w:rPr>
                <w:b/>
              </w:rPr>
              <w:t>16</w:t>
            </w:r>
          </w:p>
        </w:tc>
        <w:tc>
          <w:tcPr>
            <w:tcW w:w="1430" w:type="dxa"/>
            <w:gridSpan w:val="2"/>
            <w:tcBorders>
              <w:bottom w:val="single" w:sz="4" w:space="0" w:color="auto"/>
            </w:tcBorders>
            <w:shd w:val="clear" w:color="auto" w:fill="D4E2E0" w:themeFill="accent5"/>
          </w:tcPr>
          <w:p w14:paraId="42B02690" w14:textId="42D17449" w:rsidR="00E129CB" w:rsidRPr="00E129CB" w:rsidRDefault="00E129CB" w:rsidP="000B4E3E">
            <w:pPr>
              <w:jc w:val="right"/>
              <w:rPr>
                <w:b/>
              </w:rPr>
            </w:pPr>
            <w:r w:rsidRPr="00E129CB">
              <w:rPr>
                <w:b/>
              </w:rPr>
              <w:t>18</w:t>
            </w:r>
          </w:p>
        </w:tc>
      </w:tr>
      <w:tr w:rsidR="00E129CB" w:rsidRPr="0032784D" w14:paraId="1073589C" w14:textId="77777777" w:rsidTr="00E129CB">
        <w:tc>
          <w:tcPr>
            <w:tcW w:w="3794" w:type="dxa"/>
            <w:gridSpan w:val="3"/>
          </w:tcPr>
          <w:p w14:paraId="2C619504" w14:textId="358BA9F9" w:rsidR="00E129CB" w:rsidRPr="00E129CB" w:rsidRDefault="00E129CB" w:rsidP="000B4E3E">
            <w:pPr>
              <w:rPr>
                <w:b/>
              </w:rPr>
            </w:pPr>
            <w:r w:rsidRPr="00E129CB">
              <w:rPr>
                <w:b/>
              </w:rPr>
              <w:t>Included in Other Comprehensive Income:</w:t>
            </w:r>
            <w:r w:rsidRPr="00E129CB">
              <w:rPr>
                <w:b/>
              </w:rPr>
              <w:br/>
              <w:t>Remeasurements loss (gain) recognised:</w:t>
            </w:r>
            <w:r>
              <w:rPr>
                <w:b/>
              </w:rPr>
              <w:br/>
            </w:r>
            <w:r>
              <w:rPr>
                <w:i/>
              </w:rPr>
              <w:t>Actuarial losses/(gains) arising from:</w:t>
            </w:r>
            <w:r w:rsidRPr="00E129CB">
              <w:rPr>
                <w:b/>
              </w:rPr>
              <w:br/>
            </w:r>
          </w:p>
        </w:tc>
        <w:tc>
          <w:tcPr>
            <w:tcW w:w="298" w:type="dxa"/>
            <w:shd w:val="clear" w:color="auto" w:fill="FFFFFF" w:themeFill="background1"/>
          </w:tcPr>
          <w:p w14:paraId="369E96B1" w14:textId="77777777" w:rsidR="00E129CB" w:rsidRDefault="00E129CB" w:rsidP="000B4E3E">
            <w:pPr>
              <w:jc w:val="right"/>
            </w:pPr>
          </w:p>
        </w:tc>
        <w:tc>
          <w:tcPr>
            <w:tcW w:w="1407" w:type="dxa"/>
            <w:gridSpan w:val="2"/>
            <w:shd w:val="clear" w:color="auto" w:fill="FFFFFF" w:themeFill="background1"/>
          </w:tcPr>
          <w:p w14:paraId="7D07CEC7" w14:textId="77777777" w:rsidR="00E129CB" w:rsidRDefault="00E129CB" w:rsidP="000B4E3E">
            <w:pPr>
              <w:jc w:val="right"/>
            </w:pPr>
          </w:p>
        </w:tc>
        <w:tc>
          <w:tcPr>
            <w:tcW w:w="1271" w:type="dxa"/>
            <w:shd w:val="clear" w:color="auto" w:fill="FFFFFF" w:themeFill="background1"/>
          </w:tcPr>
          <w:p w14:paraId="2F949743" w14:textId="77777777" w:rsidR="00E129CB" w:rsidRDefault="00E129CB" w:rsidP="000B4E3E">
            <w:pPr>
              <w:jc w:val="center"/>
            </w:pPr>
          </w:p>
        </w:tc>
        <w:tc>
          <w:tcPr>
            <w:tcW w:w="1430" w:type="dxa"/>
            <w:gridSpan w:val="2"/>
            <w:shd w:val="clear" w:color="auto" w:fill="FFFFFF" w:themeFill="background1"/>
          </w:tcPr>
          <w:p w14:paraId="727BBFA0" w14:textId="77777777" w:rsidR="00E129CB" w:rsidRDefault="00E129CB" w:rsidP="000B4E3E">
            <w:pPr>
              <w:jc w:val="right"/>
            </w:pPr>
          </w:p>
        </w:tc>
      </w:tr>
      <w:tr w:rsidR="00E129CB" w:rsidRPr="0032784D" w14:paraId="3C208981" w14:textId="77777777" w:rsidTr="00E129CB">
        <w:tc>
          <w:tcPr>
            <w:tcW w:w="2840" w:type="dxa"/>
          </w:tcPr>
          <w:p w14:paraId="25741BB8" w14:textId="4A047C30" w:rsidR="00E129CB" w:rsidRDefault="00E129CB" w:rsidP="000B4E3E">
            <w:r>
              <w:t>Demographic assumptions</w:t>
            </w:r>
          </w:p>
        </w:tc>
        <w:tc>
          <w:tcPr>
            <w:tcW w:w="1252" w:type="dxa"/>
            <w:gridSpan w:val="3"/>
            <w:shd w:val="clear" w:color="auto" w:fill="F5EDC1" w:themeFill="accent4"/>
          </w:tcPr>
          <w:p w14:paraId="72583323" w14:textId="291D2943" w:rsidR="00E129CB" w:rsidRDefault="00E129CB" w:rsidP="000B4E3E">
            <w:pPr>
              <w:jc w:val="right"/>
            </w:pPr>
            <w:r>
              <w:t>-</w:t>
            </w:r>
          </w:p>
        </w:tc>
        <w:tc>
          <w:tcPr>
            <w:tcW w:w="1407" w:type="dxa"/>
            <w:gridSpan w:val="2"/>
            <w:shd w:val="clear" w:color="auto" w:fill="D4E2E0" w:themeFill="accent5"/>
          </w:tcPr>
          <w:p w14:paraId="3CAEC8FD" w14:textId="5EC4B16D" w:rsidR="00E129CB" w:rsidRDefault="00E129CB" w:rsidP="000B4E3E">
            <w:pPr>
              <w:jc w:val="right"/>
            </w:pPr>
            <w:r>
              <w:t>-</w:t>
            </w:r>
          </w:p>
        </w:tc>
        <w:tc>
          <w:tcPr>
            <w:tcW w:w="1271" w:type="dxa"/>
            <w:shd w:val="clear" w:color="auto" w:fill="F5EDC1" w:themeFill="accent4"/>
          </w:tcPr>
          <w:p w14:paraId="186174BE" w14:textId="3AD78461" w:rsidR="00E129CB" w:rsidRDefault="00E129CB" w:rsidP="000B4E3E">
            <w:pPr>
              <w:jc w:val="center"/>
            </w:pPr>
            <w:r>
              <w:t>-</w:t>
            </w:r>
          </w:p>
        </w:tc>
        <w:tc>
          <w:tcPr>
            <w:tcW w:w="1430" w:type="dxa"/>
            <w:gridSpan w:val="2"/>
            <w:shd w:val="clear" w:color="auto" w:fill="D4E2E0" w:themeFill="accent5"/>
          </w:tcPr>
          <w:p w14:paraId="6DC866E6" w14:textId="78FE58A6" w:rsidR="00E129CB" w:rsidRDefault="00E129CB" w:rsidP="000B4E3E">
            <w:pPr>
              <w:jc w:val="right"/>
            </w:pPr>
            <w:r>
              <w:t>-</w:t>
            </w:r>
          </w:p>
        </w:tc>
      </w:tr>
      <w:tr w:rsidR="00E129CB" w:rsidRPr="0032784D" w14:paraId="21A85DC2" w14:textId="77777777" w:rsidTr="00E129CB">
        <w:tc>
          <w:tcPr>
            <w:tcW w:w="2840" w:type="dxa"/>
          </w:tcPr>
          <w:p w14:paraId="702263D0" w14:textId="4A420F21" w:rsidR="00E129CB" w:rsidRDefault="00E129CB" w:rsidP="000B4E3E">
            <w:r>
              <w:t>Financial assumptions</w:t>
            </w:r>
          </w:p>
        </w:tc>
        <w:tc>
          <w:tcPr>
            <w:tcW w:w="1252" w:type="dxa"/>
            <w:gridSpan w:val="3"/>
            <w:shd w:val="clear" w:color="auto" w:fill="F5EDC1" w:themeFill="accent4"/>
          </w:tcPr>
          <w:p w14:paraId="725C0757" w14:textId="634B4CB0" w:rsidR="00E129CB" w:rsidRDefault="00E129CB" w:rsidP="000B4E3E">
            <w:pPr>
              <w:jc w:val="right"/>
            </w:pPr>
            <w:r>
              <w:t>326</w:t>
            </w:r>
          </w:p>
        </w:tc>
        <w:tc>
          <w:tcPr>
            <w:tcW w:w="1407" w:type="dxa"/>
            <w:gridSpan w:val="2"/>
            <w:shd w:val="clear" w:color="auto" w:fill="D4E2E0" w:themeFill="accent5"/>
          </w:tcPr>
          <w:p w14:paraId="4F927A48" w14:textId="5AC9E4C3" w:rsidR="00E129CB" w:rsidRDefault="00E129CB" w:rsidP="000B4E3E">
            <w:pPr>
              <w:jc w:val="right"/>
            </w:pPr>
            <w:r>
              <w:t>187</w:t>
            </w:r>
          </w:p>
        </w:tc>
        <w:tc>
          <w:tcPr>
            <w:tcW w:w="1271" w:type="dxa"/>
            <w:shd w:val="clear" w:color="auto" w:fill="F5EDC1" w:themeFill="accent4"/>
          </w:tcPr>
          <w:p w14:paraId="416A08BA" w14:textId="0E59EB1A" w:rsidR="00E129CB" w:rsidRDefault="00E129CB" w:rsidP="000B4E3E">
            <w:pPr>
              <w:jc w:val="center"/>
            </w:pPr>
            <w:r>
              <w:t>(2)</w:t>
            </w:r>
          </w:p>
        </w:tc>
        <w:tc>
          <w:tcPr>
            <w:tcW w:w="1430" w:type="dxa"/>
            <w:gridSpan w:val="2"/>
            <w:shd w:val="clear" w:color="auto" w:fill="D4E2E0" w:themeFill="accent5"/>
          </w:tcPr>
          <w:p w14:paraId="1BDDA8FB" w14:textId="2A9D0B41" w:rsidR="00E129CB" w:rsidRDefault="00E129CB" w:rsidP="000B4E3E">
            <w:pPr>
              <w:jc w:val="right"/>
            </w:pPr>
            <w:r>
              <w:t>2</w:t>
            </w:r>
          </w:p>
        </w:tc>
      </w:tr>
      <w:tr w:rsidR="00E129CB" w:rsidRPr="0032784D" w14:paraId="071A978F" w14:textId="77777777" w:rsidTr="00E129CB">
        <w:tc>
          <w:tcPr>
            <w:tcW w:w="2840" w:type="dxa"/>
          </w:tcPr>
          <w:p w14:paraId="471CA624" w14:textId="2234FF20" w:rsidR="00E129CB" w:rsidRDefault="00E129CB" w:rsidP="000B4E3E">
            <w:r>
              <w:t>Experience adjustments</w:t>
            </w:r>
          </w:p>
        </w:tc>
        <w:tc>
          <w:tcPr>
            <w:tcW w:w="1252" w:type="dxa"/>
            <w:gridSpan w:val="3"/>
            <w:shd w:val="clear" w:color="auto" w:fill="F5EDC1" w:themeFill="accent4"/>
          </w:tcPr>
          <w:p w14:paraId="311E9E01" w14:textId="662C2E9D" w:rsidR="00E129CB" w:rsidRDefault="00E129CB" w:rsidP="000B4E3E">
            <w:pPr>
              <w:jc w:val="right"/>
            </w:pPr>
            <w:r>
              <w:t>57</w:t>
            </w:r>
          </w:p>
        </w:tc>
        <w:tc>
          <w:tcPr>
            <w:tcW w:w="1407" w:type="dxa"/>
            <w:gridSpan w:val="2"/>
            <w:shd w:val="clear" w:color="auto" w:fill="D4E2E0" w:themeFill="accent5"/>
          </w:tcPr>
          <w:p w14:paraId="7EA0478E" w14:textId="48051B85" w:rsidR="00E129CB" w:rsidRDefault="00E129CB" w:rsidP="000B4E3E">
            <w:pPr>
              <w:jc w:val="right"/>
            </w:pPr>
            <w:r>
              <w:t>90</w:t>
            </w:r>
          </w:p>
        </w:tc>
        <w:tc>
          <w:tcPr>
            <w:tcW w:w="1271" w:type="dxa"/>
            <w:shd w:val="clear" w:color="auto" w:fill="F5EDC1" w:themeFill="accent4"/>
          </w:tcPr>
          <w:p w14:paraId="65E5FF74" w14:textId="06FD9908" w:rsidR="00E129CB" w:rsidRDefault="00E129CB" w:rsidP="000B4E3E">
            <w:pPr>
              <w:jc w:val="center"/>
            </w:pPr>
            <w:r>
              <w:t>24</w:t>
            </w:r>
          </w:p>
        </w:tc>
        <w:tc>
          <w:tcPr>
            <w:tcW w:w="1430" w:type="dxa"/>
            <w:gridSpan w:val="2"/>
            <w:shd w:val="clear" w:color="auto" w:fill="D4E2E0" w:themeFill="accent5"/>
          </w:tcPr>
          <w:p w14:paraId="4386027F" w14:textId="49E487F8" w:rsidR="00E129CB" w:rsidRDefault="00E129CB" w:rsidP="000B4E3E">
            <w:pPr>
              <w:jc w:val="right"/>
            </w:pPr>
            <w:r>
              <w:t>(12)</w:t>
            </w:r>
          </w:p>
        </w:tc>
      </w:tr>
      <w:tr w:rsidR="00E129CB" w:rsidRPr="0032784D" w14:paraId="227E2BD1" w14:textId="77777777" w:rsidTr="00E129CB">
        <w:tc>
          <w:tcPr>
            <w:tcW w:w="2840" w:type="dxa"/>
          </w:tcPr>
          <w:p w14:paraId="7EEACEC3" w14:textId="77777777" w:rsidR="00E129CB" w:rsidRDefault="00E129CB" w:rsidP="000B4E3E"/>
        </w:tc>
        <w:tc>
          <w:tcPr>
            <w:tcW w:w="1252" w:type="dxa"/>
            <w:gridSpan w:val="3"/>
            <w:tcBorders>
              <w:bottom w:val="single" w:sz="4" w:space="0" w:color="auto"/>
            </w:tcBorders>
            <w:shd w:val="clear" w:color="auto" w:fill="F5EDC1" w:themeFill="accent4"/>
          </w:tcPr>
          <w:p w14:paraId="110B0588" w14:textId="5D63C512" w:rsidR="00E129CB" w:rsidRPr="00E129CB" w:rsidRDefault="00E129CB" w:rsidP="000B4E3E">
            <w:pPr>
              <w:jc w:val="right"/>
              <w:rPr>
                <w:b/>
              </w:rPr>
            </w:pPr>
            <w:r w:rsidRPr="00E129CB">
              <w:rPr>
                <w:b/>
              </w:rPr>
              <w:t>383</w:t>
            </w:r>
          </w:p>
        </w:tc>
        <w:tc>
          <w:tcPr>
            <w:tcW w:w="1407" w:type="dxa"/>
            <w:gridSpan w:val="2"/>
            <w:tcBorders>
              <w:bottom w:val="single" w:sz="4" w:space="0" w:color="auto"/>
            </w:tcBorders>
            <w:shd w:val="clear" w:color="auto" w:fill="D4E2E0" w:themeFill="accent5"/>
          </w:tcPr>
          <w:p w14:paraId="6EDFDB17" w14:textId="578C1CB4" w:rsidR="00E129CB" w:rsidRPr="00E129CB" w:rsidRDefault="00E129CB" w:rsidP="000B4E3E">
            <w:pPr>
              <w:jc w:val="right"/>
              <w:rPr>
                <w:b/>
              </w:rPr>
            </w:pPr>
            <w:r w:rsidRPr="00E129CB">
              <w:rPr>
                <w:b/>
              </w:rPr>
              <w:t>277</w:t>
            </w:r>
          </w:p>
        </w:tc>
        <w:tc>
          <w:tcPr>
            <w:tcW w:w="1271" w:type="dxa"/>
            <w:tcBorders>
              <w:bottom w:val="single" w:sz="4" w:space="0" w:color="auto"/>
            </w:tcBorders>
            <w:shd w:val="clear" w:color="auto" w:fill="F5EDC1" w:themeFill="accent4"/>
          </w:tcPr>
          <w:p w14:paraId="1CE4F366" w14:textId="35360513" w:rsidR="00E129CB" w:rsidRPr="00E129CB" w:rsidRDefault="00E129CB" w:rsidP="000B4E3E">
            <w:pPr>
              <w:jc w:val="center"/>
              <w:rPr>
                <w:b/>
              </w:rPr>
            </w:pPr>
            <w:r w:rsidRPr="00E129CB">
              <w:rPr>
                <w:b/>
              </w:rPr>
              <w:t>22</w:t>
            </w:r>
          </w:p>
        </w:tc>
        <w:tc>
          <w:tcPr>
            <w:tcW w:w="1430" w:type="dxa"/>
            <w:gridSpan w:val="2"/>
            <w:tcBorders>
              <w:bottom w:val="single" w:sz="4" w:space="0" w:color="auto"/>
            </w:tcBorders>
            <w:shd w:val="clear" w:color="auto" w:fill="D4E2E0" w:themeFill="accent5"/>
          </w:tcPr>
          <w:p w14:paraId="165A5511" w14:textId="746D8204" w:rsidR="00E129CB" w:rsidRPr="00E129CB" w:rsidRDefault="00E129CB" w:rsidP="000B4E3E">
            <w:pPr>
              <w:jc w:val="right"/>
              <w:rPr>
                <w:b/>
              </w:rPr>
            </w:pPr>
            <w:r w:rsidRPr="00E129CB">
              <w:rPr>
                <w:b/>
              </w:rPr>
              <w:t>(10)</w:t>
            </w:r>
          </w:p>
        </w:tc>
      </w:tr>
      <w:tr w:rsidR="00E129CB" w:rsidRPr="0032784D" w14:paraId="35E9D5FE" w14:textId="77777777" w:rsidTr="00E129CB">
        <w:tc>
          <w:tcPr>
            <w:tcW w:w="2840" w:type="dxa"/>
          </w:tcPr>
          <w:p w14:paraId="5708D99E" w14:textId="6874333D" w:rsidR="00E129CB" w:rsidRPr="00E129CB" w:rsidRDefault="00E129CB" w:rsidP="000B4E3E">
            <w:pPr>
              <w:rPr>
                <w:i/>
              </w:rPr>
            </w:pPr>
            <w:r w:rsidRPr="00E129CB">
              <w:rPr>
                <w:i/>
              </w:rPr>
              <w:t>Contributions:</w:t>
            </w:r>
          </w:p>
        </w:tc>
        <w:tc>
          <w:tcPr>
            <w:tcW w:w="1252" w:type="dxa"/>
            <w:gridSpan w:val="3"/>
            <w:tcBorders>
              <w:top w:val="single" w:sz="4" w:space="0" w:color="auto"/>
            </w:tcBorders>
            <w:shd w:val="clear" w:color="auto" w:fill="FFFFFF" w:themeFill="background1"/>
          </w:tcPr>
          <w:p w14:paraId="099157AC" w14:textId="77777777" w:rsidR="00E129CB" w:rsidRDefault="00E129CB" w:rsidP="000B4E3E">
            <w:pPr>
              <w:jc w:val="right"/>
            </w:pPr>
          </w:p>
        </w:tc>
        <w:tc>
          <w:tcPr>
            <w:tcW w:w="1407" w:type="dxa"/>
            <w:gridSpan w:val="2"/>
            <w:tcBorders>
              <w:top w:val="single" w:sz="4" w:space="0" w:color="auto"/>
            </w:tcBorders>
            <w:shd w:val="clear" w:color="auto" w:fill="FFFFFF" w:themeFill="background1"/>
          </w:tcPr>
          <w:p w14:paraId="27DD09B9" w14:textId="77777777" w:rsidR="00E129CB" w:rsidRDefault="00E129CB" w:rsidP="000B4E3E">
            <w:pPr>
              <w:jc w:val="right"/>
            </w:pPr>
          </w:p>
        </w:tc>
        <w:tc>
          <w:tcPr>
            <w:tcW w:w="1271" w:type="dxa"/>
            <w:tcBorders>
              <w:top w:val="single" w:sz="4" w:space="0" w:color="auto"/>
            </w:tcBorders>
            <w:shd w:val="clear" w:color="auto" w:fill="FFFFFF" w:themeFill="background1"/>
          </w:tcPr>
          <w:p w14:paraId="65CAC670" w14:textId="77777777" w:rsidR="00E129CB" w:rsidRDefault="00E129CB" w:rsidP="000B4E3E">
            <w:pPr>
              <w:jc w:val="center"/>
            </w:pPr>
          </w:p>
        </w:tc>
        <w:tc>
          <w:tcPr>
            <w:tcW w:w="1430" w:type="dxa"/>
            <w:gridSpan w:val="2"/>
            <w:tcBorders>
              <w:top w:val="single" w:sz="4" w:space="0" w:color="auto"/>
            </w:tcBorders>
            <w:shd w:val="clear" w:color="auto" w:fill="FFFFFF" w:themeFill="background1"/>
          </w:tcPr>
          <w:p w14:paraId="2F2B946D" w14:textId="77777777" w:rsidR="00E129CB" w:rsidRDefault="00E129CB" w:rsidP="000B4E3E">
            <w:pPr>
              <w:jc w:val="right"/>
            </w:pPr>
          </w:p>
        </w:tc>
      </w:tr>
      <w:tr w:rsidR="00E129CB" w:rsidRPr="0032784D" w14:paraId="6AE85288" w14:textId="77777777" w:rsidTr="00E129CB">
        <w:tc>
          <w:tcPr>
            <w:tcW w:w="2840" w:type="dxa"/>
          </w:tcPr>
          <w:p w14:paraId="65303ED0" w14:textId="6DB3155A" w:rsidR="00E129CB" w:rsidRDefault="00E129CB" w:rsidP="000B4E3E">
            <w:r>
              <w:t>Benefits paid</w:t>
            </w:r>
          </w:p>
        </w:tc>
        <w:tc>
          <w:tcPr>
            <w:tcW w:w="1252" w:type="dxa"/>
            <w:gridSpan w:val="3"/>
            <w:shd w:val="clear" w:color="auto" w:fill="F5EDC1" w:themeFill="accent4"/>
          </w:tcPr>
          <w:p w14:paraId="06E69752" w14:textId="0A4717C2" w:rsidR="00E129CB" w:rsidRDefault="00E129CB" w:rsidP="000B4E3E">
            <w:pPr>
              <w:jc w:val="right"/>
            </w:pPr>
            <w:r>
              <w:t>(313)</w:t>
            </w:r>
          </w:p>
        </w:tc>
        <w:tc>
          <w:tcPr>
            <w:tcW w:w="1407" w:type="dxa"/>
            <w:gridSpan w:val="2"/>
            <w:shd w:val="clear" w:color="auto" w:fill="D4E2E0" w:themeFill="accent5"/>
          </w:tcPr>
          <w:p w14:paraId="5747CB87" w14:textId="64671CE7" w:rsidR="00E129CB" w:rsidRDefault="00E129CB" w:rsidP="000B4E3E">
            <w:pPr>
              <w:jc w:val="right"/>
            </w:pPr>
            <w:r>
              <w:t>(304)</w:t>
            </w:r>
          </w:p>
        </w:tc>
        <w:tc>
          <w:tcPr>
            <w:tcW w:w="1271" w:type="dxa"/>
            <w:shd w:val="clear" w:color="auto" w:fill="F5EDC1" w:themeFill="accent4"/>
          </w:tcPr>
          <w:p w14:paraId="7857D05B" w14:textId="724A5689" w:rsidR="00E129CB" w:rsidRDefault="005D60EF" w:rsidP="000B4E3E">
            <w:pPr>
              <w:jc w:val="center"/>
            </w:pPr>
            <w:r>
              <w:t>-</w:t>
            </w:r>
          </w:p>
        </w:tc>
        <w:tc>
          <w:tcPr>
            <w:tcW w:w="1430" w:type="dxa"/>
            <w:gridSpan w:val="2"/>
            <w:shd w:val="clear" w:color="auto" w:fill="D4E2E0" w:themeFill="accent5"/>
          </w:tcPr>
          <w:p w14:paraId="5BE13CDA" w14:textId="65533A5B" w:rsidR="00E129CB" w:rsidRDefault="00E129CB" w:rsidP="000B4E3E">
            <w:pPr>
              <w:jc w:val="right"/>
            </w:pPr>
            <w:r>
              <w:t>(30)</w:t>
            </w:r>
          </w:p>
        </w:tc>
      </w:tr>
      <w:tr w:rsidR="00E129CB" w:rsidRPr="0032784D" w14:paraId="76C778B4" w14:textId="77777777" w:rsidTr="00E129CB">
        <w:tc>
          <w:tcPr>
            <w:tcW w:w="2840" w:type="dxa"/>
          </w:tcPr>
          <w:p w14:paraId="73EFE4CB" w14:textId="77777777" w:rsidR="00E129CB" w:rsidRDefault="00E129CB" w:rsidP="000B4E3E"/>
        </w:tc>
        <w:tc>
          <w:tcPr>
            <w:tcW w:w="1252" w:type="dxa"/>
            <w:gridSpan w:val="3"/>
            <w:tcBorders>
              <w:bottom w:val="single" w:sz="4" w:space="0" w:color="auto"/>
            </w:tcBorders>
            <w:shd w:val="clear" w:color="auto" w:fill="F5EDC1" w:themeFill="accent4"/>
          </w:tcPr>
          <w:p w14:paraId="55292A25" w14:textId="5D6E8F32" w:rsidR="00E129CB" w:rsidRPr="00E129CB" w:rsidRDefault="00E129CB" w:rsidP="000B4E3E">
            <w:pPr>
              <w:jc w:val="right"/>
              <w:rPr>
                <w:b/>
              </w:rPr>
            </w:pPr>
            <w:r w:rsidRPr="00E129CB">
              <w:rPr>
                <w:b/>
              </w:rPr>
              <w:t>(313)</w:t>
            </w:r>
          </w:p>
        </w:tc>
        <w:tc>
          <w:tcPr>
            <w:tcW w:w="1407" w:type="dxa"/>
            <w:gridSpan w:val="2"/>
            <w:tcBorders>
              <w:bottom w:val="single" w:sz="4" w:space="0" w:color="auto"/>
            </w:tcBorders>
            <w:shd w:val="clear" w:color="auto" w:fill="D4E2E0" w:themeFill="accent5"/>
          </w:tcPr>
          <w:p w14:paraId="2742A496" w14:textId="75784A1A" w:rsidR="00E129CB" w:rsidRPr="00E129CB" w:rsidRDefault="00E129CB" w:rsidP="000B4E3E">
            <w:pPr>
              <w:jc w:val="right"/>
              <w:rPr>
                <w:b/>
              </w:rPr>
            </w:pPr>
            <w:r w:rsidRPr="00E129CB">
              <w:rPr>
                <w:b/>
              </w:rPr>
              <w:t>(304)</w:t>
            </w:r>
          </w:p>
        </w:tc>
        <w:tc>
          <w:tcPr>
            <w:tcW w:w="1271" w:type="dxa"/>
            <w:tcBorders>
              <w:bottom w:val="single" w:sz="4" w:space="0" w:color="auto"/>
            </w:tcBorders>
            <w:shd w:val="clear" w:color="auto" w:fill="F5EDC1" w:themeFill="accent4"/>
          </w:tcPr>
          <w:p w14:paraId="42B0CB7C" w14:textId="36574973" w:rsidR="00E129CB" w:rsidRPr="00E129CB" w:rsidRDefault="005D60EF" w:rsidP="000B4E3E">
            <w:pPr>
              <w:jc w:val="center"/>
              <w:rPr>
                <w:b/>
              </w:rPr>
            </w:pPr>
            <w:r>
              <w:rPr>
                <w:b/>
              </w:rPr>
              <w:t>-</w:t>
            </w:r>
          </w:p>
        </w:tc>
        <w:tc>
          <w:tcPr>
            <w:tcW w:w="1430" w:type="dxa"/>
            <w:gridSpan w:val="2"/>
            <w:tcBorders>
              <w:bottom w:val="single" w:sz="4" w:space="0" w:color="auto"/>
            </w:tcBorders>
            <w:shd w:val="clear" w:color="auto" w:fill="D4E2E0" w:themeFill="accent5"/>
          </w:tcPr>
          <w:p w14:paraId="137B2858" w14:textId="301936F9" w:rsidR="00E129CB" w:rsidRPr="00E129CB" w:rsidRDefault="00E129CB" w:rsidP="000B4E3E">
            <w:pPr>
              <w:jc w:val="right"/>
              <w:rPr>
                <w:b/>
              </w:rPr>
            </w:pPr>
            <w:r w:rsidRPr="00E129CB">
              <w:rPr>
                <w:b/>
              </w:rPr>
              <w:t>(30)</w:t>
            </w:r>
          </w:p>
        </w:tc>
      </w:tr>
      <w:tr w:rsidR="00E129CB" w:rsidRPr="0032784D" w14:paraId="60EA3F94" w14:textId="77777777" w:rsidTr="00E129CB">
        <w:tc>
          <w:tcPr>
            <w:tcW w:w="2840" w:type="dxa"/>
          </w:tcPr>
          <w:p w14:paraId="5BF9027A" w14:textId="77777777" w:rsidR="00E129CB" w:rsidRDefault="00E129CB" w:rsidP="000B4E3E"/>
        </w:tc>
        <w:tc>
          <w:tcPr>
            <w:tcW w:w="1252" w:type="dxa"/>
            <w:gridSpan w:val="3"/>
            <w:tcBorders>
              <w:top w:val="single" w:sz="4" w:space="0" w:color="auto"/>
            </w:tcBorders>
            <w:shd w:val="clear" w:color="auto" w:fill="FFFFFF" w:themeFill="background1"/>
          </w:tcPr>
          <w:p w14:paraId="7AE0F675" w14:textId="77777777" w:rsidR="00E129CB" w:rsidRDefault="00E129CB" w:rsidP="000B4E3E">
            <w:pPr>
              <w:jc w:val="right"/>
            </w:pPr>
          </w:p>
        </w:tc>
        <w:tc>
          <w:tcPr>
            <w:tcW w:w="1407" w:type="dxa"/>
            <w:gridSpan w:val="2"/>
            <w:tcBorders>
              <w:top w:val="single" w:sz="4" w:space="0" w:color="auto"/>
            </w:tcBorders>
            <w:shd w:val="clear" w:color="auto" w:fill="FFFFFF" w:themeFill="background1"/>
          </w:tcPr>
          <w:p w14:paraId="235BD52D" w14:textId="77777777" w:rsidR="00E129CB" w:rsidRDefault="00E129CB" w:rsidP="000B4E3E">
            <w:pPr>
              <w:jc w:val="right"/>
            </w:pPr>
          </w:p>
        </w:tc>
        <w:tc>
          <w:tcPr>
            <w:tcW w:w="1271" w:type="dxa"/>
            <w:tcBorders>
              <w:top w:val="single" w:sz="4" w:space="0" w:color="auto"/>
            </w:tcBorders>
            <w:shd w:val="clear" w:color="auto" w:fill="FFFFFF" w:themeFill="background1"/>
          </w:tcPr>
          <w:p w14:paraId="150DDDC4" w14:textId="77777777" w:rsidR="00E129CB" w:rsidRDefault="00E129CB" w:rsidP="000B4E3E">
            <w:pPr>
              <w:jc w:val="center"/>
            </w:pPr>
          </w:p>
        </w:tc>
        <w:tc>
          <w:tcPr>
            <w:tcW w:w="1430" w:type="dxa"/>
            <w:gridSpan w:val="2"/>
            <w:tcBorders>
              <w:top w:val="single" w:sz="4" w:space="0" w:color="auto"/>
            </w:tcBorders>
            <w:shd w:val="clear" w:color="auto" w:fill="FFFFFF" w:themeFill="background1"/>
          </w:tcPr>
          <w:p w14:paraId="50016771" w14:textId="77777777" w:rsidR="00E129CB" w:rsidRDefault="00E129CB" w:rsidP="000B4E3E">
            <w:pPr>
              <w:jc w:val="right"/>
            </w:pPr>
          </w:p>
        </w:tc>
      </w:tr>
      <w:tr w:rsidR="00E129CB" w:rsidRPr="0032784D" w14:paraId="437C8CCC" w14:textId="77777777" w:rsidTr="00E129CB">
        <w:tc>
          <w:tcPr>
            <w:tcW w:w="2840" w:type="dxa"/>
          </w:tcPr>
          <w:p w14:paraId="12F4719C" w14:textId="1C324FBE" w:rsidR="00E129CB" w:rsidRPr="00E129CB" w:rsidRDefault="00E129CB" w:rsidP="000B4E3E">
            <w:pPr>
              <w:rPr>
                <w:b/>
              </w:rPr>
            </w:pPr>
            <w:r w:rsidRPr="00E129CB">
              <w:rPr>
                <w:b/>
              </w:rPr>
              <w:t>Liability at end of period</w:t>
            </w:r>
          </w:p>
        </w:tc>
        <w:tc>
          <w:tcPr>
            <w:tcW w:w="1252" w:type="dxa"/>
            <w:gridSpan w:val="3"/>
            <w:tcBorders>
              <w:bottom w:val="single" w:sz="4" w:space="0" w:color="auto"/>
            </w:tcBorders>
            <w:shd w:val="clear" w:color="auto" w:fill="F5EDC1" w:themeFill="accent4"/>
          </w:tcPr>
          <w:p w14:paraId="46B72B1D" w14:textId="013EBAB9" w:rsidR="00E129CB" w:rsidRPr="00E129CB" w:rsidRDefault="005D60EF" w:rsidP="000B4E3E">
            <w:pPr>
              <w:jc w:val="right"/>
              <w:rPr>
                <w:b/>
              </w:rPr>
            </w:pPr>
            <w:r>
              <w:rPr>
                <w:b/>
              </w:rPr>
              <w:t>5,400</w:t>
            </w:r>
          </w:p>
        </w:tc>
        <w:tc>
          <w:tcPr>
            <w:tcW w:w="1407" w:type="dxa"/>
            <w:gridSpan w:val="2"/>
            <w:tcBorders>
              <w:bottom w:val="single" w:sz="4" w:space="0" w:color="auto"/>
            </w:tcBorders>
            <w:shd w:val="clear" w:color="auto" w:fill="D4E2E0" w:themeFill="accent5"/>
          </w:tcPr>
          <w:p w14:paraId="7BFDCF46" w14:textId="5255764C" w:rsidR="00E129CB" w:rsidRPr="00E129CB" w:rsidRDefault="00E129CB" w:rsidP="000B4E3E">
            <w:pPr>
              <w:jc w:val="right"/>
              <w:rPr>
                <w:b/>
              </w:rPr>
            </w:pPr>
            <w:r w:rsidRPr="00E129CB">
              <w:rPr>
                <w:b/>
              </w:rPr>
              <w:t>5,155</w:t>
            </w:r>
          </w:p>
        </w:tc>
        <w:tc>
          <w:tcPr>
            <w:tcW w:w="1271" w:type="dxa"/>
            <w:tcBorders>
              <w:bottom w:val="single" w:sz="4" w:space="0" w:color="auto"/>
            </w:tcBorders>
            <w:shd w:val="clear" w:color="auto" w:fill="F5EDC1" w:themeFill="accent4"/>
          </w:tcPr>
          <w:p w14:paraId="5305A52B" w14:textId="1E897472" w:rsidR="00E129CB" w:rsidRPr="00E129CB" w:rsidRDefault="00A528DF" w:rsidP="000B4E3E">
            <w:pPr>
              <w:jc w:val="center"/>
              <w:rPr>
                <w:b/>
              </w:rPr>
            </w:pPr>
            <w:r>
              <w:rPr>
                <w:b/>
              </w:rPr>
              <w:t>499</w:t>
            </w:r>
          </w:p>
        </w:tc>
        <w:tc>
          <w:tcPr>
            <w:tcW w:w="1430" w:type="dxa"/>
            <w:gridSpan w:val="2"/>
            <w:tcBorders>
              <w:bottom w:val="single" w:sz="4" w:space="0" w:color="auto"/>
            </w:tcBorders>
            <w:shd w:val="clear" w:color="auto" w:fill="D4E2E0" w:themeFill="accent5"/>
          </w:tcPr>
          <w:p w14:paraId="1A9E3C50" w14:textId="518B4F76" w:rsidR="00E129CB" w:rsidRPr="00E129CB" w:rsidRDefault="00E129CB" w:rsidP="000B4E3E">
            <w:pPr>
              <w:jc w:val="right"/>
              <w:rPr>
                <w:b/>
              </w:rPr>
            </w:pPr>
            <w:r w:rsidRPr="00E129CB">
              <w:rPr>
                <w:b/>
              </w:rPr>
              <w:t>461</w:t>
            </w:r>
          </w:p>
        </w:tc>
      </w:tr>
    </w:tbl>
    <w:p w14:paraId="5C944A15" w14:textId="77777777" w:rsidR="0096075F" w:rsidRDefault="0096075F" w:rsidP="00F576B8"/>
    <w:p w14:paraId="66CC426A" w14:textId="7BF40C99" w:rsidR="00164894" w:rsidRDefault="0096075F" w:rsidP="00F576B8">
      <w:r w:rsidRPr="0096075F">
        <w:t>The Authority holds no plan assets, therefore the present value of the defined benefit obligation equals the net defined benefit liability. Employer contributions, to the Pension Scheme and the pre-transfer benefit for employees who transferred to the GSS, equal the benefits paid.</w:t>
      </w:r>
    </w:p>
    <w:p w14:paraId="50A70093" w14:textId="6867D079" w:rsidR="00D97283" w:rsidRDefault="00D97283">
      <w:pPr>
        <w:keepLines w:val="0"/>
        <w:spacing w:after="0" w:line="240" w:lineRule="auto"/>
      </w:pPr>
      <w:r>
        <w:br w:type="page"/>
      </w:r>
    </w:p>
    <w:p w14:paraId="5E3971D7" w14:textId="77777777" w:rsidR="00D97283" w:rsidRPr="00D97283" w:rsidRDefault="00D97283" w:rsidP="00D97283">
      <w:r w:rsidRPr="00D97283">
        <w:lastRenderedPageBreak/>
        <w:t>The principal actuarial assumptions used (expressed as weighted averages) were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954"/>
        <w:gridCol w:w="298"/>
        <w:gridCol w:w="1119"/>
        <w:gridCol w:w="288"/>
        <w:gridCol w:w="1271"/>
        <w:gridCol w:w="1135"/>
        <w:gridCol w:w="295"/>
      </w:tblGrid>
      <w:tr w:rsidR="00D97283" w:rsidRPr="00E129CB" w14:paraId="1AAC129F" w14:textId="77777777" w:rsidTr="000B4E3E">
        <w:tc>
          <w:tcPr>
            <w:tcW w:w="2840" w:type="dxa"/>
          </w:tcPr>
          <w:p w14:paraId="376AC45D" w14:textId="77777777" w:rsidR="00D97283" w:rsidRPr="00FC5D3A" w:rsidRDefault="00D97283" w:rsidP="000B4E3E">
            <w:pPr>
              <w:rPr>
                <w:w w:val="90"/>
              </w:rPr>
            </w:pPr>
          </w:p>
        </w:tc>
        <w:tc>
          <w:tcPr>
            <w:tcW w:w="2371" w:type="dxa"/>
            <w:gridSpan w:val="3"/>
          </w:tcPr>
          <w:p w14:paraId="15FBE281" w14:textId="77777777" w:rsidR="00D97283" w:rsidRPr="00E129CB" w:rsidRDefault="00D97283" w:rsidP="000B4E3E">
            <w:pPr>
              <w:jc w:val="right"/>
              <w:rPr>
                <w:w w:val="90"/>
              </w:rPr>
            </w:pPr>
            <w:r w:rsidRPr="00E129CB">
              <w:t>Pension Scheme</w:t>
            </w:r>
          </w:p>
        </w:tc>
        <w:tc>
          <w:tcPr>
            <w:tcW w:w="288" w:type="dxa"/>
          </w:tcPr>
          <w:p w14:paraId="7B2D239C" w14:textId="77777777" w:rsidR="00D97283" w:rsidRPr="00E129CB" w:rsidRDefault="00D97283" w:rsidP="000B4E3E">
            <w:pPr>
              <w:jc w:val="right"/>
              <w:rPr>
                <w:w w:val="90"/>
              </w:rPr>
            </w:pPr>
          </w:p>
        </w:tc>
        <w:tc>
          <w:tcPr>
            <w:tcW w:w="2406" w:type="dxa"/>
            <w:gridSpan w:val="2"/>
          </w:tcPr>
          <w:p w14:paraId="0DBC1315" w14:textId="77777777" w:rsidR="00D97283" w:rsidRPr="00E129CB" w:rsidRDefault="00D97283" w:rsidP="000B4E3E">
            <w:pPr>
              <w:jc w:val="right"/>
              <w:rPr>
                <w:w w:val="90"/>
              </w:rPr>
            </w:pPr>
            <w:r w:rsidRPr="00D97283">
              <w:t>Pre-transfer benefit – Gold State Superannuation Scheme</w:t>
            </w:r>
            <w:r w:rsidRPr="00E129CB">
              <w:rPr>
                <w:w w:val="90"/>
              </w:rPr>
              <w:t xml:space="preserve"> </w:t>
            </w:r>
          </w:p>
        </w:tc>
        <w:tc>
          <w:tcPr>
            <w:tcW w:w="295" w:type="dxa"/>
          </w:tcPr>
          <w:p w14:paraId="0334C667" w14:textId="77777777" w:rsidR="00D97283" w:rsidRPr="00E129CB" w:rsidRDefault="00D97283" w:rsidP="000B4E3E">
            <w:pPr>
              <w:jc w:val="right"/>
              <w:rPr>
                <w:w w:val="90"/>
              </w:rPr>
            </w:pPr>
          </w:p>
        </w:tc>
      </w:tr>
      <w:tr w:rsidR="00D97283" w:rsidRPr="00E129CB" w14:paraId="59134871" w14:textId="77777777" w:rsidTr="000B4E3E">
        <w:tc>
          <w:tcPr>
            <w:tcW w:w="2840" w:type="dxa"/>
          </w:tcPr>
          <w:p w14:paraId="56530FE4" w14:textId="77777777" w:rsidR="00D97283" w:rsidRPr="00FC5D3A" w:rsidRDefault="00D97283" w:rsidP="000B4E3E">
            <w:pPr>
              <w:rPr>
                <w:w w:val="90"/>
              </w:rPr>
            </w:pPr>
          </w:p>
        </w:tc>
        <w:tc>
          <w:tcPr>
            <w:tcW w:w="1252" w:type="dxa"/>
            <w:gridSpan w:val="2"/>
          </w:tcPr>
          <w:p w14:paraId="4B957C2A" w14:textId="0786969E" w:rsidR="00D97283" w:rsidRPr="00E129CB" w:rsidRDefault="00D97283" w:rsidP="00D97283">
            <w:pPr>
              <w:jc w:val="right"/>
            </w:pPr>
            <w:r w:rsidRPr="00E129CB">
              <w:t>2015</w:t>
            </w:r>
          </w:p>
        </w:tc>
        <w:tc>
          <w:tcPr>
            <w:tcW w:w="1407" w:type="dxa"/>
            <w:gridSpan w:val="2"/>
            <w:shd w:val="clear" w:color="auto" w:fill="FFFFFF" w:themeFill="background1"/>
          </w:tcPr>
          <w:p w14:paraId="40C92509" w14:textId="0F1FF141" w:rsidR="00D97283" w:rsidRPr="00E129CB" w:rsidRDefault="00D97283" w:rsidP="00D97283">
            <w:pPr>
              <w:jc w:val="right"/>
            </w:pPr>
            <w:r w:rsidRPr="00E129CB">
              <w:t>2014</w:t>
            </w:r>
          </w:p>
        </w:tc>
        <w:tc>
          <w:tcPr>
            <w:tcW w:w="1271" w:type="dxa"/>
          </w:tcPr>
          <w:p w14:paraId="7F9E9292" w14:textId="0C463B4A" w:rsidR="00D97283" w:rsidRPr="00E129CB" w:rsidRDefault="00D97283" w:rsidP="00D97283">
            <w:pPr>
              <w:jc w:val="right"/>
            </w:pPr>
            <w:r w:rsidRPr="00E129CB">
              <w:t>2015</w:t>
            </w:r>
          </w:p>
        </w:tc>
        <w:tc>
          <w:tcPr>
            <w:tcW w:w="1430" w:type="dxa"/>
            <w:gridSpan w:val="2"/>
          </w:tcPr>
          <w:p w14:paraId="0169F61C" w14:textId="7AF2E129" w:rsidR="00D97283" w:rsidRPr="00E129CB" w:rsidRDefault="00D97283" w:rsidP="00D97283">
            <w:pPr>
              <w:jc w:val="right"/>
            </w:pPr>
            <w:r w:rsidRPr="00E129CB">
              <w:t>2014</w:t>
            </w:r>
          </w:p>
        </w:tc>
      </w:tr>
      <w:tr w:rsidR="00D97283" w:rsidRPr="0032784D" w14:paraId="2E3A44CD" w14:textId="77777777" w:rsidTr="000B4E3E">
        <w:tc>
          <w:tcPr>
            <w:tcW w:w="2840" w:type="dxa"/>
          </w:tcPr>
          <w:p w14:paraId="53CF00B3" w14:textId="258E2FA9" w:rsidR="00D97283" w:rsidRPr="0032784D" w:rsidRDefault="00D97283" w:rsidP="000B4E3E">
            <w:r>
              <w:t>Discount rate</w:t>
            </w:r>
          </w:p>
        </w:tc>
        <w:tc>
          <w:tcPr>
            <w:tcW w:w="1252" w:type="dxa"/>
            <w:gridSpan w:val="2"/>
            <w:shd w:val="clear" w:color="auto" w:fill="F5EDC1" w:themeFill="accent4"/>
          </w:tcPr>
          <w:p w14:paraId="475ABCAD" w14:textId="5AC72B07" w:rsidR="00D97283" w:rsidRPr="0032784D" w:rsidRDefault="00D97283" w:rsidP="000B4E3E">
            <w:pPr>
              <w:jc w:val="right"/>
            </w:pPr>
            <w:r>
              <w:t>3.00%</w:t>
            </w:r>
          </w:p>
        </w:tc>
        <w:tc>
          <w:tcPr>
            <w:tcW w:w="1407" w:type="dxa"/>
            <w:gridSpan w:val="2"/>
            <w:shd w:val="clear" w:color="auto" w:fill="D4E2E0" w:themeFill="accent5"/>
          </w:tcPr>
          <w:p w14:paraId="7F051707" w14:textId="25CA9412" w:rsidR="00D97283" w:rsidRPr="0032784D" w:rsidRDefault="00D97283" w:rsidP="000B4E3E">
            <w:pPr>
              <w:jc w:val="right"/>
            </w:pPr>
            <w:r>
              <w:t>3.50%</w:t>
            </w:r>
          </w:p>
        </w:tc>
        <w:tc>
          <w:tcPr>
            <w:tcW w:w="1271" w:type="dxa"/>
            <w:shd w:val="clear" w:color="auto" w:fill="F5EDC1" w:themeFill="accent4"/>
          </w:tcPr>
          <w:p w14:paraId="0151741D" w14:textId="679F38EC" w:rsidR="00D97283" w:rsidRPr="0032784D" w:rsidRDefault="00D97283" w:rsidP="000B4E3E">
            <w:pPr>
              <w:jc w:val="center"/>
            </w:pPr>
            <w:r>
              <w:t>3.00%</w:t>
            </w:r>
          </w:p>
        </w:tc>
        <w:tc>
          <w:tcPr>
            <w:tcW w:w="1430" w:type="dxa"/>
            <w:gridSpan w:val="2"/>
            <w:shd w:val="clear" w:color="auto" w:fill="D4E2E0" w:themeFill="accent5"/>
          </w:tcPr>
          <w:p w14:paraId="2CE026B9" w14:textId="6257B363" w:rsidR="00D97283" w:rsidRPr="0032784D" w:rsidRDefault="00D97283" w:rsidP="000B4E3E">
            <w:pPr>
              <w:jc w:val="right"/>
            </w:pPr>
            <w:r>
              <w:t>3.50%</w:t>
            </w:r>
          </w:p>
        </w:tc>
      </w:tr>
      <w:tr w:rsidR="00D97283" w:rsidRPr="0032784D" w14:paraId="77030C24" w14:textId="77777777" w:rsidTr="000B4E3E">
        <w:tc>
          <w:tcPr>
            <w:tcW w:w="2840" w:type="dxa"/>
          </w:tcPr>
          <w:p w14:paraId="7725476E" w14:textId="4AF5A5A2" w:rsidR="00D97283" w:rsidRDefault="00D97283" w:rsidP="000B4E3E">
            <w:r>
              <w:t>Pension increases</w:t>
            </w:r>
          </w:p>
        </w:tc>
        <w:tc>
          <w:tcPr>
            <w:tcW w:w="1252" w:type="dxa"/>
            <w:gridSpan w:val="2"/>
            <w:shd w:val="clear" w:color="auto" w:fill="F5EDC1" w:themeFill="accent4"/>
          </w:tcPr>
          <w:p w14:paraId="6C3232B5" w14:textId="4CE0088D" w:rsidR="00D97283" w:rsidRDefault="00D97283" w:rsidP="000B4E3E">
            <w:pPr>
              <w:jc w:val="right"/>
            </w:pPr>
            <w:r>
              <w:t>2.50%</w:t>
            </w:r>
          </w:p>
        </w:tc>
        <w:tc>
          <w:tcPr>
            <w:tcW w:w="1407" w:type="dxa"/>
            <w:gridSpan w:val="2"/>
            <w:shd w:val="clear" w:color="auto" w:fill="D4E2E0" w:themeFill="accent5"/>
          </w:tcPr>
          <w:p w14:paraId="5CD02B3C" w14:textId="49B4D4C0" w:rsidR="00D97283" w:rsidRDefault="00D97283" w:rsidP="000B4E3E">
            <w:pPr>
              <w:jc w:val="right"/>
            </w:pPr>
            <w:r>
              <w:t>2.50%</w:t>
            </w:r>
          </w:p>
        </w:tc>
        <w:tc>
          <w:tcPr>
            <w:tcW w:w="1271" w:type="dxa"/>
            <w:shd w:val="clear" w:color="auto" w:fill="F5EDC1" w:themeFill="accent4"/>
          </w:tcPr>
          <w:p w14:paraId="391782C6" w14:textId="77777777" w:rsidR="00D97283" w:rsidRDefault="00D97283" w:rsidP="000B4E3E">
            <w:pPr>
              <w:jc w:val="center"/>
            </w:pPr>
          </w:p>
        </w:tc>
        <w:tc>
          <w:tcPr>
            <w:tcW w:w="1430" w:type="dxa"/>
            <w:gridSpan w:val="2"/>
            <w:shd w:val="clear" w:color="auto" w:fill="D4E2E0" w:themeFill="accent5"/>
          </w:tcPr>
          <w:p w14:paraId="5600C7EF" w14:textId="77777777" w:rsidR="00D97283" w:rsidRDefault="00D97283" w:rsidP="000B4E3E">
            <w:pPr>
              <w:jc w:val="right"/>
            </w:pPr>
          </w:p>
        </w:tc>
      </w:tr>
      <w:tr w:rsidR="00D97283" w:rsidRPr="0032784D" w14:paraId="3D196911" w14:textId="77777777" w:rsidTr="000B4E3E">
        <w:tc>
          <w:tcPr>
            <w:tcW w:w="2840" w:type="dxa"/>
          </w:tcPr>
          <w:p w14:paraId="39CED74F" w14:textId="12E07C68" w:rsidR="00D97283" w:rsidRDefault="00D97283" w:rsidP="000B4E3E">
            <w:r>
              <w:t>Future salary increases</w:t>
            </w:r>
          </w:p>
        </w:tc>
        <w:tc>
          <w:tcPr>
            <w:tcW w:w="1252" w:type="dxa"/>
            <w:gridSpan w:val="2"/>
            <w:shd w:val="clear" w:color="auto" w:fill="F5EDC1" w:themeFill="accent4"/>
          </w:tcPr>
          <w:p w14:paraId="4F26B968" w14:textId="49116358" w:rsidR="00D97283" w:rsidRDefault="00D97283" w:rsidP="000B4E3E">
            <w:pPr>
              <w:jc w:val="right"/>
            </w:pPr>
            <w:r>
              <w:t>3.5% for the first year, 3% for the next 3 years, and 4.5% thereafter</w:t>
            </w:r>
          </w:p>
        </w:tc>
        <w:tc>
          <w:tcPr>
            <w:tcW w:w="1407" w:type="dxa"/>
            <w:gridSpan w:val="2"/>
            <w:shd w:val="clear" w:color="auto" w:fill="D4E2E0" w:themeFill="accent5"/>
          </w:tcPr>
          <w:p w14:paraId="1BA39E1B" w14:textId="3B1CFE56" w:rsidR="00D97283" w:rsidRDefault="00D97283" w:rsidP="000B4E3E">
            <w:pPr>
              <w:jc w:val="right"/>
            </w:pPr>
            <w:r>
              <w:t>N/A</w:t>
            </w:r>
          </w:p>
        </w:tc>
        <w:tc>
          <w:tcPr>
            <w:tcW w:w="1271" w:type="dxa"/>
            <w:shd w:val="clear" w:color="auto" w:fill="F5EDC1" w:themeFill="accent4"/>
          </w:tcPr>
          <w:p w14:paraId="6EF524AF" w14:textId="17905C03" w:rsidR="00D97283" w:rsidRDefault="00D97283" w:rsidP="000B4E3E">
            <w:pPr>
              <w:jc w:val="center"/>
            </w:pPr>
            <w:r>
              <w:t>3.5% for the first year, 3% for the next 3 years, and 4.5% thereafter</w:t>
            </w:r>
          </w:p>
        </w:tc>
        <w:tc>
          <w:tcPr>
            <w:tcW w:w="1430" w:type="dxa"/>
            <w:gridSpan w:val="2"/>
            <w:shd w:val="clear" w:color="auto" w:fill="D4E2E0" w:themeFill="accent5"/>
          </w:tcPr>
          <w:p w14:paraId="4D8D343A" w14:textId="70B68616" w:rsidR="00D97283" w:rsidRDefault="00D97283" w:rsidP="00D97283">
            <w:pPr>
              <w:jc w:val="right"/>
            </w:pPr>
            <w:r>
              <w:t>4.1% for the first 4 years and 4.5% thereafter</w:t>
            </w:r>
          </w:p>
        </w:tc>
      </w:tr>
      <w:tr w:rsidR="00D97283" w:rsidRPr="0032784D" w14:paraId="4530A585" w14:textId="77777777" w:rsidTr="00D97283">
        <w:tc>
          <w:tcPr>
            <w:tcW w:w="3794" w:type="dxa"/>
            <w:gridSpan w:val="2"/>
          </w:tcPr>
          <w:p w14:paraId="7976F0F5" w14:textId="764ABB40" w:rsidR="00D97283" w:rsidRDefault="00D97283" w:rsidP="000B4E3E">
            <w:r>
              <w:t>Average longevity at retirement age (65) for current pensioners (years)</w:t>
            </w:r>
          </w:p>
        </w:tc>
        <w:tc>
          <w:tcPr>
            <w:tcW w:w="298" w:type="dxa"/>
            <w:shd w:val="clear" w:color="auto" w:fill="FFFFFF" w:themeFill="background1"/>
          </w:tcPr>
          <w:p w14:paraId="6306F178" w14:textId="77777777" w:rsidR="00D97283" w:rsidRDefault="00D97283" w:rsidP="000B4E3E">
            <w:pPr>
              <w:jc w:val="right"/>
            </w:pPr>
          </w:p>
        </w:tc>
        <w:tc>
          <w:tcPr>
            <w:tcW w:w="1407" w:type="dxa"/>
            <w:gridSpan w:val="2"/>
            <w:shd w:val="clear" w:color="auto" w:fill="FFFFFF" w:themeFill="background1"/>
          </w:tcPr>
          <w:p w14:paraId="1C6A7C36" w14:textId="77777777" w:rsidR="00D97283" w:rsidRDefault="00D97283" w:rsidP="000B4E3E">
            <w:pPr>
              <w:jc w:val="right"/>
            </w:pPr>
          </w:p>
        </w:tc>
        <w:tc>
          <w:tcPr>
            <w:tcW w:w="1271" w:type="dxa"/>
            <w:shd w:val="clear" w:color="auto" w:fill="FFFFFF" w:themeFill="background1"/>
          </w:tcPr>
          <w:p w14:paraId="3C2BE182" w14:textId="77777777" w:rsidR="00D97283" w:rsidRDefault="00D97283" w:rsidP="000B4E3E">
            <w:pPr>
              <w:jc w:val="center"/>
            </w:pPr>
          </w:p>
        </w:tc>
        <w:tc>
          <w:tcPr>
            <w:tcW w:w="1430" w:type="dxa"/>
            <w:gridSpan w:val="2"/>
            <w:shd w:val="clear" w:color="auto" w:fill="FFFFFF" w:themeFill="background1"/>
          </w:tcPr>
          <w:p w14:paraId="7A771369" w14:textId="77777777" w:rsidR="00D97283" w:rsidRDefault="00D97283" w:rsidP="00D97283">
            <w:pPr>
              <w:jc w:val="right"/>
            </w:pPr>
          </w:p>
        </w:tc>
      </w:tr>
      <w:tr w:rsidR="00D97283" w:rsidRPr="0032784D" w14:paraId="4E7EF317" w14:textId="77777777" w:rsidTr="000B4E3E">
        <w:tc>
          <w:tcPr>
            <w:tcW w:w="2840" w:type="dxa"/>
          </w:tcPr>
          <w:p w14:paraId="779CA179" w14:textId="297C93AA" w:rsidR="00D97283" w:rsidRDefault="00D97283" w:rsidP="000B4E3E">
            <w:r>
              <w:t>Male</w:t>
            </w:r>
          </w:p>
        </w:tc>
        <w:tc>
          <w:tcPr>
            <w:tcW w:w="1252" w:type="dxa"/>
            <w:gridSpan w:val="2"/>
            <w:shd w:val="clear" w:color="auto" w:fill="F5EDC1" w:themeFill="accent4"/>
          </w:tcPr>
          <w:p w14:paraId="4EEB9F89" w14:textId="2B39A971" w:rsidR="00D97283" w:rsidRDefault="00D97283" w:rsidP="000B4E3E">
            <w:pPr>
              <w:jc w:val="right"/>
            </w:pPr>
            <w:r>
              <w:t>22.90</w:t>
            </w:r>
          </w:p>
        </w:tc>
        <w:tc>
          <w:tcPr>
            <w:tcW w:w="1407" w:type="dxa"/>
            <w:gridSpan w:val="2"/>
            <w:shd w:val="clear" w:color="auto" w:fill="D4E2E0" w:themeFill="accent5"/>
          </w:tcPr>
          <w:p w14:paraId="405418EC" w14:textId="5E260EDE" w:rsidR="00D97283" w:rsidRDefault="00D97283" w:rsidP="000B4E3E">
            <w:pPr>
              <w:jc w:val="right"/>
            </w:pPr>
            <w:r>
              <w:t>22.80</w:t>
            </w:r>
          </w:p>
        </w:tc>
        <w:tc>
          <w:tcPr>
            <w:tcW w:w="1271" w:type="dxa"/>
            <w:shd w:val="clear" w:color="auto" w:fill="F5EDC1" w:themeFill="accent4"/>
          </w:tcPr>
          <w:p w14:paraId="754CDA84" w14:textId="75154B0A" w:rsidR="00D97283" w:rsidRDefault="00D97283" w:rsidP="000B4E3E">
            <w:pPr>
              <w:jc w:val="center"/>
            </w:pPr>
            <w:r>
              <w:t>N/A</w:t>
            </w:r>
          </w:p>
        </w:tc>
        <w:tc>
          <w:tcPr>
            <w:tcW w:w="1430" w:type="dxa"/>
            <w:gridSpan w:val="2"/>
            <w:shd w:val="clear" w:color="auto" w:fill="D4E2E0" w:themeFill="accent5"/>
          </w:tcPr>
          <w:p w14:paraId="2067F06B" w14:textId="4CECAA28" w:rsidR="00D97283" w:rsidRDefault="00D97283" w:rsidP="00D97283">
            <w:pPr>
              <w:jc w:val="right"/>
            </w:pPr>
            <w:r>
              <w:t>N/A</w:t>
            </w:r>
          </w:p>
        </w:tc>
      </w:tr>
      <w:tr w:rsidR="00D97283" w:rsidRPr="0032784D" w14:paraId="610D97B8" w14:textId="77777777" w:rsidTr="000B4E3E">
        <w:tc>
          <w:tcPr>
            <w:tcW w:w="2840" w:type="dxa"/>
          </w:tcPr>
          <w:p w14:paraId="4D34A36B" w14:textId="6182583D" w:rsidR="00D97283" w:rsidRDefault="00D97283" w:rsidP="000B4E3E">
            <w:r>
              <w:t>Female</w:t>
            </w:r>
          </w:p>
        </w:tc>
        <w:tc>
          <w:tcPr>
            <w:tcW w:w="1252" w:type="dxa"/>
            <w:gridSpan w:val="2"/>
            <w:shd w:val="clear" w:color="auto" w:fill="F5EDC1" w:themeFill="accent4"/>
          </w:tcPr>
          <w:p w14:paraId="776E3056" w14:textId="608019AA" w:rsidR="00D97283" w:rsidRDefault="00D97283" w:rsidP="000B4E3E">
            <w:pPr>
              <w:jc w:val="right"/>
            </w:pPr>
            <w:r>
              <w:t>25.50</w:t>
            </w:r>
          </w:p>
        </w:tc>
        <w:tc>
          <w:tcPr>
            <w:tcW w:w="1407" w:type="dxa"/>
            <w:gridSpan w:val="2"/>
            <w:shd w:val="clear" w:color="auto" w:fill="D4E2E0" w:themeFill="accent5"/>
          </w:tcPr>
          <w:p w14:paraId="594145BB" w14:textId="2D65721D" w:rsidR="00D97283" w:rsidRDefault="00D97283" w:rsidP="000B4E3E">
            <w:pPr>
              <w:jc w:val="right"/>
            </w:pPr>
            <w:r>
              <w:t>25.40</w:t>
            </w:r>
          </w:p>
        </w:tc>
        <w:tc>
          <w:tcPr>
            <w:tcW w:w="1271" w:type="dxa"/>
            <w:shd w:val="clear" w:color="auto" w:fill="F5EDC1" w:themeFill="accent4"/>
          </w:tcPr>
          <w:p w14:paraId="381D05C1" w14:textId="27D796D5" w:rsidR="00D97283" w:rsidRDefault="00D97283" w:rsidP="000B4E3E">
            <w:pPr>
              <w:jc w:val="center"/>
            </w:pPr>
            <w:r>
              <w:t>N/A</w:t>
            </w:r>
          </w:p>
        </w:tc>
        <w:tc>
          <w:tcPr>
            <w:tcW w:w="1430" w:type="dxa"/>
            <w:gridSpan w:val="2"/>
            <w:shd w:val="clear" w:color="auto" w:fill="D4E2E0" w:themeFill="accent5"/>
          </w:tcPr>
          <w:p w14:paraId="4C728964" w14:textId="14C22A1F" w:rsidR="00D97283" w:rsidRDefault="00D97283" w:rsidP="00D97283">
            <w:pPr>
              <w:jc w:val="right"/>
            </w:pPr>
            <w:r>
              <w:t>N/A</w:t>
            </w:r>
          </w:p>
        </w:tc>
      </w:tr>
      <w:tr w:rsidR="00D97283" w:rsidRPr="0032784D" w14:paraId="1866B616" w14:textId="77777777" w:rsidTr="00D97283">
        <w:tc>
          <w:tcPr>
            <w:tcW w:w="3794" w:type="dxa"/>
            <w:gridSpan w:val="2"/>
            <w:shd w:val="clear" w:color="auto" w:fill="FFFFFF" w:themeFill="background1"/>
          </w:tcPr>
          <w:p w14:paraId="73A00EDC" w14:textId="7350F2A4" w:rsidR="00D97283" w:rsidRDefault="00D97283" w:rsidP="00D97283">
            <w:r>
              <w:t>Average longevity at retirement age (65) for current employees (years)</w:t>
            </w:r>
          </w:p>
        </w:tc>
        <w:tc>
          <w:tcPr>
            <w:tcW w:w="298" w:type="dxa"/>
            <w:shd w:val="clear" w:color="auto" w:fill="FFFFFF" w:themeFill="background1"/>
          </w:tcPr>
          <w:p w14:paraId="5E66FFF6" w14:textId="77777777" w:rsidR="00D97283" w:rsidRDefault="00D97283" w:rsidP="000B4E3E">
            <w:pPr>
              <w:jc w:val="right"/>
            </w:pPr>
          </w:p>
        </w:tc>
        <w:tc>
          <w:tcPr>
            <w:tcW w:w="1407" w:type="dxa"/>
            <w:gridSpan w:val="2"/>
            <w:shd w:val="clear" w:color="auto" w:fill="FFFFFF" w:themeFill="background1"/>
          </w:tcPr>
          <w:p w14:paraId="30766BBE" w14:textId="77777777" w:rsidR="00D97283" w:rsidRDefault="00D97283" w:rsidP="000B4E3E">
            <w:pPr>
              <w:jc w:val="right"/>
            </w:pPr>
          </w:p>
        </w:tc>
        <w:tc>
          <w:tcPr>
            <w:tcW w:w="1271" w:type="dxa"/>
            <w:shd w:val="clear" w:color="auto" w:fill="FFFFFF" w:themeFill="background1"/>
          </w:tcPr>
          <w:p w14:paraId="4A1016AA" w14:textId="77777777" w:rsidR="00D97283" w:rsidRDefault="00D97283" w:rsidP="000B4E3E">
            <w:pPr>
              <w:jc w:val="center"/>
            </w:pPr>
          </w:p>
        </w:tc>
        <w:tc>
          <w:tcPr>
            <w:tcW w:w="1430" w:type="dxa"/>
            <w:gridSpan w:val="2"/>
            <w:shd w:val="clear" w:color="auto" w:fill="FFFFFF" w:themeFill="background1"/>
          </w:tcPr>
          <w:p w14:paraId="66424BE6" w14:textId="77777777" w:rsidR="00D97283" w:rsidRDefault="00D97283" w:rsidP="00D97283">
            <w:pPr>
              <w:jc w:val="right"/>
            </w:pPr>
          </w:p>
        </w:tc>
      </w:tr>
      <w:tr w:rsidR="00D97283" w:rsidRPr="0032784D" w14:paraId="55916789" w14:textId="77777777" w:rsidTr="000B4E3E">
        <w:tc>
          <w:tcPr>
            <w:tcW w:w="2840" w:type="dxa"/>
          </w:tcPr>
          <w:p w14:paraId="3967BFCD" w14:textId="62E8ACE6" w:rsidR="00D97283" w:rsidRDefault="00D97283" w:rsidP="000B4E3E">
            <w:r>
              <w:t>Male</w:t>
            </w:r>
          </w:p>
        </w:tc>
        <w:tc>
          <w:tcPr>
            <w:tcW w:w="1252" w:type="dxa"/>
            <w:gridSpan w:val="2"/>
            <w:shd w:val="clear" w:color="auto" w:fill="F5EDC1" w:themeFill="accent4"/>
          </w:tcPr>
          <w:p w14:paraId="5C35F503" w14:textId="133DCF0C" w:rsidR="00D97283" w:rsidRDefault="00D97283" w:rsidP="000B4E3E">
            <w:pPr>
              <w:jc w:val="right"/>
            </w:pPr>
            <w:r>
              <w:t>22.90</w:t>
            </w:r>
          </w:p>
        </w:tc>
        <w:tc>
          <w:tcPr>
            <w:tcW w:w="1407" w:type="dxa"/>
            <w:gridSpan w:val="2"/>
            <w:shd w:val="clear" w:color="auto" w:fill="D4E2E0" w:themeFill="accent5"/>
          </w:tcPr>
          <w:p w14:paraId="1D055041" w14:textId="453CAA85" w:rsidR="00D97283" w:rsidRDefault="00D97283" w:rsidP="000B4E3E">
            <w:pPr>
              <w:jc w:val="right"/>
            </w:pPr>
            <w:r>
              <w:t>22.80</w:t>
            </w:r>
          </w:p>
        </w:tc>
        <w:tc>
          <w:tcPr>
            <w:tcW w:w="1271" w:type="dxa"/>
            <w:shd w:val="clear" w:color="auto" w:fill="F5EDC1" w:themeFill="accent4"/>
          </w:tcPr>
          <w:p w14:paraId="6FE4911F" w14:textId="43667BC5" w:rsidR="00D97283" w:rsidRDefault="00D97283" w:rsidP="000B4E3E">
            <w:pPr>
              <w:jc w:val="center"/>
            </w:pPr>
            <w:r>
              <w:t>N/A</w:t>
            </w:r>
          </w:p>
        </w:tc>
        <w:tc>
          <w:tcPr>
            <w:tcW w:w="1430" w:type="dxa"/>
            <w:gridSpan w:val="2"/>
            <w:shd w:val="clear" w:color="auto" w:fill="D4E2E0" w:themeFill="accent5"/>
          </w:tcPr>
          <w:p w14:paraId="2EA0455A" w14:textId="4DA70B08" w:rsidR="00D97283" w:rsidRDefault="00D97283" w:rsidP="00D97283">
            <w:pPr>
              <w:jc w:val="right"/>
            </w:pPr>
            <w:r>
              <w:t>N/A</w:t>
            </w:r>
          </w:p>
        </w:tc>
      </w:tr>
      <w:tr w:rsidR="00D97283" w:rsidRPr="0032784D" w14:paraId="4F28951B" w14:textId="77777777" w:rsidTr="000B4E3E">
        <w:tc>
          <w:tcPr>
            <w:tcW w:w="2840" w:type="dxa"/>
          </w:tcPr>
          <w:p w14:paraId="363A2974" w14:textId="62ED0094" w:rsidR="00D97283" w:rsidRDefault="00D97283" w:rsidP="000B4E3E">
            <w:r>
              <w:t>Female</w:t>
            </w:r>
          </w:p>
        </w:tc>
        <w:tc>
          <w:tcPr>
            <w:tcW w:w="1252" w:type="dxa"/>
            <w:gridSpan w:val="2"/>
            <w:shd w:val="clear" w:color="auto" w:fill="F5EDC1" w:themeFill="accent4"/>
          </w:tcPr>
          <w:p w14:paraId="70550E65" w14:textId="393C0A74" w:rsidR="00D97283" w:rsidRDefault="00D97283" w:rsidP="000B4E3E">
            <w:pPr>
              <w:jc w:val="right"/>
            </w:pPr>
            <w:r>
              <w:t>25.40</w:t>
            </w:r>
          </w:p>
        </w:tc>
        <w:tc>
          <w:tcPr>
            <w:tcW w:w="1407" w:type="dxa"/>
            <w:gridSpan w:val="2"/>
            <w:shd w:val="clear" w:color="auto" w:fill="D4E2E0" w:themeFill="accent5"/>
          </w:tcPr>
          <w:p w14:paraId="0A162EEF" w14:textId="4F69D211" w:rsidR="00D97283" w:rsidRDefault="00D97283" w:rsidP="000B4E3E">
            <w:pPr>
              <w:jc w:val="right"/>
            </w:pPr>
            <w:r>
              <w:t>25.40</w:t>
            </w:r>
          </w:p>
        </w:tc>
        <w:tc>
          <w:tcPr>
            <w:tcW w:w="1271" w:type="dxa"/>
            <w:shd w:val="clear" w:color="auto" w:fill="F5EDC1" w:themeFill="accent4"/>
          </w:tcPr>
          <w:p w14:paraId="10132C11" w14:textId="29ACAC6C" w:rsidR="00D97283" w:rsidRDefault="00D97283" w:rsidP="000B4E3E">
            <w:pPr>
              <w:jc w:val="center"/>
            </w:pPr>
            <w:r>
              <w:t>N/A</w:t>
            </w:r>
          </w:p>
        </w:tc>
        <w:tc>
          <w:tcPr>
            <w:tcW w:w="1430" w:type="dxa"/>
            <w:gridSpan w:val="2"/>
            <w:shd w:val="clear" w:color="auto" w:fill="D4E2E0" w:themeFill="accent5"/>
          </w:tcPr>
          <w:p w14:paraId="4A8E4637" w14:textId="605F6155" w:rsidR="00D97283" w:rsidRDefault="00D97283" w:rsidP="00D97283">
            <w:pPr>
              <w:jc w:val="right"/>
            </w:pPr>
            <w:r>
              <w:t>N/A</w:t>
            </w:r>
          </w:p>
        </w:tc>
      </w:tr>
    </w:tbl>
    <w:p w14:paraId="71B5959C" w14:textId="3572CA84" w:rsidR="009A5F6F" w:rsidRDefault="00D97283" w:rsidP="009A5F6F">
      <w:r>
        <w:br/>
      </w:r>
      <w:r w:rsidRPr="00D97283">
        <w:t>At 30 June 2015, the weighted-average duration of the defined b</w:t>
      </w:r>
      <w:r>
        <w:t xml:space="preserve">enefit obligation was 13 years </w:t>
      </w:r>
      <w:r w:rsidRPr="00D97283">
        <w:t>for Pension Scheme</w:t>
      </w:r>
      <w:r w:rsidR="00E15986">
        <w:t xml:space="preserve"> </w:t>
      </w:r>
      <w:r w:rsidRPr="00D97283">
        <w:t>(2014:13 years) and 5 years for Gold State Superannuation Scheme (2014: 6 years).</w:t>
      </w:r>
    </w:p>
    <w:p w14:paraId="261BA311" w14:textId="280D76ED" w:rsidR="00327AA0" w:rsidRDefault="00327AA0" w:rsidP="00327AA0">
      <w:r>
        <w:lastRenderedPageBreak/>
        <w:t>The Pension Scheme and the pre-transfer benefit for the GSS expose the Authority to actuarial risks, such as salary risk, longevity risk and interest rate risk. The sensitivity analyses below have been determined based on reasonably possible changes of the respective assumptions occurring at the end of the reporting period, holding all other assumptions constant.</w:t>
      </w:r>
    </w:p>
    <w:p w14:paraId="3356FA37" w14:textId="12D37F4F" w:rsidR="00C2647F" w:rsidRPr="00DA1E18" w:rsidRDefault="00327AA0" w:rsidP="00327AA0">
      <w:pPr>
        <w:rPr>
          <w:rStyle w:val="Strong"/>
        </w:rPr>
      </w:pPr>
      <w:r w:rsidRPr="00DA1E18">
        <w:rPr>
          <w:rStyle w:val="Strong"/>
        </w:rPr>
        <w:t>Defined Benefit Obligation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1252"/>
        <w:gridCol w:w="1119"/>
        <w:gridCol w:w="288"/>
        <w:gridCol w:w="1271"/>
        <w:gridCol w:w="1135"/>
        <w:gridCol w:w="295"/>
      </w:tblGrid>
      <w:tr w:rsidR="00327AA0" w:rsidRPr="00E129CB" w14:paraId="72E0FBE8" w14:textId="77777777" w:rsidTr="000B4E3E">
        <w:tc>
          <w:tcPr>
            <w:tcW w:w="2840" w:type="dxa"/>
          </w:tcPr>
          <w:p w14:paraId="1EE4FE22" w14:textId="77777777" w:rsidR="00327AA0" w:rsidRPr="00FC5D3A" w:rsidRDefault="00327AA0" w:rsidP="000B4E3E">
            <w:pPr>
              <w:rPr>
                <w:w w:val="90"/>
              </w:rPr>
            </w:pPr>
          </w:p>
        </w:tc>
        <w:tc>
          <w:tcPr>
            <w:tcW w:w="2371" w:type="dxa"/>
            <w:gridSpan w:val="2"/>
          </w:tcPr>
          <w:p w14:paraId="51F60E9B" w14:textId="77777777" w:rsidR="00327AA0" w:rsidRPr="00E129CB" w:rsidRDefault="00327AA0" w:rsidP="000B4E3E">
            <w:pPr>
              <w:jc w:val="right"/>
              <w:rPr>
                <w:w w:val="90"/>
              </w:rPr>
            </w:pPr>
            <w:r w:rsidRPr="00E129CB">
              <w:t>Pension Scheme</w:t>
            </w:r>
          </w:p>
        </w:tc>
        <w:tc>
          <w:tcPr>
            <w:tcW w:w="288" w:type="dxa"/>
          </w:tcPr>
          <w:p w14:paraId="679B293F" w14:textId="77777777" w:rsidR="00327AA0" w:rsidRPr="00E129CB" w:rsidRDefault="00327AA0" w:rsidP="000B4E3E">
            <w:pPr>
              <w:jc w:val="right"/>
              <w:rPr>
                <w:w w:val="90"/>
              </w:rPr>
            </w:pPr>
          </w:p>
        </w:tc>
        <w:tc>
          <w:tcPr>
            <w:tcW w:w="2406" w:type="dxa"/>
            <w:gridSpan w:val="2"/>
          </w:tcPr>
          <w:p w14:paraId="468A4707" w14:textId="77777777" w:rsidR="00327AA0" w:rsidRPr="00E129CB" w:rsidRDefault="00327AA0" w:rsidP="000B4E3E">
            <w:pPr>
              <w:jc w:val="right"/>
              <w:rPr>
                <w:w w:val="90"/>
              </w:rPr>
            </w:pPr>
            <w:r w:rsidRPr="00D97283">
              <w:t>Pre-transfer benefit – Gold State Superannuation Scheme</w:t>
            </w:r>
            <w:r w:rsidRPr="00E129CB">
              <w:rPr>
                <w:w w:val="90"/>
              </w:rPr>
              <w:t xml:space="preserve"> </w:t>
            </w:r>
          </w:p>
        </w:tc>
        <w:tc>
          <w:tcPr>
            <w:tcW w:w="295" w:type="dxa"/>
          </w:tcPr>
          <w:p w14:paraId="41D3BC06" w14:textId="77777777" w:rsidR="00327AA0" w:rsidRPr="00E129CB" w:rsidRDefault="00327AA0" w:rsidP="000B4E3E">
            <w:pPr>
              <w:jc w:val="right"/>
              <w:rPr>
                <w:w w:val="90"/>
              </w:rPr>
            </w:pPr>
          </w:p>
        </w:tc>
      </w:tr>
      <w:tr w:rsidR="00327AA0" w:rsidRPr="00E129CB" w14:paraId="205DBAE6" w14:textId="77777777" w:rsidTr="000B4E3E">
        <w:tc>
          <w:tcPr>
            <w:tcW w:w="2840" w:type="dxa"/>
          </w:tcPr>
          <w:p w14:paraId="3C2CE94B" w14:textId="77777777" w:rsidR="00327AA0" w:rsidRPr="00FC5D3A" w:rsidRDefault="00327AA0" w:rsidP="000B4E3E">
            <w:pPr>
              <w:rPr>
                <w:w w:val="90"/>
              </w:rPr>
            </w:pPr>
          </w:p>
        </w:tc>
        <w:tc>
          <w:tcPr>
            <w:tcW w:w="1252" w:type="dxa"/>
          </w:tcPr>
          <w:p w14:paraId="21FEBF62" w14:textId="6A9F4BBF" w:rsidR="00327AA0" w:rsidRPr="00E129CB" w:rsidRDefault="00327AA0" w:rsidP="000B4E3E">
            <w:pPr>
              <w:jc w:val="right"/>
            </w:pPr>
            <w:r w:rsidRPr="00E129CB">
              <w:t>2015</w:t>
            </w:r>
            <w:r>
              <w:br/>
              <w:t>Increase</w:t>
            </w:r>
            <w:r>
              <w:br/>
              <w:t>$000</w:t>
            </w:r>
          </w:p>
        </w:tc>
        <w:tc>
          <w:tcPr>
            <w:tcW w:w="1407" w:type="dxa"/>
            <w:gridSpan w:val="2"/>
            <w:shd w:val="clear" w:color="auto" w:fill="FFFFFF" w:themeFill="background1"/>
          </w:tcPr>
          <w:p w14:paraId="4500E3F9" w14:textId="44B278A4" w:rsidR="00327AA0" w:rsidRPr="00E129CB" w:rsidRDefault="00327AA0" w:rsidP="00327AA0">
            <w:pPr>
              <w:jc w:val="right"/>
            </w:pPr>
            <w:r w:rsidRPr="00E129CB">
              <w:t>2014</w:t>
            </w:r>
            <w:r>
              <w:br/>
              <w:t>Decrease</w:t>
            </w:r>
            <w:r>
              <w:br/>
              <w:t>$000</w:t>
            </w:r>
          </w:p>
        </w:tc>
        <w:tc>
          <w:tcPr>
            <w:tcW w:w="1271" w:type="dxa"/>
          </w:tcPr>
          <w:p w14:paraId="4E36AB56" w14:textId="4333ADAB" w:rsidR="00327AA0" w:rsidRPr="00E129CB" w:rsidRDefault="00327AA0" w:rsidP="000B4E3E">
            <w:pPr>
              <w:jc w:val="right"/>
            </w:pPr>
            <w:r w:rsidRPr="00E129CB">
              <w:t>2015</w:t>
            </w:r>
            <w:r>
              <w:br/>
              <w:t>Increase</w:t>
            </w:r>
            <w:r>
              <w:br/>
              <w:t>$000</w:t>
            </w:r>
          </w:p>
        </w:tc>
        <w:tc>
          <w:tcPr>
            <w:tcW w:w="1430" w:type="dxa"/>
            <w:gridSpan w:val="2"/>
          </w:tcPr>
          <w:p w14:paraId="2257E0F4" w14:textId="2C6D4D88" w:rsidR="00327AA0" w:rsidRPr="00E129CB" w:rsidRDefault="00327AA0" w:rsidP="000B4E3E">
            <w:pPr>
              <w:jc w:val="right"/>
            </w:pPr>
            <w:r w:rsidRPr="00E129CB">
              <w:t>2014</w:t>
            </w:r>
            <w:r>
              <w:br/>
              <w:t>Decrease</w:t>
            </w:r>
            <w:r>
              <w:br/>
              <w:t>$000</w:t>
            </w:r>
          </w:p>
        </w:tc>
      </w:tr>
      <w:tr w:rsidR="00327AA0" w:rsidRPr="0032784D" w14:paraId="3E8A9E21" w14:textId="77777777" w:rsidTr="000B4E3E">
        <w:tc>
          <w:tcPr>
            <w:tcW w:w="2840" w:type="dxa"/>
          </w:tcPr>
          <w:p w14:paraId="46D7BD41" w14:textId="19C37D33" w:rsidR="00327AA0" w:rsidRPr="0032784D" w:rsidRDefault="00327AA0" w:rsidP="000B4E3E">
            <w:r>
              <w:t>Discount rate (1% movement)</w:t>
            </w:r>
          </w:p>
        </w:tc>
        <w:tc>
          <w:tcPr>
            <w:tcW w:w="1252" w:type="dxa"/>
            <w:shd w:val="clear" w:color="auto" w:fill="F5EDC1" w:themeFill="accent4"/>
          </w:tcPr>
          <w:p w14:paraId="5D844D30" w14:textId="7BA6C100" w:rsidR="00327AA0" w:rsidRPr="0032784D" w:rsidRDefault="00327AA0" w:rsidP="000B4E3E">
            <w:pPr>
              <w:jc w:val="right"/>
            </w:pPr>
            <w:r>
              <w:t>(620)</w:t>
            </w:r>
          </w:p>
        </w:tc>
        <w:tc>
          <w:tcPr>
            <w:tcW w:w="1407" w:type="dxa"/>
            <w:gridSpan w:val="2"/>
            <w:shd w:val="clear" w:color="auto" w:fill="D4E2E0" w:themeFill="accent5"/>
          </w:tcPr>
          <w:p w14:paraId="37921DD4" w14:textId="47471509" w:rsidR="00327AA0" w:rsidRPr="0032784D" w:rsidRDefault="00327AA0" w:rsidP="000B4E3E">
            <w:pPr>
              <w:jc w:val="right"/>
            </w:pPr>
            <w:r>
              <w:t>767</w:t>
            </w:r>
          </w:p>
        </w:tc>
        <w:tc>
          <w:tcPr>
            <w:tcW w:w="1271" w:type="dxa"/>
            <w:shd w:val="clear" w:color="auto" w:fill="F5EDC1" w:themeFill="accent4"/>
          </w:tcPr>
          <w:p w14:paraId="7B8F1D5D" w14:textId="0CFED3AA" w:rsidR="00327AA0" w:rsidRPr="0032784D" w:rsidRDefault="00327AA0" w:rsidP="000B4E3E">
            <w:pPr>
              <w:jc w:val="center"/>
            </w:pPr>
            <w:r>
              <w:t>(27)</w:t>
            </w:r>
          </w:p>
        </w:tc>
        <w:tc>
          <w:tcPr>
            <w:tcW w:w="1430" w:type="dxa"/>
            <w:gridSpan w:val="2"/>
            <w:shd w:val="clear" w:color="auto" w:fill="D4E2E0" w:themeFill="accent5"/>
          </w:tcPr>
          <w:p w14:paraId="3C666056" w14:textId="270AC89F" w:rsidR="00327AA0" w:rsidRPr="0032784D" w:rsidRDefault="00327AA0" w:rsidP="000B4E3E">
            <w:pPr>
              <w:jc w:val="right"/>
            </w:pPr>
            <w:r>
              <w:t>29</w:t>
            </w:r>
          </w:p>
        </w:tc>
      </w:tr>
      <w:tr w:rsidR="00327AA0" w14:paraId="7A0BD167" w14:textId="77777777" w:rsidTr="000B4E3E">
        <w:tc>
          <w:tcPr>
            <w:tcW w:w="2840" w:type="dxa"/>
          </w:tcPr>
          <w:p w14:paraId="66E13E7D" w14:textId="63BF4783" w:rsidR="00327AA0" w:rsidRDefault="00327AA0" w:rsidP="000B4E3E">
            <w:r>
              <w:t>Future salary growth (1% movement)</w:t>
            </w:r>
          </w:p>
        </w:tc>
        <w:tc>
          <w:tcPr>
            <w:tcW w:w="1252" w:type="dxa"/>
            <w:shd w:val="clear" w:color="auto" w:fill="F5EDC1" w:themeFill="accent4"/>
          </w:tcPr>
          <w:p w14:paraId="6A272DD4" w14:textId="3C275EEE" w:rsidR="00327AA0" w:rsidRDefault="00327AA0" w:rsidP="000B4E3E">
            <w:pPr>
              <w:jc w:val="right"/>
            </w:pPr>
            <w:r>
              <w:t>N/A</w:t>
            </w:r>
          </w:p>
        </w:tc>
        <w:tc>
          <w:tcPr>
            <w:tcW w:w="1407" w:type="dxa"/>
            <w:gridSpan w:val="2"/>
            <w:shd w:val="clear" w:color="auto" w:fill="D4E2E0" w:themeFill="accent5"/>
          </w:tcPr>
          <w:p w14:paraId="7C1617D8" w14:textId="4D71B158" w:rsidR="00327AA0" w:rsidRDefault="00327AA0" w:rsidP="000B4E3E">
            <w:pPr>
              <w:jc w:val="right"/>
            </w:pPr>
            <w:r>
              <w:t>N/A</w:t>
            </w:r>
          </w:p>
        </w:tc>
        <w:tc>
          <w:tcPr>
            <w:tcW w:w="1271" w:type="dxa"/>
            <w:shd w:val="clear" w:color="auto" w:fill="F5EDC1" w:themeFill="accent4"/>
          </w:tcPr>
          <w:p w14:paraId="769DC701" w14:textId="6B89BB7E" w:rsidR="00327AA0" w:rsidRDefault="00ED2CD4" w:rsidP="000B4E3E">
            <w:pPr>
              <w:jc w:val="center"/>
            </w:pPr>
            <w:r>
              <w:t>27</w:t>
            </w:r>
          </w:p>
        </w:tc>
        <w:tc>
          <w:tcPr>
            <w:tcW w:w="1430" w:type="dxa"/>
            <w:gridSpan w:val="2"/>
            <w:shd w:val="clear" w:color="auto" w:fill="D4E2E0" w:themeFill="accent5"/>
          </w:tcPr>
          <w:p w14:paraId="1DE87637" w14:textId="1DEAC849" w:rsidR="00327AA0" w:rsidRDefault="00ED2CD4" w:rsidP="000B4E3E">
            <w:pPr>
              <w:jc w:val="right"/>
            </w:pPr>
            <w:r>
              <w:t>(25)</w:t>
            </w:r>
          </w:p>
        </w:tc>
      </w:tr>
      <w:tr w:rsidR="00327AA0" w14:paraId="336DDEB0" w14:textId="77777777" w:rsidTr="000B4E3E">
        <w:tc>
          <w:tcPr>
            <w:tcW w:w="2840" w:type="dxa"/>
          </w:tcPr>
          <w:p w14:paraId="326D49D0" w14:textId="53126791" w:rsidR="00327AA0" w:rsidRDefault="00ED2CD4" w:rsidP="000B4E3E">
            <w:r>
              <w:t>Pension increases (1% movement)</w:t>
            </w:r>
          </w:p>
        </w:tc>
        <w:tc>
          <w:tcPr>
            <w:tcW w:w="1252" w:type="dxa"/>
            <w:shd w:val="clear" w:color="auto" w:fill="F5EDC1" w:themeFill="accent4"/>
          </w:tcPr>
          <w:p w14:paraId="25B591E5" w14:textId="041C17B8" w:rsidR="00327AA0" w:rsidRDefault="00ED2CD4" w:rsidP="000B4E3E">
            <w:pPr>
              <w:jc w:val="right"/>
            </w:pPr>
            <w:r>
              <w:t>762</w:t>
            </w:r>
          </w:p>
        </w:tc>
        <w:tc>
          <w:tcPr>
            <w:tcW w:w="1407" w:type="dxa"/>
            <w:gridSpan w:val="2"/>
            <w:shd w:val="clear" w:color="auto" w:fill="D4E2E0" w:themeFill="accent5"/>
          </w:tcPr>
          <w:p w14:paraId="41AAD628" w14:textId="44C6B2DA" w:rsidR="00327AA0" w:rsidRDefault="00ED2CD4" w:rsidP="000B4E3E">
            <w:pPr>
              <w:jc w:val="right"/>
            </w:pPr>
            <w:r>
              <w:t>(628)</w:t>
            </w:r>
          </w:p>
        </w:tc>
        <w:tc>
          <w:tcPr>
            <w:tcW w:w="1271" w:type="dxa"/>
            <w:shd w:val="clear" w:color="auto" w:fill="F5EDC1" w:themeFill="accent4"/>
          </w:tcPr>
          <w:p w14:paraId="51E69FCF" w14:textId="15C83A34" w:rsidR="00327AA0" w:rsidRDefault="00ED2CD4" w:rsidP="000B4E3E">
            <w:pPr>
              <w:jc w:val="center"/>
            </w:pPr>
            <w:r>
              <w:t>N/A</w:t>
            </w:r>
          </w:p>
        </w:tc>
        <w:tc>
          <w:tcPr>
            <w:tcW w:w="1430" w:type="dxa"/>
            <w:gridSpan w:val="2"/>
            <w:shd w:val="clear" w:color="auto" w:fill="D4E2E0" w:themeFill="accent5"/>
          </w:tcPr>
          <w:p w14:paraId="178DBBE4" w14:textId="3D6D8AAC" w:rsidR="00327AA0" w:rsidRDefault="00ED2CD4" w:rsidP="000B4E3E">
            <w:pPr>
              <w:jc w:val="right"/>
            </w:pPr>
            <w:r>
              <w:t>N/A</w:t>
            </w:r>
          </w:p>
        </w:tc>
      </w:tr>
      <w:tr w:rsidR="00ED2CD4" w14:paraId="6C96A6E6" w14:textId="77777777" w:rsidTr="000B4E3E">
        <w:tc>
          <w:tcPr>
            <w:tcW w:w="2840" w:type="dxa"/>
          </w:tcPr>
          <w:p w14:paraId="0F7F75B1" w14:textId="6A8DA65C" w:rsidR="00ED2CD4" w:rsidRDefault="00ED2CD4" w:rsidP="000B4E3E">
            <w:r>
              <w:t>Future longevity (1 year movement)</w:t>
            </w:r>
          </w:p>
        </w:tc>
        <w:tc>
          <w:tcPr>
            <w:tcW w:w="1252" w:type="dxa"/>
            <w:shd w:val="clear" w:color="auto" w:fill="F5EDC1" w:themeFill="accent4"/>
          </w:tcPr>
          <w:p w14:paraId="27D2B0F6" w14:textId="57340B56" w:rsidR="00ED2CD4" w:rsidRDefault="00ED2CD4" w:rsidP="000B4E3E">
            <w:pPr>
              <w:jc w:val="right"/>
            </w:pPr>
            <w:r>
              <w:t>267</w:t>
            </w:r>
          </w:p>
        </w:tc>
        <w:tc>
          <w:tcPr>
            <w:tcW w:w="1407" w:type="dxa"/>
            <w:gridSpan w:val="2"/>
            <w:shd w:val="clear" w:color="auto" w:fill="D4E2E0" w:themeFill="accent5"/>
          </w:tcPr>
          <w:p w14:paraId="58DBA6E8" w14:textId="02A3BC03" w:rsidR="00ED2CD4" w:rsidRDefault="00ED2CD4" w:rsidP="000B4E3E">
            <w:pPr>
              <w:jc w:val="right"/>
            </w:pPr>
            <w:r>
              <w:t>(225)</w:t>
            </w:r>
          </w:p>
        </w:tc>
        <w:tc>
          <w:tcPr>
            <w:tcW w:w="1271" w:type="dxa"/>
            <w:shd w:val="clear" w:color="auto" w:fill="F5EDC1" w:themeFill="accent4"/>
          </w:tcPr>
          <w:p w14:paraId="7D9EEE71" w14:textId="5E70636E" w:rsidR="00ED2CD4" w:rsidRDefault="00ED2CD4" w:rsidP="000B4E3E">
            <w:pPr>
              <w:jc w:val="center"/>
            </w:pPr>
            <w:r>
              <w:t>N/A</w:t>
            </w:r>
          </w:p>
        </w:tc>
        <w:tc>
          <w:tcPr>
            <w:tcW w:w="1430" w:type="dxa"/>
            <w:gridSpan w:val="2"/>
            <w:shd w:val="clear" w:color="auto" w:fill="D4E2E0" w:themeFill="accent5"/>
          </w:tcPr>
          <w:p w14:paraId="552E4EEC" w14:textId="18A3507A" w:rsidR="00ED2CD4" w:rsidRDefault="00ED2CD4" w:rsidP="000B4E3E">
            <w:pPr>
              <w:jc w:val="right"/>
            </w:pPr>
            <w:r>
              <w:t>N/A</w:t>
            </w:r>
          </w:p>
        </w:tc>
      </w:tr>
    </w:tbl>
    <w:p w14:paraId="56C7A3A8" w14:textId="77777777" w:rsidR="00327AA0" w:rsidRDefault="00327AA0" w:rsidP="00327AA0"/>
    <w:p w14:paraId="0005D674" w14:textId="677BA053" w:rsidR="00ED2CD4" w:rsidRPr="00DA1E18" w:rsidRDefault="00ED2CD4" w:rsidP="00ED2CD4">
      <w:pPr>
        <w:rPr>
          <w:rStyle w:val="Strong"/>
        </w:rPr>
      </w:pPr>
      <w:r w:rsidRPr="00DA1E18">
        <w:rPr>
          <w:rStyle w:val="Strong"/>
        </w:rPr>
        <w:t>Employer funding arrangements for the defined benefit plans</w:t>
      </w:r>
    </w:p>
    <w:p w14:paraId="7B00C467" w14:textId="44FACDC8" w:rsidR="00ED2CD4" w:rsidRDefault="00ED2CD4" w:rsidP="00ED2CD4">
      <w:r>
        <w:t xml:space="preserve">The Pension Scheme and the pre-transfer benefit for the GSS in respect of individual plan participants are settled by the Authority on their retirement. Funding requirements are based on invoices provided to the Authority by GESB that represent the cost of benefits paid to members during the reporting period. </w:t>
      </w:r>
    </w:p>
    <w:p w14:paraId="0C62C450" w14:textId="77777777" w:rsidR="00ED2CD4" w:rsidRDefault="00ED2CD4" w:rsidP="00ED2CD4">
      <w:r>
        <w:t>Employer contributions of $292k (2014:$286k) are expected to be paid to the Pension Scheme for the subsequent annual reporting period.</w:t>
      </w:r>
    </w:p>
    <w:p w14:paraId="2AC9E7A6" w14:textId="4411F58C" w:rsidR="00C2647F" w:rsidRDefault="00ED2CD4" w:rsidP="00ED2CD4">
      <w:r>
        <w:t>Employer contributions of $309k (2014: $304k) are expected to be paid to the Gold State Superannuation Scheme for the subsequent annual reporting period.</w:t>
      </w:r>
    </w:p>
    <w:p w14:paraId="52FDADAD" w14:textId="77777777" w:rsidR="00ED2CD4" w:rsidRDefault="00ED2CD4" w:rsidP="009A5F6F"/>
    <w:p w14:paraId="75B423F6" w14:textId="77777777" w:rsidR="001463D7" w:rsidRPr="00DA1E18" w:rsidRDefault="001463D7" w:rsidP="001463D7">
      <w:pPr>
        <w:rPr>
          <w:rStyle w:val="Strong"/>
        </w:rPr>
      </w:pPr>
      <w:r w:rsidRPr="00DA1E18">
        <w:rPr>
          <w:rStyle w:val="Strong"/>
        </w:rPr>
        <w:lastRenderedPageBreak/>
        <w:t>Movements in other provisions</w:t>
      </w:r>
    </w:p>
    <w:p w14:paraId="0FB12DEE" w14:textId="4AC4E2CC" w:rsidR="00C2647F" w:rsidRDefault="001463D7" w:rsidP="009A5F6F">
      <w:r>
        <w:t>Movements in each class of provisions during the reporting period, other than employee benefits, are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2076"/>
        <w:gridCol w:w="1998"/>
      </w:tblGrid>
      <w:tr w:rsidR="009A5F6F" w14:paraId="1901E878" w14:textId="77777777" w:rsidTr="000B4E3E">
        <w:tc>
          <w:tcPr>
            <w:tcW w:w="5070" w:type="dxa"/>
          </w:tcPr>
          <w:p w14:paraId="31CDD7E0" w14:textId="77777777" w:rsidR="009A5F6F" w:rsidRDefault="009A5F6F" w:rsidP="000B4E3E"/>
        </w:tc>
        <w:tc>
          <w:tcPr>
            <w:tcW w:w="2126" w:type="dxa"/>
          </w:tcPr>
          <w:p w14:paraId="40DF895C" w14:textId="77777777" w:rsidR="009A5F6F" w:rsidRDefault="009A5F6F" w:rsidP="000B4E3E">
            <w:pPr>
              <w:jc w:val="right"/>
            </w:pPr>
            <w:r>
              <w:t>2015</w:t>
            </w:r>
          </w:p>
        </w:tc>
        <w:tc>
          <w:tcPr>
            <w:tcW w:w="2046" w:type="dxa"/>
          </w:tcPr>
          <w:p w14:paraId="5AA57838" w14:textId="77777777" w:rsidR="009A5F6F" w:rsidRDefault="009A5F6F" w:rsidP="000B4E3E">
            <w:pPr>
              <w:jc w:val="right"/>
            </w:pPr>
            <w:r>
              <w:t>2014</w:t>
            </w:r>
          </w:p>
        </w:tc>
      </w:tr>
      <w:tr w:rsidR="009A5F6F" w14:paraId="5EB139F9" w14:textId="77777777" w:rsidTr="000B4E3E">
        <w:tc>
          <w:tcPr>
            <w:tcW w:w="5070" w:type="dxa"/>
          </w:tcPr>
          <w:p w14:paraId="793FFB30" w14:textId="77777777" w:rsidR="009A5F6F" w:rsidRDefault="009A5F6F" w:rsidP="000B4E3E"/>
        </w:tc>
        <w:tc>
          <w:tcPr>
            <w:tcW w:w="2126" w:type="dxa"/>
          </w:tcPr>
          <w:p w14:paraId="2694581A" w14:textId="77777777" w:rsidR="009A5F6F" w:rsidRDefault="009A5F6F" w:rsidP="000B4E3E">
            <w:pPr>
              <w:jc w:val="right"/>
            </w:pPr>
            <w:r>
              <w:t>$000</w:t>
            </w:r>
          </w:p>
        </w:tc>
        <w:tc>
          <w:tcPr>
            <w:tcW w:w="2046" w:type="dxa"/>
          </w:tcPr>
          <w:p w14:paraId="24049412" w14:textId="77777777" w:rsidR="009A5F6F" w:rsidRDefault="009A5F6F" w:rsidP="000B4E3E">
            <w:pPr>
              <w:jc w:val="right"/>
            </w:pPr>
            <w:r>
              <w:t>$000</w:t>
            </w:r>
          </w:p>
        </w:tc>
      </w:tr>
      <w:tr w:rsidR="001463D7" w14:paraId="7C066EB3" w14:textId="77777777" w:rsidTr="000B4E3E">
        <w:tc>
          <w:tcPr>
            <w:tcW w:w="5070" w:type="dxa"/>
          </w:tcPr>
          <w:p w14:paraId="22E2499B" w14:textId="581650F3" w:rsidR="001463D7" w:rsidRPr="001463D7" w:rsidRDefault="001463D7" w:rsidP="000B4E3E">
            <w:r w:rsidRPr="001463D7">
              <w:rPr>
                <w:i/>
              </w:rPr>
              <w:t>Employers’ Indemnity Supplementation Fund</w:t>
            </w:r>
            <w:r>
              <w:rPr>
                <w:i/>
              </w:rPr>
              <w:br/>
            </w:r>
            <w:r>
              <w:t>Liability for estimated future claim payments</w:t>
            </w:r>
          </w:p>
        </w:tc>
        <w:tc>
          <w:tcPr>
            <w:tcW w:w="2126" w:type="dxa"/>
          </w:tcPr>
          <w:p w14:paraId="5E2E8AC3" w14:textId="77777777" w:rsidR="001463D7" w:rsidRDefault="001463D7" w:rsidP="000B4E3E">
            <w:pPr>
              <w:jc w:val="right"/>
            </w:pPr>
          </w:p>
        </w:tc>
        <w:tc>
          <w:tcPr>
            <w:tcW w:w="2046" w:type="dxa"/>
          </w:tcPr>
          <w:p w14:paraId="3A8E314F" w14:textId="77777777" w:rsidR="001463D7" w:rsidRDefault="001463D7" w:rsidP="000B4E3E">
            <w:pPr>
              <w:jc w:val="right"/>
            </w:pPr>
          </w:p>
        </w:tc>
      </w:tr>
      <w:tr w:rsidR="009A5F6F" w14:paraId="5D32698F" w14:textId="77777777" w:rsidTr="000B4E3E">
        <w:tc>
          <w:tcPr>
            <w:tcW w:w="5070" w:type="dxa"/>
          </w:tcPr>
          <w:p w14:paraId="5009F194" w14:textId="60767C06" w:rsidR="009A5F6F" w:rsidRDefault="00775796" w:rsidP="000B4E3E">
            <w:r>
              <w:t>Carrying amount at start of period</w:t>
            </w:r>
          </w:p>
        </w:tc>
        <w:tc>
          <w:tcPr>
            <w:tcW w:w="2126" w:type="dxa"/>
            <w:shd w:val="clear" w:color="auto" w:fill="F5EDC1" w:themeFill="accent4"/>
          </w:tcPr>
          <w:p w14:paraId="288598BA" w14:textId="3C80DE01" w:rsidR="009A5F6F" w:rsidRDefault="00775796" w:rsidP="000B4E3E">
            <w:pPr>
              <w:jc w:val="right"/>
            </w:pPr>
            <w:r>
              <w:t>21,274</w:t>
            </w:r>
          </w:p>
        </w:tc>
        <w:tc>
          <w:tcPr>
            <w:tcW w:w="2046" w:type="dxa"/>
            <w:shd w:val="clear" w:color="auto" w:fill="D4E2E0" w:themeFill="accent5"/>
          </w:tcPr>
          <w:p w14:paraId="2840E8DF" w14:textId="36D18E73" w:rsidR="009A5F6F" w:rsidRDefault="00775796" w:rsidP="000B4E3E">
            <w:pPr>
              <w:jc w:val="right"/>
            </w:pPr>
            <w:r>
              <w:t>16,724</w:t>
            </w:r>
          </w:p>
        </w:tc>
      </w:tr>
      <w:tr w:rsidR="009A5F6F" w14:paraId="5398C3E0" w14:textId="77777777" w:rsidTr="000B4E3E">
        <w:tc>
          <w:tcPr>
            <w:tcW w:w="5070" w:type="dxa"/>
          </w:tcPr>
          <w:p w14:paraId="720875C7" w14:textId="2052B390" w:rsidR="009A5F6F" w:rsidRDefault="00775796" w:rsidP="000B4E3E">
            <w:r>
              <w:t>Additional increase/(decrease) in provisions recognised</w:t>
            </w:r>
          </w:p>
        </w:tc>
        <w:tc>
          <w:tcPr>
            <w:tcW w:w="2126" w:type="dxa"/>
            <w:shd w:val="clear" w:color="auto" w:fill="F5EDC1" w:themeFill="accent4"/>
          </w:tcPr>
          <w:p w14:paraId="499B4389" w14:textId="1FBF505D" w:rsidR="009A5F6F" w:rsidRDefault="00775796" w:rsidP="000B4E3E">
            <w:pPr>
              <w:jc w:val="right"/>
            </w:pPr>
            <w:r>
              <w:t>(2,945)</w:t>
            </w:r>
          </w:p>
        </w:tc>
        <w:tc>
          <w:tcPr>
            <w:tcW w:w="2046" w:type="dxa"/>
            <w:shd w:val="clear" w:color="auto" w:fill="D4E2E0" w:themeFill="accent5"/>
          </w:tcPr>
          <w:p w14:paraId="647ABC5A" w14:textId="097ACA58" w:rsidR="009A5F6F" w:rsidRDefault="00775796" w:rsidP="000B4E3E">
            <w:pPr>
              <w:jc w:val="right"/>
            </w:pPr>
            <w:r>
              <w:t>5,041</w:t>
            </w:r>
          </w:p>
        </w:tc>
      </w:tr>
      <w:tr w:rsidR="00775796" w14:paraId="29AE9B38" w14:textId="77777777" w:rsidTr="000B4E3E">
        <w:tc>
          <w:tcPr>
            <w:tcW w:w="5070" w:type="dxa"/>
          </w:tcPr>
          <w:p w14:paraId="0703BB0D" w14:textId="2A85834B" w:rsidR="00775796" w:rsidRDefault="00775796" w:rsidP="000B4E3E">
            <w:r>
              <w:t>Unwinding of the discount</w:t>
            </w:r>
          </w:p>
        </w:tc>
        <w:tc>
          <w:tcPr>
            <w:tcW w:w="2126" w:type="dxa"/>
            <w:shd w:val="clear" w:color="auto" w:fill="F5EDC1" w:themeFill="accent4"/>
          </w:tcPr>
          <w:p w14:paraId="352B9D37" w14:textId="5F0AA6D1" w:rsidR="00775796" w:rsidRDefault="00775796" w:rsidP="000B4E3E">
            <w:pPr>
              <w:jc w:val="right"/>
            </w:pPr>
            <w:r>
              <w:t>467</w:t>
            </w:r>
          </w:p>
        </w:tc>
        <w:tc>
          <w:tcPr>
            <w:tcW w:w="2046" w:type="dxa"/>
            <w:shd w:val="clear" w:color="auto" w:fill="D4E2E0" w:themeFill="accent5"/>
          </w:tcPr>
          <w:p w14:paraId="653B295C" w14:textId="36AE8036" w:rsidR="00775796" w:rsidRDefault="00775796" w:rsidP="000B4E3E">
            <w:pPr>
              <w:jc w:val="right"/>
            </w:pPr>
            <w:r>
              <w:t>412</w:t>
            </w:r>
          </w:p>
        </w:tc>
      </w:tr>
      <w:tr w:rsidR="00775796" w14:paraId="2B17BDF3" w14:textId="77777777" w:rsidTr="00775796">
        <w:tc>
          <w:tcPr>
            <w:tcW w:w="5070" w:type="dxa"/>
          </w:tcPr>
          <w:p w14:paraId="2C4BED73" w14:textId="17DDDC1D" w:rsidR="00775796" w:rsidRDefault="00775796" w:rsidP="000B4E3E">
            <w:r>
              <w:t>Payments/other sacrifices of economic benefits</w:t>
            </w:r>
          </w:p>
        </w:tc>
        <w:tc>
          <w:tcPr>
            <w:tcW w:w="2126" w:type="dxa"/>
            <w:shd w:val="clear" w:color="auto" w:fill="F5EDC1" w:themeFill="accent4"/>
          </w:tcPr>
          <w:p w14:paraId="77E11969" w14:textId="3551FD1B" w:rsidR="00775796" w:rsidRDefault="00775796" w:rsidP="000B4E3E">
            <w:pPr>
              <w:jc w:val="right"/>
            </w:pPr>
            <w:r>
              <w:t>(794)</w:t>
            </w:r>
          </w:p>
        </w:tc>
        <w:tc>
          <w:tcPr>
            <w:tcW w:w="2046" w:type="dxa"/>
            <w:shd w:val="clear" w:color="auto" w:fill="D4E2E0" w:themeFill="accent5"/>
          </w:tcPr>
          <w:p w14:paraId="1198B9AC" w14:textId="2567D3F8" w:rsidR="00775796" w:rsidRDefault="00775796" w:rsidP="000B4E3E">
            <w:pPr>
              <w:jc w:val="right"/>
            </w:pPr>
            <w:r>
              <w:t>(903)</w:t>
            </w:r>
          </w:p>
        </w:tc>
      </w:tr>
      <w:tr w:rsidR="00775796" w14:paraId="2E95306F" w14:textId="77777777" w:rsidTr="00775796">
        <w:tc>
          <w:tcPr>
            <w:tcW w:w="5070" w:type="dxa"/>
          </w:tcPr>
          <w:p w14:paraId="7C94896B" w14:textId="2C6FF05C" w:rsidR="00775796" w:rsidRPr="00775796" w:rsidRDefault="00775796" w:rsidP="000B4E3E">
            <w:pPr>
              <w:rPr>
                <w:b/>
              </w:rPr>
            </w:pPr>
            <w:r w:rsidRPr="00775796">
              <w:rPr>
                <w:b/>
              </w:rPr>
              <w:t>Carrying amount at end of period</w:t>
            </w:r>
          </w:p>
        </w:tc>
        <w:tc>
          <w:tcPr>
            <w:tcW w:w="2126" w:type="dxa"/>
            <w:tcBorders>
              <w:bottom w:val="single" w:sz="4" w:space="0" w:color="auto"/>
            </w:tcBorders>
            <w:shd w:val="clear" w:color="auto" w:fill="F5EDC1" w:themeFill="accent4"/>
          </w:tcPr>
          <w:p w14:paraId="6968BB0A" w14:textId="5D64D1B0" w:rsidR="00775796" w:rsidRPr="00775796" w:rsidRDefault="00775796" w:rsidP="000B4E3E">
            <w:pPr>
              <w:jc w:val="right"/>
              <w:rPr>
                <w:b/>
              </w:rPr>
            </w:pPr>
            <w:r w:rsidRPr="00775796">
              <w:rPr>
                <w:b/>
              </w:rPr>
              <w:t>18,002</w:t>
            </w:r>
          </w:p>
        </w:tc>
        <w:tc>
          <w:tcPr>
            <w:tcW w:w="2046" w:type="dxa"/>
            <w:tcBorders>
              <w:bottom w:val="single" w:sz="4" w:space="0" w:color="auto"/>
            </w:tcBorders>
            <w:shd w:val="clear" w:color="auto" w:fill="D4E2E0" w:themeFill="accent5"/>
          </w:tcPr>
          <w:p w14:paraId="71DC617F" w14:textId="7FCD25B9" w:rsidR="00775796" w:rsidRPr="00775796" w:rsidRDefault="00775796" w:rsidP="000B4E3E">
            <w:pPr>
              <w:jc w:val="right"/>
              <w:rPr>
                <w:b/>
              </w:rPr>
            </w:pPr>
            <w:r w:rsidRPr="00775796">
              <w:rPr>
                <w:b/>
              </w:rPr>
              <w:t>21,274</w:t>
            </w:r>
          </w:p>
        </w:tc>
      </w:tr>
      <w:tr w:rsidR="00775796" w14:paraId="59A48CF2" w14:textId="77777777" w:rsidTr="00775796">
        <w:tc>
          <w:tcPr>
            <w:tcW w:w="5070" w:type="dxa"/>
          </w:tcPr>
          <w:p w14:paraId="6F426364" w14:textId="7B575780" w:rsidR="00775796" w:rsidRPr="00775796" w:rsidRDefault="00775796" w:rsidP="000B4E3E">
            <w:pPr>
              <w:rPr>
                <w:i/>
              </w:rPr>
            </w:pPr>
            <w:r w:rsidRPr="00775796">
              <w:rPr>
                <w:i/>
              </w:rPr>
              <w:t>Uninsured claims</w:t>
            </w:r>
          </w:p>
        </w:tc>
        <w:tc>
          <w:tcPr>
            <w:tcW w:w="2126" w:type="dxa"/>
            <w:tcBorders>
              <w:top w:val="single" w:sz="4" w:space="0" w:color="auto"/>
            </w:tcBorders>
            <w:shd w:val="clear" w:color="auto" w:fill="FFFFFF" w:themeFill="background1"/>
          </w:tcPr>
          <w:p w14:paraId="60EBD675" w14:textId="77777777" w:rsidR="00775796" w:rsidRDefault="00775796" w:rsidP="000B4E3E">
            <w:pPr>
              <w:jc w:val="right"/>
            </w:pPr>
          </w:p>
        </w:tc>
        <w:tc>
          <w:tcPr>
            <w:tcW w:w="2046" w:type="dxa"/>
            <w:tcBorders>
              <w:top w:val="single" w:sz="4" w:space="0" w:color="auto"/>
            </w:tcBorders>
            <w:shd w:val="clear" w:color="auto" w:fill="FFFFFF" w:themeFill="background1"/>
          </w:tcPr>
          <w:p w14:paraId="528F2C55" w14:textId="77777777" w:rsidR="00775796" w:rsidRDefault="00775796" w:rsidP="000B4E3E">
            <w:pPr>
              <w:jc w:val="right"/>
            </w:pPr>
          </w:p>
        </w:tc>
      </w:tr>
      <w:tr w:rsidR="00775796" w14:paraId="0FADBD6D" w14:textId="77777777" w:rsidTr="000B4E3E">
        <w:tc>
          <w:tcPr>
            <w:tcW w:w="5070" w:type="dxa"/>
          </w:tcPr>
          <w:p w14:paraId="0EA3959B" w14:textId="1748AB7C" w:rsidR="00775796" w:rsidRDefault="00775796" w:rsidP="000B4E3E">
            <w:r>
              <w:t>Carrying amount at start of period</w:t>
            </w:r>
          </w:p>
        </w:tc>
        <w:tc>
          <w:tcPr>
            <w:tcW w:w="2126" w:type="dxa"/>
            <w:shd w:val="clear" w:color="auto" w:fill="F5EDC1" w:themeFill="accent4"/>
          </w:tcPr>
          <w:p w14:paraId="34AF081E" w14:textId="59E75FF4" w:rsidR="00775796" w:rsidRDefault="00775796" w:rsidP="000B4E3E">
            <w:pPr>
              <w:jc w:val="right"/>
            </w:pPr>
            <w:r>
              <w:t>10,225</w:t>
            </w:r>
          </w:p>
        </w:tc>
        <w:tc>
          <w:tcPr>
            <w:tcW w:w="2046" w:type="dxa"/>
            <w:shd w:val="clear" w:color="auto" w:fill="D4E2E0" w:themeFill="accent5"/>
          </w:tcPr>
          <w:p w14:paraId="39D73234" w14:textId="1C58FE6A" w:rsidR="00775796" w:rsidRDefault="00775796" w:rsidP="000B4E3E">
            <w:pPr>
              <w:jc w:val="right"/>
            </w:pPr>
            <w:r>
              <w:t>8,074</w:t>
            </w:r>
          </w:p>
        </w:tc>
      </w:tr>
      <w:tr w:rsidR="00775796" w14:paraId="52DB4631" w14:textId="77777777" w:rsidTr="000B4E3E">
        <w:tc>
          <w:tcPr>
            <w:tcW w:w="5070" w:type="dxa"/>
          </w:tcPr>
          <w:p w14:paraId="5B58CE82" w14:textId="4120A4F6" w:rsidR="00775796" w:rsidRDefault="00775796" w:rsidP="000B4E3E">
            <w:r>
              <w:t>Additional increase in provisions recognised</w:t>
            </w:r>
          </w:p>
        </w:tc>
        <w:tc>
          <w:tcPr>
            <w:tcW w:w="2126" w:type="dxa"/>
            <w:shd w:val="clear" w:color="auto" w:fill="F5EDC1" w:themeFill="accent4"/>
          </w:tcPr>
          <w:p w14:paraId="78F734BA" w14:textId="3AF3941E" w:rsidR="00775796" w:rsidRDefault="00775796" w:rsidP="000B4E3E">
            <w:pPr>
              <w:jc w:val="right"/>
            </w:pPr>
            <w:r>
              <w:t>(912)</w:t>
            </w:r>
          </w:p>
        </w:tc>
        <w:tc>
          <w:tcPr>
            <w:tcW w:w="2046" w:type="dxa"/>
            <w:shd w:val="clear" w:color="auto" w:fill="D4E2E0" w:themeFill="accent5"/>
          </w:tcPr>
          <w:p w14:paraId="3EAECC2A" w14:textId="2D86279A" w:rsidR="00775796" w:rsidRDefault="00775796" w:rsidP="000B4E3E">
            <w:pPr>
              <w:jc w:val="right"/>
            </w:pPr>
            <w:r>
              <w:t>2,264</w:t>
            </w:r>
          </w:p>
        </w:tc>
      </w:tr>
      <w:tr w:rsidR="00775796" w14:paraId="202FCDC3" w14:textId="77777777" w:rsidTr="000B4E3E">
        <w:tc>
          <w:tcPr>
            <w:tcW w:w="5070" w:type="dxa"/>
          </w:tcPr>
          <w:p w14:paraId="2F9BCC81" w14:textId="091C80AD" w:rsidR="00775796" w:rsidRDefault="00775796" w:rsidP="000B4E3E">
            <w:r>
              <w:t>Unwinding of the discount</w:t>
            </w:r>
          </w:p>
        </w:tc>
        <w:tc>
          <w:tcPr>
            <w:tcW w:w="2126" w:type="dxa"/>
            <w:shd w:val="clear" w:color="auto" w:fill="F5EDC1" w:themeFill="accent4"/>
          </w:tcPr>
          <w:p w14:paraId="0701416A" w14:textId="258117B5" w:rsidR="00775796" w:rsidRDefault="00775796" w:rsidP="000B4E3E">
            <w:pPr>
              <w:jc w:val="right"/>
            </w:pPr>
            <w:r>
              <w:t>247</w:t>
            </w:r>
          </w:p>
        </w:tc>
        <w:tc>
          <w:tcPr>
            <w:tcW w:w="2046" w:type="dxa"/>
            <w:shd w:val="clear" w:color="auto" w:fill="D4E2E0" w:themeFill="accent5"/>
          </w:tcPr>
          <w:p w14:paraId="56373D19" w14:textId="647750B2" w:rsidR="00775796" w:rsidRDefault="00775796" w:rsidP="000B4E3E">
            <w:pPr>
              <w:jc w:val="right"/>
            </w:pPr>
            <w:r>
              <w:t>201</w:t>
            </w:r>
          </w:p>
        </w:tc>
      </w:tr>
      <w:tr w:rsidR="00775796" w14:paraId="35B52DFA" w14:textId="77777777" w:rsidTr="00775796">
        <w:tc>
          <w:tcPr>
            <w:tcW w:w="5070" w:type="dxa"/>
          </w:tcPr>
          <w:p w14:paraId="6F1DC79A" w14:textId="702703EF" w:rsidR="00775796" w:rsidRDefault="00775796" w:rsidP="000B4E3E">
            <w:r>
              <w:t>Payments/other sacrifices of economic benefits</w:t>
            </w:r>
          </w:p>
        </w:tc>
        <w:tc>
          <w:tcPr>
            <w:tcW w:w="2126" w:type="dxa"/>
            <w:shd w:val="clear" w:color="auto" w:fill="F5EDC1" w:themeFill="accent4"/>
          </w:tcPr>
          <w:p w14:paraId="647F5C39" w14:textId="23CED5D2" w:rsidR="00775796" w:rsidRDefault="00775796" w:rsidP="000B4E3E">
            <w:pPr>
              <w:jc w:val="right"/>
            </w:pPr>
            <w:r>
              <w:t>(488)</w:t>
            </w:r>
          </w:p>
        </w:tc>
        <w:tc>
          <w:tcPr>
            <w:tcW w:w="2046" w:type="dxa"/>
            <w:shd w:val="clear" w:color="auto" w:fill="D4E2E0" w:themeFill="accent5"/>
          </w:tcPr>
          <w:p w14:paraId="0501EB86" w14:textId="50EDA5A4" w:rsidR="00775796" w:rsidRDefault="00775796" w:rsidP="000B4E3E">
            <w:pPr>
              <w:jc w:val="right"/>
            </w:pPr>
            <w:r>
              <w:t>(314)</w:t>
            </w:r>
          </w:p>
        </w:tc>
      </w:tr>
      <w:tr w:rsidR="00775796" w14:paraId="5877E1D8" w14:textId="77777777" w:rsidTr="00775796">
        <w:tc>
          <w:tcPr>
            <w:tcW w:w="5070" w:type="dxa"/>
          </w:tcPr>
          <w:p w14:paraId="38FE6539" w14:textId="0A2000C7" w:rsidR="00775796" w:rsidRPr="00775796" w:rsidRDefault="00775796" w:rsidP="000B4E3E">
            <w:pPr>
              <w:rPr>
                <w:b/>
              </w:rPr>
            </w:pPr>
            <w:r w:rsidRPr="00775796">
              <w:rPr>
                <w:b/>
              </w:rPr>
              <w:t>Carrying amount at end of period</w:t>
            </w:r>
          </w:p>
        </w:tc>
        <w:tc>
          <w:tcPr>
            <w:tcW w:w="2126" w:type="dxa"/>
            <w:tcBorders>
              <w:bottom w:val="single" w:sz="4" w:space="0" w:color="auto"/>
            </w:tcBorders>
            <w:shd w:val="clear" w:color="auto" w:fill="F5EDC1" w:themeFill="accent4"/>
          </w:tcPr>
          <w:p w14:paraId="127DFB79" w14:textId="08CA7597" w:rsidR="00775796" w:rsidRPr="00775796" w:rsidRDefault="00775796" w:rsidP="000B4E3E">
            <w:pPr>
              <w:jc w:val="right"/>
              <w:rPr>
                <w:b/>
              </w:rPr>
            </w:pPr>
            <w:r w:rsidRPr="00775796">
              <w:rPr>
                <w:b/>
              </w:rPr>
              <w:t>9,072</w:t>
            </w:r>
          </w:p>
        </w:tc>
        <w:tc>
          <w:tcPr>
            <w:tcW w:w="2046" w:type="dxa"/>
            <w:tcBorders>
              <w:bottom w:val="single" w:sz="4" w:space="0" w:color="auto"/>
            </w:tcBorders>
            <w:shd w:val="clear" w:color="auto" w:fill="D4E2E0" w:themeFill="accent5"/>
          </w:tcPr>
          <w:p w14:paraId="06251A8A" w14:textId="5A0DC42C" w:rsidR="00775796" w:rsidRPr="00775796" w:rsidRDefault="00775796" w:rsidP="000B4E3E">
            <w:pPr>
              <w:jc w:val="right"/>
              <w:rPr>
                <w:b/>
              </w:rPr>
            </w:pPr>
            <w:r w:rsidRPr="00775796">
              <w:rPr>
                <w:b/>
              </w:rPr>
              <w:t>10,225</w:t>
            </w:r>
          </w:p>
        </w:tc>
      </w:tr>
      <w:tr w:rsidR="00775796" w14:paraId="27AE8931" w14:textId="77777777" w:rsidTr="00775796">
        <w:tc>
          <w:tcPr>
            <w:tcW w:w="5070" w:type="dxa"/>
          </w:tcPr>
          <w:p w14:paraId="15B404AC" w14:textId="6DD1EE8C" w:rsidR="00775796" w:rsidRPr="00775796" w:rsidRDefault="00775796" w:rsidP="000B4E3E">
            <w:pPr>
              <w:rPr>
                <w:i/>
              </w:rPr>
            </w:pPr>
            <w:r w:rsidRPr="00775796">
              <w:rPr>
                <w:i/>
              </w:rPr>
              <w:t>Employment on-costs provision</w:t>
            </w:r>
          </w:p>
        </w:tc>
        <w:tc>
          <w:tcPr>
            <w:tcW w:w="2126" w:type="dxa"/>
            <w:tcBorders>
              <w:top w:val="single" w:sz="4" w:space="0" w:color="auto"/>
            </w:tcBorders>
            <w:shd w:val="clear" w:color="auto" w:fill="FFFFFF" w:themeFill="background1"/>
          </w:tcPr>
          <w:p w14:paraId="3623E6FE" w14:textId="77777777" w:rsidR="00775796" w:rsidRDefault="00775796" w:rsidP="000B4E3E">
            <w:pPr>
              <w:jc w:val="right"/>
            </w:pPr>
          </w:p>
        </w:tc>
        <w:tc>
          <w:tcPr>
            <w:tcW w:w="2046" w:type="dxa"/>
            <w:tcBorders>
              <w:top w:val="single" w:sz="4" w:space="0" w:color="auto"/>
            </w:tcBorders>
            <w:shd w:val="clear" w:color="auto" w:fill="FFFFFF" w:themeFill="background1"/>
          </w:tcPr>
          <w:p w14:paraId="1A617412" w14:textId="77777777" w:rsidR="00775796" w:rsidRDefault="00775796" w:rsidP="000B4E3E">
            <w:pPr>
              <w:jc w:val="right"/>
            </w:pPr>
          </w:p>
        </w:tc>
      </w:tr>
      <w:tr w:rsidR="00775796" w14:paraId="12A9113E" w14:textId="77777777" w:rsidTr="000B4E3E">
        <w:tc>
          <w:tcPr>
            <w:tcW w:w="5070" w:type="dxa"/>
          </w:tcPr>
          <w:p w14:paraId="7D9FCABC" w14:textId="03E9CE08" w:rsidR="00775796" w:rsidRDefault="00775796" w:rsidP="000B4E3E">
            <w:r>
              <w:t>Carrying amount at start of period</w:t>
            </w:r>
          </w:p>
        </w:tc>
        <w:tc>
          <w:tcPr>
            <w:tcW w:w="2126" w:type="dxa"/>
            <w:shd w:val="clear" w:color="auto" w:fill="F5EDC1" w:themeFill="accent4"/>
          </w:tcPr>
          <w:p w14:paraId="763180EF" w14:textId="3B91C79F" w:rsidR="00775796" w:rsidRDefault="00775796" w:rsidP="000B4E3E">
            <w:pPr>
              <w:jc w:val="right"/>
            </w:pPr>
            <w:r>
              <w:t>197</w:t>
            </w:r>
          </w:p>
        </w:tc>
        <w:tc>
          <w:tcPr>
            <w:tcW w:w="2046" w:type="dxa"/>
            <w:shd w:val="clear" w:color="auto" w:fill="D4E2E0" w:themeFill="accent5"/>
          </w:tcPr>
          <w:p w14:paraId="642C4D94" w14:textId="62A3F9DF" w:rsidR="00775796" w:rsidRDefault="00775796" w:rsidP="000B4E3E">
            <w:pPr>
              <w:jc w:val="right"/>
            </w:pPr>
            <w:r>
              <w:t>191</w:t>
            </w:r>
          </w:p>
        </w:tc>
      </w:tr>
      <w:tr w:rsidR="00775796" w14:paraId="7E2593BA" w14:textId="77777777" w:rsidTr="000B4E3E">
        <w:tc>
          <w:tcPr>
            <w:tcW w:w="5070" w:type="dxa"/>
          </w:tcPr>
          <w:p w14:paraId="622687B2" w14:textId="02A14FD8" w:rsidR="00775796" w:rsidRDefault="00775796" w:rsidP="000B4E3E">
            <w:r>
              <w:t>Additional provisions recognised</w:t>
            </w:r>
          </w:p>
        </w:tc>
        <w:tc>
          <w:tcPr>
            <w:tcW w:w="2126" w:type="dxa"/>
            <w:shd w:val="clear" w:color="auto" w:fill="F5EDC1" w:themeFill="accent4"/>
          </w:tcPr>
          <w:p w14:paraId="7B30A4FB" w14:textId="0180BBF5" w:rsidR="00775796" w:rsidRDefault="00775796" w:rsidP="000B4E3E">
            <w:pPr>
              <w:jc w:val="right"/>
            </w:pPr>
            <w:r>
              <w:t>91</w:t>
            </w:r>
          </w:p>
        </w:tc>
        <w:tc>
          <w:tcPr>
            <w:tcW w:w="2046" w:type="dxa"/>
            <w:shd w:val="clear" w:color="auto" w:fill="D4E2E0" w:themeFill="accent5"/>
          </w:tcPr>
          <w:p w14:paraId="143631EA" w14:textId="42B7591C" w:rsidR="00775796" w:rsidRDefault="00775796" w:rsidP="000B4E3E">
            <w:pPr>
              <w:jc w:val="right"/>
            </w:pPr>
            <w:r>
              <w:t>94</w:t>
            </w:r>
          </w:p>
        </w:tc>
      </w:tr>
      <w:tr w:rsidR="00775796" w14:paraId="10491310" w14:textId="77777777" w:rsidTr="00775796">
        <w:tc>
          <w:tcPr>
            <w:tcW w:w="5070" w:type="dxa"/>
          </w:tcPr>
          <w:p w14:paraId="404D9062" w14:textId="12AEDA18" w:rsidR="00775796" w:rsidRDefault="00775796" w:rsidP="000B4E3E">
            <w:r>
              <w:t xml:space="preserve">Payments/other sacrifices of economic benefits </w:t>
            </w:r>
          </w:p>
        </w:tc>
        <w:tc>
          <w:tcPr>
            <w:tcW w:w="2126" w:type="dxa"/>
            <w:shd w:val="clear" w:color="auto" w:fill="F5EDC1" w:themeFill="accent4"/>
          </w:tcPr>
          <w:p w14:paraId="7AA8CC1A" w14:textId="58F18948" w:rsidR="00775796" w:rsidRDefault="00775796" w:rsidP="000B4E3E">
            <w:pPr>
              <w:jc w:val="right"/>
            </w:pPr>
            <w:r>
              <w:t>(93)</w:t>
            </w:r>
          </w:p>
        </w:tc>
        <w:tc>
          <w:tcPr>
            <w:tcW w:w="2046" w:type="dxa"/>
            <w:shd w:val="clear" w:color="auto" w:fill="D4E2E0" w:themeFill="accent5"/>
          </w:tcPr>
          <w:p w14:paraId="38AAECBE" w14:textId="452C82B2" w:rsidR="00775796" w:rsidRDefault="00775796" w:rsidP="000B4E3E">
            <w:pPr>
              <w:jc w:val="right"/>
            </w:pPr>
            <w:r>
              <w:t>(93)</w:t>
            </w:r>
          </w:p>
        </w:tc>
      </w:tr>
      <w:tr w:rsidR="00775796" w14:paraId="0B917539" w14:textId="77777777" w:rsidTr="00775796">
        <w:tc>
          <w:tcPr>
            <w:tcW w:w="5070" w:type="dxa"/>
          </w:tcPr>
          <w:p w14:paraId="60B52F72" w14:textId="1BB388AA" w:rsidR="00775796" w:rsidRPr="00775796" w:rsidRDefault="00775796" w:rsidP="000B4E3E">
            <w:pPr>
              <w:rPr>
                <w:b/>
              </w:rPr>
            </w:pPr>
            <w:r w:rsidRPr="00775796">
              <w:rPr>
                <w:b/>
              </w:rPr>
              <w:t>Carrying at end of period</w:t>
            </w:r>
          </w:p>
        </w:tc>
        <w:tc>
          <w:tcPr>
            <w:tcW w:w="2126" w:type="dxa"/>
            <w:tcBorders>
              <w:bottom w:val="single" w:sz="4" w:space="0" w:color="auto"/>
            </w:tcBorders>
            <w:shd w:val="clear" w:color="auto" w:fill="F5EDC1" w:themeFill="accent4"/>
          </w:tcPr>
          <w:p w14:paraId="21EA1D74" w14:textId="518E9ED3" w:rsidR="00775796" w:rsidRPr="00775796" w:rsidRDefault="00775796" w:rsidP="000B4E3E">
            <w:pPr>
              <w:jc w:val="right"/>
              <w:rPr>
                <w:b/>
              </w:rPr>
            </w:pPr>
            <w:r w:rsidRPr="00775796">
              <w:rPr>
                <w:b/>
              </w:rPr>
              <w:t>200</w:t>
            </w:r>
          </w:p>
        </w:tc>
        <w:tc>
          <w:tcPr>
            <w:tcW w:w="2046" w:type="dxa"/>
            <w:tcBorders>
              <w:bottom w:val="single" w:sz="4" w:space="0" w:color="auto"/>
            </w:tcBorders>
            <w:shd w:val="clear" w:color="auto" w:fill="D4E2E0" w:themeFill="accent5"/>
          </w:tcPr>
          <w:p w14:paraId="2D78BA57" w14:textId="676FDFEA" w:rsidR="00775796" w:rsidRPr="00775796" w:rsidRDefault="00775796" w:rsidP="000B4E3E">
            <w:pPr>
              <w:jc w:val="right"/>
              <w:rPr>
                <w:b/>
              </w:rPr>
            </w:pPr>
            <w:r w:rsidRPr="00775796">
              <w:rPr>
                <w:b/>
              </w:rPr>
              <w:t>197</w:t>
            </w:r>
          </w:p>
        </w:tc>
      </w:tr>
    </w:tbl>
    <w:p w14:paraId="49EDF6FD" w14:textId="77777777" w:rsidR="00775796" w:rsidRDefault="00775796" w:rsidP="00F576B8"/>
    <w:p w14:paraId="5138EC5D" w14:textId="3D5252AC" w:rsidR="00775796" w:rsidRDefault="00775796" w:rsidP="00775796">
      <w:r>
        <w:t>(e) Uninsured Workers</w:t>
      </w:r>
    </w:p>
    <w:p w14:paraId="26E2A571" w14:textId="7871375E" w:rsidR="00775796" w:rsidRDefault="00775796" w:rsidP="00775796">
      <w:r>
        <w:t>Part of the General Account's obligations are for the provision of workers' compensation benefits to injured employees whose current or former employer has failed to maintain compulsory workers' compensation insurance or if the former employer no longer exists and cannot be found and therefore the insurer is unknown.</w:t>
      </w:r>
    </w:p>
    <w:p w14:paraId="1B093586" w14:textId="24A9AA00" w:rsidR="00775796" w:rsidRDefault="00775796" w:rsidP="00775796">
      <w:r>
        <w:t>The actuarial assessed valuation includes both asbestos related diseases (ARD) and non-asbestos related diseases (non-ARD). The approach adopted is to analyse the claim and financial data for the General Account and make projections of future claim payments based on actuarial assumptions, knowledge and experience of similar portfolios.</w:t>
      </w:r>
    </w:p>
    <w:p w14:paraId="4B572315" w14:textId="77777777" w:rsidR="00775796" w:rsidRPr="00DA1E18" w:rsidRDefault="00775796" w:rsidP="00775796">
      <w:pPr>
        <w:rPr>
          <w:rStyle w:val="Strong"/>
        </w:rPr>
      </w:pPr>
      <w:r w:rsidRPr="00DA1E18">
        <w:rPr>
          <w:rStyle w:val="Strong"/>
        </w:rPr>
        <w:t>(ARD) Actuarial methods and assumptions</w:t>
      </w:r>
    </w:p>
    <w:p w14:paraId="66F06373" w14:textId="21335D5B" w:rsidR="00775796" w:rsidRDefault="00775796" w:rsidP="00775796">
      <w:r>
        <w:t>As most of the asbestos-related disease liability is for future lodgement of latent claims, projected future claim notifications are combined with average claim sizes and the assume</w:t>
      </w:r>
      <w:r w:rsidR="00C44C97">
        <w:t>d payment patterns 'to produce'</w:t>
      </w:r>
      <w:r>
        <w:t>:</w:t>
      </w:r>
    </w:p>
    <w:p w14:paraId="3A972298" w14:textId="20168254" w:rsidR="00775796" w:rsidRDefault="00775796" w:rsidP="00775796">
      <w:r>
        <w:t>(a)</w:t>
      </w:r>
      <w:r>
        <w:tab/>
        <w:t>total projected cost of claims for each future year;</w:t>
      </w:r>
      <w:r>
        <w:br/>
        <w:t>(b)</w:t>
      </w:r>
      <w:r>
        <w:tab/>
        <w:t>claim payments</w:t>
      </w:r>
      <w:r w:rsidR="00C44C97">
        <w:t>; and</w:t>
      </w:r>
      <w:r>
        <w:br/>
        <w:t>(c)</w:t>
      </w:r>
      <w:r>
        <w:tab/>
        <w:t>gross and net provisions.</w:t>
      </w:r>
    </w:p>
    <w:p w14:paraId="46D7E9B3" w14:textId="2CDDE557" w:rsidR="00775796" w:rsidRDefault="00775796" w:rsidP="00775796">
      <w:r>
        <w:t>The future lodgement patterns are calibrated to closely follow recent claim experience and the future patterns use the research of Professor Berry (University of Sydney) combined with actuarial's research and examination of the reports of the Institute of Actuaries of Australia Asbestos Taskforce and the independent advice to the James Hardie Special Commission of Inquiry.</w:t>
      </w:r>
    </w:p>
    <w:p w14:paraId="642D505E" w14:textId="77777777" w:rsidR="00775796" w:rsidRPr="00775796" w:rsidRDefault="00775796" w:rsidP="00775796">
      <w:pPr>
        <w:rPr>
          <w:b/>
          <w:i/>
        </w:rPr>
      </w:pPr>
      <w:r w:rsidRPr="00775796">
        <w:rPr>
          <w:b/>
          <w:i/>
        </w:rPr>
        <w:t>Average weighted term to settlement</w:t>
      </w:r>
    </w:p>
    <w:p w14:paraId="530900E1" w14:textId="2D9623BB" w:rsidR="00775796" w:rsidRDefault="00775796" w:rsidP="00775796">
      <w:r>
        <w:t>The average term to settlement is calculated separately by class of business based on historic payment patterns.</w:t>
      </w:r>
    </w:p>
    <w:p w14:paraId="1B73A390" w14:textId="77777777" w:rsidR="00775796" w:rsidRPr="00775796" w:rsidRDefault="00775796" w:rsidP="00775796">
      <w:pPr>
        <w:rPr>
          <w:b/>
          <w:i/>
        </w:rPr>
      </w:pPr>
      <w:r w:rsidRPr="00775796">
        <w:rPr>
          <w:b/>
          <w:i/>
        </w:rPr>
        <w:t>Future claim lodgements</w:t>
      </w:r>
    </w:p>
    <w:p w14:paraId="3E568D66" w14:textId="77777777" w:rsidR="00775796" w:rsidRDefault="00775796" w:rsidP="00775796">
      <w:r>
        <w:t>Future claim lodgements are calculated from the recent lodgement experience and calibrated according to the relevant research studies on latency claims.</w:t>
      </w:r>
    </w:p>
    <w:p w14:paraId="1C8A9D16" w14:textId="77777777" w:rsidR="00775796" w:rsidRPr="00775796" w:rsidRDefault="00775796" w:rsidP="00775796">
      <w:pPr>
        <w:rPr>
          <w:b/>
          <w:i/>
        </w:rPr>
      </w:pPr>
      <w:r w:rsidRPr="00775796">
        <w:rPr>
          <w:b/>
          <w:i/>
        </w:rPr>
        <w:t>Average claim size</w:t>
      </w:r>
    </w:p>
    <w:p w14:paraId="0CB92492" w14:textId="77777777" w:rsidR="00775796" w:rsidRDefault="00775796" w:rsidP="00775796">
      <w:r>
        <w:t>Average claim size is based on current actuarial research taking the WA mining experience into account.</w:t>
      </w:r>
    </w:p>
    <w:p w14:paraId="35BCA4C5" w14:textId="77777777" w:rsidR="00775796" w:rsidRDefault="00775796" w:rsidP="00775796"/>
    <w:p w14:paraId="705FC917" w14:textId="77777777" w:rsidR="000B4E3E" w:rsidRPr="000B4E3E" w:rsidRDefault="000B4E3E" w:rsidP="000B4E3E">
      <w:pPr>
        <w:rPr>
          <w:i/>
        </w:rPr>
      </w:pPr>
      <w:r w:rsidRPr="000B4E3E">
        <w:rPr>
          <w:i/>
        </w:rPr>
        <w:t>Assumptions</w:t>
      </w:r>
    </w:p>
    <w:p w14:paraId="50EF32EF" w14:textId="6F5427D2" w:rsidR="000B4E3E" w:rsidRPr="00DA1E18" w:rsidRDefault="000B4E3E" w:rsidP="00DA1E18">
      <w:pPr>
        <w:rPr>
          <w:rStyle w:val="Strong"/>
        </w:rPr>
      </w:pPr>
      <w:r w:rsidRPr="00DA1E18">
        <w:rPr>
          <w:rStyle w:val="Strong"/>
        </w:rPr>
        <w:t>Uninsured workers:</w:t>
      </w:r>
      <w:r w:rsidRPr="00DA1E18">
        <w:rPr>
          <w:rStyle w:val="Strong"/>
        </w:rPr>
        <w:br/>
        <w:t>Asbestos-Related Claims (ARD)</w:t>
      </w:r>
    </w:p>
    <w:tbl>
      <w:tblPr>
        <w:tblStyle w:val="TableGrid"/>
        <w:tblW w:w="0" w:type="auto"/>
        <w:tblLook w:val="04A0" w:firstRow="1" w:lastRow="0" w:firstColumn="1" w:lastColumn="0" w:noHBand="0" w:noVBand="1"/>
      </w:tblPr>
      <w:tblGrid>
        <w:gridCol w:w="2998"/>
        <w:gridCol w:w="1532"/>
        <w:gridCol w:w="1481"/>
        <w:gridCol w:w="36"/>
        <w:gridCol w:w="1531"/>
        <w:gridCol w:w="1448"/>
      </w:tblGrid>
      <w:tr w:rsidR="000B4E3E" w14:paraId="20E22B76" w14:textId="77777777" w:rsidTr="00DF6B02">
        <w:tc>
          <w:tcPr>
            <w:tcW w:w="3082" w:type="dxa"/>
            <w:tcBorders>
              <w:top w:val="nil"/>
              <w:left w:val="nil"/>
              <w:bottom w:val="nil"/>
              <w:right w:val="nil"/>
            </w:tcBorders>
          </w:tcPr>
          <w:p w14:paraId="784A6118" w14:textId="77777777" w:rsidR="000B4E3E" w:rsidRDefault="000B4E3E" w:rsidP="000B4E3E">
            <w:pPr>
              <w:rPr>
                <w:b/>
                <w:color w:val="000000"/>
              </w:rPr>
            </w:pPr>
          </w:p>
        </w:tc>
        <w:tc>
          <w:tcPr>
            <w:tcW w:w="3080" w:type="dxa"/>
            <w:gridSpan w:val="2"/>
            <w:tcBorders>
              <w:top w:val="nil"/>
              <w:left w:val="nil"/>
              <w:bottom w:val="nil"/>
              <w:right w:val="nil"/>
            </w:tcBorders>
          </w:tcPr>
          <w:p w14:paraId="587BC12A" w14:textId="0A8895C8" w:rsidR="000B4E3E" w:rsidRDefault="000B4E3E" w:rsidP="000B4E3E">
            <w:pPr>
              <w:jc w:val="center"/>
              <w:rPr>
                <w:b/>
                <w:color w:val="000000"/>
              </w:rPr>
            </w:pPr>
            <w:r>
              <w:rPr>
                <w:b/>
                <w:color w:val="000000"/>
              </w:rPr>
              <w:t>2015</w:t>
            </w:r>
          </w:p>
        </w:tc>
        <w:tc>
          <w:tcPr>
            <w:tcW w:w="3080" w:type="dxa"/>
            <w:gridSpan w:val="3"/>
            <w:tcBorders>
              <w:top w:val="nil"/>
              <w:left w:val="nil"/>
              <w:bottom w:val="nil"/>
              <w:right w:val="nil"/>
            </w:tcBorders>
          </w:tcPr>
          <w:p w14:paraId="1EAE543B" w14:textId="34E6E21D" w:rsidR="000B4E3E" w:rsidRDefault="000B4E3E" w:rsidP="000B4E3E">
            <w:pPr>
              <w:jc w:val="center"/>
              <w:rPr>
                <w:b/>
                <w:color w:val="000000"/>
              </w:rPr>
            </w:pPr>
            <w:r>
              <w:rPr>
                <w:b/>
                <w:color w:val="000000"/>
              </w:rPr>
              <w:t>2014</w:t>
            </w:r>
          </w:p>
        </w:tc>
      </w:tr>
      <w:tr w:rsidR="000B4E3E" w14:paraId="73E2C181" w14:textId="77777777" w:rsidTr="00DF6B02">
        <w:tc>
          <w:tcPr>
            <w:tcW w:w="3082" w:type="dxa"/>
            <w:tcBorders>
              <w:top w:val="nil"/>
              <w:left w:val="nil"/>
              <w:bottom w:val="nil"/>
              <w:right w:val="nil"/>
            </w:tcBorders>
          </w:tcPr>
          <w:p w14:paraId="1FAA010C" w14:textId="527604C6" w:rsidR="000B4E3E" w:rsidRPr="000B4E3E" w:rsidRDefault="000B4E3E" w:rsidP="000B4E3E">
            <w:pPr>
              <w:rPr>
                <w:color w:val="000000"/>
              </w:rPr>
            </w:pPr>
            <w:r w:rsidRPr="000B4E3E">
              <w:rPr>
                <w:color w:val="000000"/>
              </w:rPr>
              <w:t>Inflation Rate</w:t>
            </w:r>
          </w:p>
        </w:tc>
        <w:tc>
          <w:tcPr>
            <w:tcW w:w="3080" w:type="dxa"/>
            <w:gridSpan w:val="2"/>
            <w:tcBorders>
              <w:top w:val="nil"/>
              <w:left w:val="nil"/>
              <w:bottom w:val="nil"/>
              <w:right w:val="nil"/>
            </w:tcBorders>
            <w:shd w:val="clear" w:color="auto" w:fill="F5EDC1" w:themeFill="accent4"/>
          </w:tcPr>
          <w:p w14:paraId="57F6DF28" w14:textId="14A2035D" w:rsidR="000B4E3E" w:rsidRPr="000B4E3E" w:rsidRDefault="000B4E3E" w:rsidP="00DF6B02">
            <w:pPr>
              <w:jc w:val="right"/>
              <w:rPr>
                <w:color w:val="000000"/>
              </w:rPr>
            </w:pPr>
            <w:r>
              <w:rPr>
                <w:color w:val="000000"/>
              </w:rPr>
              <w:t>3.75% for 2016 and later</w:t>
            </w:r>
          </w:p>
        </w:tc>
        <w:tc>
          <w:tcPr>
            <w:tcW w:w="3080" w:type="dxa"/>
            <w:gridSpan w:val="3"/>
            <w:tcBorders>
              <w:top w:val="nil"/>
              <w:left w:val="nil"/>
              <w:bottom w:val="nil"/>
              <w:right w:val="nil"/>
            </w:tcBorders>
            <w:shd w:val="clear" w:color="auto" w:fill="D4E2E0" w:themeFill="accent5"/>
          </w:tcPr>
          <w:p w14:paraId="34DBEB68" w14:textId="2667BBB0" w:rsidR="000B4E3E" w:rsidRPr="000B4E3E" w:rsidRDefault="000B4E3E" w:rsidP="00DF6B02">
            <w:pPr>
              <w:jc w:val="right"/>
              <w:rPr>
                <w:color w:val="000000"/>
              </w:rPr>
            </w:pPr>
            <w:r>
              <w:rPr>
                <w:color w:val="000000"/>
              </w:rPr>
              <w:t>4.50% for 2015 and later</w:t>
            </w:r>
          </w:p>
        </w:tc>
      </w:tr>
      <w:tr w:rsidR="000B4E3E" w14:paraId="403499EF" w14:textId="77777777" w:rsidTr="00DF6B02">
        <w:tc>
          <w:tcPr>
            <w:tcW w:w="3082" w:type="dxa"/>
            <w:tcBorders>
              <w:top w:val="nil"/>
              <w:left w:val="nil"/>
              <w:bottom w:val="nil"/>
              <w:right w:val="nil"/>
            </w:tcBorders>
          </w:tcPr>
          <w:p w14:paraId="1593290F" w14:textId="35A74465" w:rsidR="000B4E3E" w:rsidRPr="000B4E3E" w:rsidRDefault="000B4E3E" w:rsidP="000B4E3E">
            <w:pPr>
              <w:rPr>
                <w:color w:val="000000"/>
              </w:rPr>
            </w:pPr>
            <w:r w:rsidRPr="000B4E3E">
              <w:rPr>
                <w:color w:val="000000"/>
              </w:rPr>
              <w:t>Discount Rate</w:t>
            </w:r>
          </w:p>
        </w:tc>
        <w:tc>
          <w:tcPr>
            <w:tcW w:w="1559" w:type="dxa"/>
            <w:tcBorders>
              <w:top w:val="nil"/>
              <w:left w:val="nil"/>
              <w:bottom w:val="nil"/>
              <w:right w:val="nil"/>
            </w:tcBorders>
            <w:shd w:val="clear" w:color="auto" w:fill="F5EDC1" w:themeFill="accent4"/>
          </w:tcPr>
          <w:p w14:paraId="499AEDCE" w14:textId="6CF7A570" w:rsidR="000B4E3E" w:rsidRPr="000B4E3E" w:rsidRDefault="000B4E3E" w:rsidP="00DF6B02">
            <w:pPr>
              <w:jc w:val="right"/>
              <w:rPr>
                <w:color w:val="000000"/>
              </w:rPr>
            </w:pPr>
            <w:r w:rsidRPr="000B4E3E">
              <w:rPr>
                <w:color w:val="000000"/>
              </w:rPr>
              <w:t>2016</w:t>
            </w:r>
          </w:p>
        </w:tc>
        <w:tc>
          <w:tcPr>
            <w:tcW w:w="1558" w:type="dxa"/>
            <w:gridSpan w:val="2"/>
            <w:tcBorders>
              <w:top w:val="nil"/>
              <w:left w:val="nil"/>
              <w:bottom w:val="nil"/>
              <w:right w:val="nil"/>
            </w:tcBorders>
            <w:shd w:val="clear" w:color="auto" w:fill="F5EDC1" w:themeFill="accent4"/>
          </w:tcPr>
          <w:p w14:paraId="57A1CB01" w14:textId="7392B637" w:rsidR="000B4E3E" w:rsidRPr="000B4E3E" w:rsidRDefault="000B4E3E" w:rsidP="00DF6B02">
            <w:pPr>
              <w:jc w:val="right"/>
              <w:rPr>
                <w:color w:val="000000"/>
              </w:rPr>
            </w:pPr>
            <w:r>
              <w:rPr>
                <w:color w:val="000000"/>
              </w:rPr>
              <w:t>2.00%</w:t>
            </w:r>
          </w:p>
        </w:tc>
        <w:tc>
          <w:tcPr>
            <w:tcW w:w="1558" w:type="dxa"/>
            <w:tcBorders>
              <w:top w:val="nil"/>
              <w:left w:val="nil"/>
              <w:bottom w:val="nil"/>
              <w:right w:val="nil"/>
            </w:tcBorders>
            <w:shd w:val="clear" w:color="auto" w:fill="D4E2E0" w:themeFill="accent5"/>
          </w:tcPr>
          <w:p w14:paraId="74F5D707" w14:textId="5E6557D6" w:rsidR="000B4E3E" w:rsidRPr="000B4E3E" w:rsidRDefault="000B4E3E" w:rsidP="00DF6B02">
            <w:pPr>
              <w:jc w:val="right"/>
              <w:rPr>
                <w:color w:val="000000"/>
              </w:rPr>
            </w:pPr>
            <w:r>
              <w:rPr>
                <w:color w:val="000000"/>
              </w:rPr>
              <w:t>2015</w:t>
            </w:r>
          </w:p>
        </w:tc>
        <w:tc>
          <w:tcPr>
            <w:tcW w:w="1485" w:type="dxa"/>
            <w:tcBorders>
              <w:top w:val="nil"/>
              <w:left w:val="nil"/>
              <w:bottom w:val="nil"/>
              <w:right w:val="nil"/>
            </w:tcBorders>
            <w:shd w:val="clear" w:color="auto" w:fill="D4E2E0" w:themeFill="accent5"/>
          </w:tcPr>
          <w:p w14:paraId="16471671" w14:textId="70E79052" w:rsidR="000B4E3E" w:rsidRPr="000B4E3E" w:rsidRDefault="000B4E3E" w:rsidP="00DF6B02">
            <w:pPr>
              <w:jc w:val="right"/>
              <w:rPr>
                <w:color w:val="000000"/>
              </w:rPr>
            </w:pPr>
            <w:r>
              <w:rPr>
                <w:color w:val="000000"/>
              </w:rPr>
              <w:t>2.50%</w:t>
            </w:r>
          </w:p>
        </w:tc>
      </w:tr>
      <w:tr w:rsidR="000B4E3E" w14:paraId="090ADB30" w14:textId="77777777" w:rsidTr="00DF6B02">
        <w:tc>
          <w:tcPr>
            <w:tcW w:w="3082" w:type="dxa"/>
            <w:tcBorders>
              <w:top w:val="nil"/>
              <w:left w:val="nil"/>
              <w:bottom w:val="nil"/>
              <w:right w:val="nil"/>
            </w:tcBorders>
          </w:tcPr>
          <w:p w14:paraId="7B072C8A" w14:textId="6AA14535"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5D44A64A" w14:textId="47E8F6C5" w:rsidR="000B4E3E" w:rsidRPr="000B4E3E" w:rsidRDefault="000B4E3E" w:rsidP="00DF6B02">
            <w:pPr>
              <w:jc w:val="right"/>
              <w:rPr>
                <w:color w:val="000000"/>
              </w:rPr>
            </w:pPr>
            <w:r>
              <w:rPr>
                <w:color w:val="000000"/>
              </w:rPr>
              <w:t>2017</w:t>
            </w:r>
          </w:p>
        </w:tc>
        <w:tc>
          <w:tcPr>
            <w:tcW w:w="1558" w:type="dxa"/>
            <w:gridSpan w:val="2"/>
            <w:tcBorders>
              <w:top w:val="nil"/>
              <w:left w:val="nil"/>
              <w:bottom w:val="nil"/>
              <w:right w:val="nil"/>
            </w:tcBorders>
            <w:shd w:val="clear" w:color="auto" w:fill="F5EDC1" w:themeFill="accent4"/>
          </w:tcPr>
          <w:p w14:paraId="2DAC3DF9" w14:textId="4F4FB3D0" w:rsidR="000B4E3E" w:rsidRDefault="000B4E3E" w:rsidP="00DF6B02">
            <w:pPr>
              <w:jc w:val="right"/>
              <w:rPr>
                <w:color w:val="000000"/>
              </w:rPr>
            </w:pPr>
            <w:r>
              <w:rPr>
                <w:color w:val="000000"/>
              </w:rPr>
              <w:t>2.00%</w:t>
            </w:r>
          </w:p>
        </w:tc>
        <w:tc>
          <w:tcPr>
            <w:tcW w:w="1558" w:type="dxa"/>
            <w:tcBorders>
              <w:top w:val="nil"/>
              <w:left w:val="nil"/>
              <w:bottom w:val="nil"/>
              <w:right w:val="nil"/>
            </w:tcBorders>
            <w:shd w:val="clear" w:color="auto" w:fill="D4E2E0" w:themeFill="accent5"/>
          </w:tcPr>
          <w:p w14:paraId="43D2522C" w14:textId="3FB22102" w:rsidR="000B4E3E" w:rsidRDefault="000B4E3E" w:rsidP="00DF6B02">
            <w:pPr>
              <w:jc w:val="right"/>
              <w:rPr>
                <w:color w:val="000000"/>
              </w:rPr>
            </w:pPr>
            <w:r>
              <w:rPr>
                <w:color w:val="000000"/>
              </w:rPr>
              <w:t>2016</w:t>
            </w:r>
          </w:p>
        </w:tc>
        <w:tc>
          <w:tcPr>
            <w:tcW w:w="1485" w:type="dxa"/>
            <w:tcBorders>
              <w:top w:val="nil"/>
              <w:left w:val="nil"/>
              <w:bottom w:val="nil"/>
              <w:right w:val="nil"/>
            </w:tcBorders>
            <w:shd w:val="clear" w:color="auto" w:fill="D4E2E0" w:themeFill="accent5"/>
          </w:tcPr>
          <w:p w14:paraId="76A73E38" w14:textId="2FA91987" w:rsidR="000B4E3E" w:rsidRDefault="000B4E3E" w:rsidP="00DF6B02">
            <w:pPr>
              <w:jc w:val="right"/>
              <w:rPr>
                <w:color w:val="000000"/>
              </w:rPr>
            </w:pPr>
            <w:r>
              <w:rPr>
                <w:color w:val="000000"/>
              </w:rPr>
              <w:t>2.60%</w:t>
            </w:r>
          </w:p>
        </w:tc>
      </w:tr>
      <w:tr w:rsidR="000B4E3E" w14:paraId="432F99CB" w14:textId="77777777" w:rsidTr="00DF6B02">
        <w:tc>
          <w:tcPr>
            <w:tcW w:w="3082" w:type="dxa"/>
            <w:tcBorders>
              <w:top w:val="nil"/>
              <w:left w:val="nil"/>
              <w:bottom w:val="nil"/>
              <w:right w:val="nil"/>
            </w:tcBorders>
          </w:tcPr>
          <w:p w14:paraId="59B5BCB5"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2C15539B" w14:textId="142BE23B" w:rsidR="000B4E3E" w:rsidRDefault="000B4E3E" w:rsidP="00DF6B02">
            <w:pPr>
              <w:jc w:val="right"/>
              <w:rPr>
                <w:color w:val="000000"/>
              </w:rPr>
            </w:pPr>
            <w:r>
              <w:rPr>
                <w:color w:val="000000"/>
              </w:rPr>
              <w:t>2018</w:t>
            </w:r>
          </w:p>
        </w:tc>
        <w:tc>
          <w:tcPr>
            <w:tcW w:w="1558" w:type="dxa"/>
            <w:gridSpan w:val="2"/>
            <w:tcBorders>
              <w:top w:val="nil"/>
              <w:left w:val="nil"/>
              <w:bottom w:val="nil"/>
              <w:right w:val="nil"/>
            </w:tcBorders>
            <w:shd w:val="clear" w:color="auto" w:fill="F5EDC1" w:themeFill="accent4"/>
          </w:tcPr>
          <w:p w14:paraId="493531B5" w14:textId="7292B0F8" w:rsidR="000B4E3E" w:rsidRDefault="000B4E3E" w:rsidP="00DF6B02">
            <w:pPr>
              <w:jc w:val="right"/>
              <w:rPr>
                <w:color w:val="000000"/>
              </w:rPr>
            </w:pPr>
            <w:r>
              <w:rPr>
                <w:color w:val="000000"/>
              </w:rPr>
              <w:t>2.20%</w:t>
            </w:r>
          </w:p>
        </w:tc>
        <w:tc>
          <w:tcPr>
            <w:tcW w:w="1558" w:type="dxa"/>
            <w:tcBorders>
              <w:top w:val="nil"/>
              <w:left w:val="nil"/>
              <w:bottom w:val="nil"/>
              <w:right w:val="nil"/>
            </w:tcBorders>
            <w:shd w:val="clear" w:color="auto" w:fill="D4E2E0" w:themeFill="accent5"/>
          </w:tcPr>
          <w:p w14:paraId="18C0C2C6" w14:textId="009C1B80" w:rsidR="000B4E3E" w:rsidRDefault="000B4E3E" w:rsidP="00DF6B02">
            <w:pPr>
              <w:jc w:val="right"/>
              <w:rPr>
                <w:color w:val="000000"/>
              </w:rPr>
            </w:pPr>
            <w:r>
              <w:rPr>
                <w:color w:val="000000"/>
              </w:rPr>
              <w:t>2017</w:t>
            </w:r>
          </w:p>
        </w:tc>
        <w:tc>
          <w:tcPr>
            <w:tcW w:w="1485" w:type="dxa"/>
            <w:tcBorders>
              <w:top w:val="nil"/>
              <w:left w:val="nil"/>
              <w:bottom w:val="nil"/>
              <w:right w:val="nil"/>
            </w:tcBorders>
            <w:shd w:val="clear" w:color="auto" w:fill="D4E2E0" w:themeFill="accent5"/>
          </w:tcPr>
          <w:p w14:paraId="35FCED7D" w14:textId="7FD7A549" w:rsidR="000B4E3E" w:rsidRDefault="000B4E3E" w:rsidP="00DF6B02">
            <w:pPr>
              <w:jc w:val="right"/>
              <w:rPr>
                <w:color w:val="000000"/>
              </w:rPr>
            </w:pPr>
            <w:r>
              <w:rPr>
                <w:color w:val="000000"/>
              </w:rPr>
              <w:t>3.00%</w:t>
            </w:r>
          </w:p>
        </w:tc>
      </w:tr>
      <w:tr w:rsidR="000B4E3E" w14:paraId="20D7895C" w14:textId="77777777" w:rsidTr="00DF6B02">
        <w:tc>
          <w:tcPr>
            <w:tcW w:w="3082" w:type="dxa"/>
            <w:tcBorders>
              <w:top w:val="nil"/>
              <w:left w:val="nil"/>
              <w:bottom w:val="nil"/>
              <w:right w:val="nil"/>
            </w:tcBorders>
          </w:tcPr>
          <w:p w14:paraId="0DAFC744"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2B7C2165" w14:textId="07BD53CF" w:rsidR="000B4E3E" w:rsidRDefault="000B4E3E" w:rsidP="00DF6B02">
            <w:pPr>
              <w:jc w:val="right"/>
              <w:rPr>
                <w:color w:val="000000"/>
              </w:rPr>
            </w:pPr>
            <w:r>
              <w:rPr>
                <w:color w:val="000000"/>
              </w:rPr>
              <w:t>2019</w:t>
            </w:r>
          </w:p>
        </w:tc>
        <w:tc>
          <w:tcPr>
            <w:tcW w:w="1558" w:type="dxa"/>
            <w:gridSpan w:val="2"/>
            <w:tcBorders>
              <w:top w:val="nil"/>
              <w:left w:val="nil"/>
              <w:bottom w:val="nil"/>
              <w:right w:val="nil"/>
            </w:tcBorders>
            <w:shd w:val="clear" w:color="auto" w:fill="F5EDC1" w:themeFill="accent4"/>
          </w:tcPr>
          <w:p w14:paraId="5419E12E" w14:textId="0544E752" w:rsidR="000B4E3E" w:rsidRDefault="000B4E3E" w:rsidP="00DF6B02">
            <w:pPr>
              <w:jc w:val="right"/>
              <w:rPr>
                <w:color w:val="000000"/>
              </w:rPr>
            </w:pPr>
            <w:r>
              <w:rPr>
                <w:color w:val="000000"/>
              </w:rPr>
              <w:t>2.60%</w:t>
            </w:r>
          </w:p>
        </w:tc>
        <w:tc>
          <w:tcPr>
            <w:tcW w:w="1558" w:type="dxa"/>
            <w:tcBorders>
              <w:top w:val="nil"/>
              <w:left w:val="nil"/>
              <w:bottom w:val="nil"/>
              <w:right w:val="nil"/>
            </w:tcBorders>
            <w:shd w:val="clear" w:color="auto" w:fill="D4E2E0" w:themeFill="accent5"/>
          </w:tcPr>
          <w:p w14:paraId="7FE0721B" w14:textId="7E61C7C2" w:rsidR="000B4E3E" w:rsidRDefault="000B4E3E" w:rsidP="00DF6B02">
            <w:pPr>
              <w:jc w:val="right"/>
              <w:rPr>
                <w:color w:val="000000"/>
              </w:rPr>
            </w:pPr>
            <w:r>
              <w:rPr>
                <w:color w:val="000000"/>
              </w:rPr>
              <w:t>2018</w:t>
            </w:r>
          </w:p>
        </w:tc>
        <w:tc>
          <w:tcPr>
            <w:tcW w:w="1485" w:type="dxa"/>
            <w:tcBorders>
              <w:top w:val="nil"/>
              <w:left w:val="nil"/>
              <w:bottom w:val="nil"/>
              <w:right w:val="nil"/>
            </w:tcBorders>
            <w:shd w:val="clear" w:color="auto" w:fill="D4E2E0" w:themeFill="accent5"/>
          </w:tcPr>
          <w:p w14:paraId="60867230" w14:textId="08394EFF" w:rsidR="000B4E3E" w:rsidRDefault="000B4E3E" w:rsidP="00DF6B02">
            <w:pPr>
              <w:jc w:val="right"/>
              <w:rPr>
                <w:color w:val="000000"/>
              </w:rPr>
            </w:pPr>
            <w:r>
              <w:rPr>
                <w:color w:val="000000"/>
              </w:rPr>
              <w:t>3.40%</w:t>
            </w:r>
          </w:p>
        </w:tc>
      </w:tr>
      <w:tr w:rsidR="000B4E3E" w14:paraId="73E67E9B" w14:textId="77777777" w:rsidTr="00DF6B02">
        <w:tc>
          <w:tcPr>
            <w:tcW w:w="3082" w:type="dxa"/>
            <w:tcBorders>
              <w:top w:val="nil"/>
              <w:left w:val="nil"/>
              <w:bottom w:val="nil"/>
              <w:right w:val="nil"/>
            </w:tcBorders>
          </w:tcPr>
          <w:p w14:paraId="406EFFE5"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7D5BCFC0" w14:textId="6C93E589" w:rsidR="000B4E3E" w:rsidRDefault="000B4E3E" w:rsidP="00DF6B02">
            <w:pPr>
              <w:jc w:val="right"/>
              <w:rPr>
                <w:color w:val="000000"/>
              </w:rPr>
            </w:pPr>
            <w:r>
              <w:rPr>
                <w:color w:val="000000"/>
              </w:rPr>
              <w:t>2020</w:t>
            </w:r>
          </w:p>
        </w:tc>
        <w:tc>
          <w:tcPr>
            <w:tcW w:w="1558" w:type="dxa"/>
            <w:gridSpan w:val="2"/>
            <w:tcBorders>
              <w:top w:val="nil"/>
              <w:left w:val="nil"/>
              <w:bottom w:val="nil"/>
              <w:right w:val="nil"/>
            </w:tcBorders>
            <w:shd w:val="clear" w:color="auto" w:fill="F5EDC1" w:themeFill="accent4"/>
          </w:tcPr>
          <w:p w14:paraId="463DF79B" w14:textId="00D9A1E6" w:rsidR="000B4E3E" w:rsidRDefault="000B4E3E" w:rsidP="00DF6B02">
            <w:pPr>
              <w:jc w:val="right"/>
              <w:rPr>
                <w:color w:val="000000"/>
              </w:rPr>
            </w:pPr>
            <w:r>
              <w:rPr>
                <w:color w:val="000000"/>
              </w:rPr>
              <w:t>3.10%</w:t>
            </w:r>
          </w:p>
        </w:tc>
        <w:tc>
          <w:tcPr>
            <w:tcW w:w="1558" w:type="dxa"/>
            <w:tcBorders>
              <w:top w:val="nil"/>
              <w:left w:val="nil"/>
              <w:bottom w:val="nil"/>
              <w:right w:val="nil"/>
            </w:tcBorders>
            <w:shd w:val="clear" w:color="auto" w:fill="D4E2E0" w:themeFill="accent5"/>
          </w:tcPr>
          <w:p w14:paraId="5250BCB7" w14:textId="1998474F" w:rsidR="000B4E3E" w:rsidRDefault="000B4E3E" w:rsidP="00DF6B02">
            <w:pPr>
              <w:jc w:val="right"/>
              <w:rPr>
                <w:color w:val="000000"/>
              </w:rPr>
            </w:pPr>
            <w:r>
              <w:rPr>
                <w:color w:val="000000"/>
              </w:rPr>
              <w:t>2019</w:t>
            </w:r>
          </w:p>
        </w:tc>
        <w:tc>
          <w:tcPr>
            <w:tcW w:w="1485" w:type="dxa"/>
            <w:tcBorders>
              <w:top w:val="nil"/>
              <w:left w:val="nil"/>
              <w:bottom w:val="nil"/>
              <w:right w:val="nil"/>
            </w:tcBorders>
            <w:shd w:val="clear" w:color="auto" w:fill="D4E2E0" w:themeFill="accent5"/>
          </w:tcPr>
          <w:p w14:paraId="7E64964A" w14:textId="1FE87F79" w:rsidR="000B4E3E" w:rsidRDefault="007C401D" w:rsidP="00DF6B02">
            <w:pPr>
              <w:jc w:val="right"/>
              <w:rPr>
                <w:color w:val="000000"/>
              </w:rPr>
            </w:pPr>
            <w:r>
              <w:rPr>
                <w:color w:val="000000"/>
              </w:rPr>
              <w:t>3.70%</w:t>
            </w:r>
          </w:p>
        </w:tc>
      </w:tr>
      <w:tr w:rsidR="000B4E3E" w14:paraId="7B6554B1" w14:textId="77777777" w:rsidTr="00DF6B02">
        <w:tc>
          <w:tcPr>
            <w:tcW w:w="3082" w:type="dxa"/>
            <w:tcBorders>
              <w:top w:val="nil"/>
              <w:left w:val="nil"/>
              <w:bottom w:val="nil"/>
              <w:right w:val="nil"/>
            </w:tcBorders>
          </w:tcPr>
          <w:p w14:paraId="58C86AEB"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1BBA9C21" w14:textId="796F0D84" w:rsidR="000B4E3E" w:rsidRDefault="000B4E3E" w:rsidP="00DF6B02">
            <w:pPr>
              <w:jc w:val="right"/>
              <w:rPr>
                <w:color w:val="000000"/>
              </w:rPr>
            </w:pPr>
            <w:r>
              <w:rPr>
                <w:color w:val="000000"/>
              </w:rPr>
              <w:t>2021</w:t>
            </w:r>
          </w:p>
        </w:tc>
        <w:tc>
          <w:tcPr>
            <w:tcW w:w="1558" w:type="dxa"/>
            <w:gridSpan w:val="2"/>
            <w:tcBorders>
              <w:top w:val="nil"/>
              <w:left w:val="nil"/>
              <w:bottom w:val="nil"/>
              <w:right w:val="nil"/>
            </w:tcBorders>
            <w:shd w:val="clear" w:color="auto" w:fill="F5EDC1" w:themeFill="accent4"/>
          </w:tcPr>
          <w:p w14:paraId="610460E6" w14:textId="34667B50" w:rsidR="000B4E3E" w:rsidRDefault="000B4E3E" w:rsidP="00DF6B02">
            <w:pPr>
              <w:jc w:val="right"/>
              <w:rPr>
                <w:color w:val="000000"/>
              </w:rPr>
            </w:pPr>
            <w:r>
              <w:rPr>
                <w:color w:val="000000"/>
              </w:rPr>
              <w:t>3.60%</w:t>
            </w:r>
          </w:p>
        </w:tc>
        <w:tc>
          <w:tcPr>
            <w:tcW w:w="1558" w:type="dxa"/>
            <w:tcBorders>
              <w:top w:val="nil"/>
              <w:left w:val="nil"/>
              <w:bottom w:val="nil"/>
              <w:right w:val="nil"/>
            </w:tcBorders>
            <w:shd w:val="clear" w:color="auto" w:fill="D4E2E0" w:themeFill="accent5"/>
          </w:tcPr>
          <w:p w14:paraId="00063944" w14:textId="01F45DCC" w:rsidR="000B4E3E" w:rsidRDefault="000B4E3E" w:rsidP="00DF6B02">
            <w:pPr>
              <w:jc w:val="right"/>
              <w:rPr>
                <w:color w:val="000000"/>
              </w:rPr>
            </w:pPr>
            <w:r>
              <w:rPr>
                <w:color w:val="000000"/>
              </w:rPr>
              <w:t>2020</w:t>
            </w:r>
          </w:p>
        </w:tc>
        <w:tc>
          <w:tcPr>
            <w:tcW w:w="1485" w:type="dxa"/>
            <w:tcBorders>
              <w:top w:val="nil"/>
              <w:left w:val="nil"/>
              <w:bottom w:val="nil"/>
              <w:right w:val="nil"/>
            </w:tcBorders>
            <w:shd w:val="clear" w:color="auto" w:fill="D4E2E0" w:themeFill="accent5"/>
          </w:tcPr>
          <w:p w14:paraId="09CF93CA" w14:textId="356EFA3B" w:rsidR="000B4E3E" w:rsidRDefault="007C401D" w:rsidP="00DF6B02">
            <w:pPr>
              <w:jc w:val="right"/>
              <w:rPr>
                <w:color w:val="000000"/>
              </w:rPr>
            </w:pPr>
            <w:r>
              <w:rPr>
                <w:color w:val="000000"/>
              </w:rPr>
              <w:t>4.00%</w:t>
            </w:r>
          </w:p>
        </w:tc>
      </w:tr>
      <w:tr w:rsidR="000B4E3E" w14:paraId="5F52E843" w14:textId="77777777" w:rsidTr="00DF6B02">
        <w:tc>
          <w:tcPr>
            <w:tcW w:w="3082" w:type="dxa"/>
            <w:tcBorders>
              <w:top w:val="nil"/>
              <w:left w:val="nil"/>
              <w:bottom w:val="nil"/>
              <w:right w:val="nil"/>
            </w:tcBorders>
          </w:tcPr>
          <w:p w14:paraId="54A1DC02"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60822DD6" w14:textId="0AA52D15" w:rsidR="000B4E3E" w:rsidRDefault="000B4E3E" w:rsidP="00DF6B02">
            <w:pPr>
              <w:jc w:val="right"/>
              <w:rPr>
                <w:color w:val="000000"/>
              </w:rPr>
            </w:pPr>
            <w:r>
              <w:rPr>
                <w:color w:val="000000"/>
              </w:rPr>
              <w:t>2022</w:t>
            </w:r>
          </w:p>
        </w:tc>
        <w:tc>
          <w:tcPr>
            <w:tcW w:w="1558" w:type="dxa"/>
            <w:gridSpan w:val="2"/>
            <w:tcBorders>
              <w:top w:val="nil"/>
              <w:left w:val="nil"/>
              <w:bottom w:val="nil"/>
              <w:right w:val="nil"/>
            </w:tcBorders>
            <w:shd w:val="clear" w:color="auto" w:fill="F5EDC1" w:themeFill="accent4"/>
          </w:tcPr>
          <w:p w14:paraId="7D256745" w14:textId="7DBF30D4" w:rsidR="000B4E3E" w:rsidRDefault="000B4E3E" w:rsidP="00DF6B02">
            <w:pPr>
              <w:jc w:val="right"/>
              <w:rPr>
                <w:color w:val="000000"/>
              </w:rPr>
            </w:pPr>
            <w:r>
              <w:rPr>
                <w:color w:val="000000"/>
              </w:rPr>
              <w:t>3.80%</w:t>
            </w:r>
          </w:p>
        </w:tc>
        <w:tc>
          <w:tcPr>
            <w:tcW w:w="1558" w:type="dxa"/>
            <w:tcBorders>
              <w:top w:val="nil"/>
              <w:left w:val="nil"/>
              <w:bottom w:val="nil"/>
              <w:right w:val="nil"/>
            </w:tcBorders>
            <w:shd w:val="clear" w:color="auto" w:fill="D4E2E0" w:themeFill="accent5"/>
          </w:tcPr>
          <w:p w14:paraId="1EF7BDED" w14:textId="16BF0226" w:rsidR="000B4E3E" w:rsidRDefault="000B4E3E" w:rsidP="00DF6B02">
            <w:pPr>
              <w:jc w:val="right"/>
              <w:rPr>
                <w:color w:val="000000"/>
              </w:rPr>
            </w:pPr>
            <w:r>
              <w:rPr>
                <w:color w:val="000000"/>
              </w:rPr>
              <w:t>2021</w:t>
            </w:r>
          </w:p>
        </w:tc>
        <w:tc>
          <w:tcPr>
            <w:tcW w:w="1485" w:type="dxa"/>
            <w:tcBorders>
              <w:top w:val="nil"/>
              <w:left w:val="nil"/>
              <w:bottom w:val="nil"/>
              <w:right w:val="nil"/>
            </w:tcBorders>
            <w:shd w:val="clear" w:color="auto" w:fill="D4E2E0" w:themeFill="accent5"/>
          </w:tcPr>
          <w:p w14:paraId="213DEA51" w14:textId="7D8288E4" w:rsidR="000B4E3E" w:rsidRDefault="007C401D" w:rsidP="00DF6B02">
            <w:pPr>
              <w:jc w:val="right"/>
              <w:rPr>
                <w:color w:val="000000"/>
              </w:rPr>
            </w:pPr>
            <w:r>
              <w:rPr>
                <w:color w:val="000000"/>
              </w:rPr>
              <w:t>4.20%</w:t>
            </w:r>
          </w:p>
        </w:tc>
      </w:tr>
      <w:tr w:rsidR="000B4E3E" w14:paraId="02B7AB7D" w14:textId="77777777" w:rsidTr="00DF6B02">
        <w:tc>
          <w:tcPr>
            <w:tcW w:w="3082" w:type="dxa"/>
            <w:tcBorders>
              <w:top w:val="nil"/>
              <w:left w:val="nil"/>
              <w:bottom w:val="nil"/>
              <w:right w:val="nil"/>
            </w:tcBorders>
          </w:tcPr>
          <w:p w14:paraId="327C089F"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5B63821E" w14:textId="5B3A98E6" w:rsidR="000B4E3E" w:rsidRDefault="000B4E3E" w:rsidP="00DF6B02">
            <w:pPr>
              <w:jc w:val="right"/>
              <w:rPr>
                <w:color w:val="000000"/>
              </w:rPr>
            </w:pPr>
            <w:r>
              <w:rPr>
                <w:color w:val="000000"/>
              </w:rPr>
              <w:t>2023</w:t>
            </w:r>
          </w:p>
        </w:tc>
        <w:tc>
          <w:tcPr>
            <w:tcW w:w="1558" w:type="dxa"/>
            <w:gridSpan w:val="2"/>
            <w:tcBorders>
              <w:top w:val="nil"/>
              <w:left w:val="nil"/>
              <w:bottom w:val="nil"/>
              <w:right w:val="nil"/>
            </w:tcBorders>
            <w:shd w:val="clear" w:color="auto" w:fill="F5EDC1" w:themeFill="accent4"/>
          </w:tcPr>
          <w:p w14:paraId="1383A83F" w14:textId="72089C20" w:rsidR="000B4E3E" w:rsidRDefault="000B4E3E" w:rsidP="00DF6B02">
            <w:pPr>
              <w:jc w:val="right"/>
              <w:rPr>
                <w:color w:val="000000"/>
              </w:rPr>
            </w:pPr>
            <w:r>
              <w:rPr>
                <w:color w:val="000000"/>
              </w:rPr>
              <w:t>3.90%</w:t>
            </w:r>
          </w:p>
        </w:tc>
        <w:tc>
          <w:tcPr>
            <w:tcW w:w="1558" w:type="dxa"/>
            <w:tcBorders>
              <w:top w:val="nil"/>
              <w:left w:val="nil"/>
              <w:bottom w:val="nil"/>
              <w:right w:val="nil"/>
            </w:tcBorders>
            <w:shd w:val="clear" w:color="auto" w:fill="D4E2E0" w:themeFill="accent5"/>
          </w:tcPr>
          <w:p w14:paraId="3CDA2937" w14:textId="38C237A3" w:rsidR="000B4E3E" w:rsidRDefault="000B4E3E" w:rsidP="00DF6B02">
            <w:pPr>
              <w:jc w:val="right"/>
              <w:rPr>
                <w:color w:val="000000"/>
              </w:rPr>
            </w:pPr>
            <w:r>
              <w:rPr>
                <w:color w:val="000000"/>
              </w:rPr>
              <w:t>2022</w:t>
            </w:r>
          </w:p>
        </w:tc>
        <w:tc>
          <w:tcPr>
            <w:tcW w:w="1485" w:type="dxa"/>
            <w:tcBorders>
              <w:top w:val="nil"/>
              <w:left w:val="nil"/>
              <w:bottom w:val="nil"/>
              <w:right w:val="nil"/>
            </w:tcBorders>
            <w:shd w:val="clear" w:color="auto" w:fill="D4E2E0" w:themeFill="accent5"/>
          </w:tcPr>
          <w:p w14:paraId="186C02E4" w14:textId="13CA7C68" w:rsidR="000B4E3E" w:rsidRDefault="007C401D" w:rsidP="00DF6B02">
            <w:pPr>
              <w:jc w:val="right"/>
              <w:rPr>
                <w:color w:val="000000"/>
              </w:rPr>
            </w:pPr>
            <w:r>
              <w:rPr>
                <w:color w:val="000000"/>
              </w:rPr>
              <w:t>4.30%</w:t>
            </w:r>
          </w:p>
        </w:tc>
      </w:tr>
      <w:tr w:rsidR="000B4E3E" w14:paraId="315C50A1" w14:textId="77777777" w:rsidTr="00DF6B02">
        <w:tc>
          <w:tcPr>
            <w:tcW w:w="3082" w:type="dxa"/>
            <w:tcBorders>
              <w:top w:val="nil"/>
              <w:left w:val="nil"/>
              <w:bottom w:val="nil"/>
              <w:right w:val="nil"/>
            </w:tcBorders>
          </w:tcPr>
          <w:p w14:paraId="274A3D5F"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66212ECA" w14:textId="3D8DF101" w:rsidR="000B4E3E" w:rsidRDefault="000B4E3E" w:rsidP="00DF6B02">
            <w:pPr>
              <w:jc w:val="right"/>
              <w:rPr>
                <w:color w:val="000000"/>
              </w:rPr>
            </w:pPr>
            <w:r>
              <w:rPr>
                <w:color w:val="000000"/>
              </w:rPr>
              <w:t>2024</w:t>
            </w:r>
          </w:p>
        </w:tc>
        <w:tc>
          <w:tcPr>
            <w:tcW w:w="1558" w:type="dxa"/>
            <w:gridSpan w:val="2"/>
            <w:tcBorders>
              <w:top w:val="nil"/>
              <w:left w:val="nil"/>
              <w:bottom w:val="nil"/>
              <w:right w:val="nil"/>
            </w:tcBorders>
            <w:shd w:val="clear" w:color="auto" w:fill="F5EDC1" w:themeFill="accent4"/>
          </w:tcPr>
          <w:p w14:paraId="220CEDF3" w14:textId="096375E7" w:rsidR="000B4E3E" w:rsidRDefault="000B4E3E" w:rsidP="00DF6B02">
            <w:pPr>
              <w:jc w:val="right"/>
              <w:rPr>
                <w:color w:val="000000"/>
              </w:rPr>
            </w:pPr>
            <w:r>
              <w:rPr>
                <w:color w:val="000000"/>
              </w:rPr>
              <w:t>4.00%</w:t>
            </w:r>
          </w:p>
        </w:tc>
        <w:tc>
          <w:tcPr>
            <w:tcW w:w="1558" w:type="dxa"/>
            <w:tcBorders>
              <w:top w:val="nil"/>
              <w:left w:val="nil"/>
              <w:bottom w:val="nil"/>
              <w:right w:val="nil"/>
            </w:tcBorders>
            <w:shd w:val="clear" w:color="auto" w:fill="D4E2E0" w:themeFill="accent5"/>
          </w:tcPr>
          <w:p w14:paraId="651152B3" w14:textId="0DDD2BCE" w:rsidR="000B4E3E" w:rsidRDefault="000B4E3E" w:rsidP="00DF6B02">
            <w:pPr>
              <w:jc w:val="right"/>
              <w:rPr>
                <w:color w:val="000000"/>
              </w:rPr>
            </w:pPr>
            <w:r>
              <w:rPr>
                <w:color w:val="000000"/>
              </w:rPr>
              <w:t>2023</w:t>
            </w:r>
          </w:p>
        </w:tc>
        <w:tc>
          <w:tcPr>
            <w:tcW w:w="1485" w:type="dxa"/>
            <w:tcBorders>
              <w:top w:val="nil"/>
              <w:left w:val="nil"/>
              <w:bottom w:val="nil"/>
              <w:right w:val="nil"/>
            </w:tcBorders>
            <w:shd w:val="clear" w:color="auto" w:fill="D4E2E0" w:themeFill="accent5"/>
          </w:tcPr>
          <w:p w14:paraId="649E8B8B" w14:textId="5A1352B5" w:rsidR="000B4E3E" w:rsidRDefault="007C401D" w:rsidP="00DF6B02">
            <w:pPr>
              <w:jc w:val="right"/>
              <w:rPr>
                <w:color w:val="000000"/>
              </w:rPr>
            </w:pPr>
            <w:r>
              <w:rPr>
                <w:color w:val="000000"/>
              </w:rPr>
              <w:t>4.40%</w:t>
            </w:r>
          </w:p>
        </w:tc>
      </w:tr>
      <w:tr w:rsidR="000B4E3E" w14:paraId="62E8911A" w14:textId="77777777" w:rsidTr="00DF6B02">
        <w:tc>
          <w:tcPr>
            <w:tcW w:w="3082" w:type="dxa"/>
            <w:tcBorders>
              <w:top w:val="nil"/>
              <w:left w:val="nil"/>
              <w:bottom w:val="nil"/>
              <w:right w:val="nil"/>
            </w:tcBorders>
          </w:tcPr>
          <w:p w14:paraId="3F14A25D"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15A59B76" w14:textId="0F137355" w:rsidR="000B4E3E" w:rsidRDefault="000B4E3E" w:rsidP="00DF6B02">
            <w:pPr>
              <w:jc w:val="right"/>
              <w:rPr>
                <w:color w:val="000000"/>
              </w:rPr>
            </w:pPr>
            <w:r>
              <w:rPr>
                <w:color w:val="000000"/>
              </w:rPr>
              <w:t>2025</w:t>
            </w:r>
          </w:p>
        </w:tc>
        <w:tc>
          <w:tcPr>
            <w:tcW w:w="1558" w:type="dxa"/>
            <w:gridSpan w:val="2"/>
            <w:tcBorders>
              <w:top w:val="nil"/>
              <w:left w:val="nil"/>
              <w:bottom w:val="nil"/>
              <w:right w:val="nil"/>
            </w:tcBorders>
            <w:shd w:val="clear" w:color="auto" w:fill="F5EDC1" w:themeFill="accent4"/>
          </w:tcPr>
          <w:p w14:paraId="0D49B0E6" w14:textId="783C3208" w:rsidR="000B4E3E" w:rsidRDefault="000B4E3E" w:rsidP="00DF6B02">
            <w:pPr>
              <w:jc w:val="right"/>
              <w:rPr>
                <w:color w:val="000000"/>
              </w:rPr>
            </w:pPr>
            <w:r>
              <w:rPr>
                <w:color w:val="000000"/>
              </w:rPr>
              <w:t>4.10%</w:t>
            </w:r>
          </w:p>
        </w:tc>
        <w:tc>
          <w:tcPr>
            <w:tcW w:w="1558" w:type="dxa"/>
            <w:tcBorders>
              <w:top w:val="nil"/>
              <w:left w:val="nil"/>
              <w:bottom w:val="nil"/>
              <w:right w:val="nil"/>
            </w:tcBorders>
            <w:shd w:val="clear" w:color="auto" w:fill="D4E2E0" w:themeFill="accent5"/>
          </w:tcPr>
          <w:p w14:paraId="5F140F6A" w14:textId="78E62B2A" w:rsidR="000B4E3E" w:rsidRDefault="000B4E3E" w:rsidP="00DF6B02">
            <w:pPr>
              <w:jc w:val="right"/>
              <w:rPr>
                <w:color w:val="000000"/>
              </w:rPr>
            </w:pPr>
            <w:r>
              <w:rPr>
                <w:color w:val="000000"/>
              </w:rPr>
              <w:t>2024</w:t>
            </w:r>
          </w:p>
        </w:tc>
        <w:tc>
          <w:tcPr>
            <w:tcW w:w="1485" w:type="dxa"/>
            <w:tcBorders>
              <w:top w:val="nil"/>
              <w:left w:val="nil"/>
              <w:bottom w:val="nil"/>
              <w:right w:val="nil"/>
            </w:tcBorders>
            <w:shd w:val="clear" w:color="auto" w:fill="D4E2E0" w:themeFill="accent5"/>
          </w:tcPr>
          <w:p w14:paraId="1FA047A0" w14:textId="3258DB0C" w:rsidR="000B4E3E" w:rsidRDefault="007C401D" w:rsidP="00DF6B02">
            <w:pPr>
              <w:jc w:val="right"/>
              <w:rPr>
                <w:color w:val="000000"/>
              </w:rPr>
            </w:pPr>
            <w:r>
              <w:rPr>
                <w:color w:val="000000"/>
              </w:rPr>
              <w:t>4.50%</w:t>
            </w:r>
          </w:p>
        </w:tc>
      </w:tr>
      <w:tr w:rsidR="000B4E3E" w14:paraId="55BD519B" w14:textId="77777777" w:rsidTr="00DF6B02">
        <w:tc>
          <w:tcPr>
            <w:tcW w:w="3082" w:type="dxa"/>
            <w:tcBorders>
              <w:top w:val="nil"/>
              <w:left w:val="nil"/>
              <w:bottom w:val="nil"/>
              <w:right w:val="nil"/>
            </w:tcBorders>
          </w:tcPr>
          <w:p w14:paraId="00D4EC8A"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03831A3E" w14:textId="5AF077B5" w:rsidR="000B4E3E" w:rsidRDefault="000B4E3E" w:rsidP="00DF6B02">
            <w:pPr>
              <w:jc w:val="right"/>
              <w:rPr>
                <w:color w:val="000000"/>
              </w:rPr>
            </w:pPr>
            <w:r>
              <w:rPr>
                <w:color w:val="000000"/>
              </w:rPr>
              <w:t>2026</w:t>
            </w:r>
          </w:p>
        </w:tc>
        <w:tc>
          <w:tcPr>
            <w:tcW w:w="1558" w:type="dxa"/>
            <w:gridSpan w:val="2"/>
            <w:tcBorders>
              <w:top w:val="nil"/>
              <w:left w:val="nil"/>
              <w:bottom w:val="nil"/>
              <w:right w:val="nil"/>
            </w:tcBorders>
            <w:shd w:val="clear" w:color="auto" w:fill="F5EDC1" w:themeFill="accent4"/>
          </w:tcPr>
          <w:p w14:paraId="5792612A" w14:textId="562D30C5" w:rsidR="000B4E3E" w:rsidRDefault="000B4E3E" w:rsidP="00DF6B02">
            <w:pPr>
              <w:jc w:val="right"/>
              <w:rPr>
                <w:color w:val="000000"/>
              </w:rPr>
            </w:pPr>
            <w:r>
              <w:rPr>
                <w:color w:val="000000"/>
              </w:rPr>
              <w:t>4.20%</w:t>
            </w:r>
          </w:p>
        </w:tc>
        <w:tc>
          <w:tcPr>
            <w:tcW w:w="1558" w:type="dxa"/>
            <w:tcBorders>
              <w:top w:val="nil"/>
              <w:left w:val="nil"/>
              <w:bottom w:val="nil"/>
              <w:right w:val="nil"/>
            </w:tcBorders>
            <w:shd w:val="clear" w:color="auto" w:fill="D4E2E0" w:themeFill="accent5"/>
          </w:tcPr>
          <w:p w14:paraId="25A666C8" w14:textId="3112E657" w:rsidR="000B4E3E" w:rsidRDefault="000B4E3E" w:rsidP="00DF6B02">
            <w:pPr>
              <w:jc w:val="right"/>
              <w:rPr>
                <w:color w:val="000000"/>
              </w:rPr>
            </w:pPr>
            <w:r>
              <w:rPr>
                <w:color w:val="000000"/>
              </w:rPr>
              <w:t>2025</w:t>
            </w:r>
          </w:p>
        </w:tc>
        <w:tc>
          <w:tcPr>
            <w:tcW w:w="1485" w:type="dxa"/>
            <w:tcBorders>
              <w:top w:val="nil"/>
              <w:left w:val="nil"/>
              <w:bottom w:val="nil"/>
              <w:right w:val="nil"/>
            </w:tcBorders>
            <w:shd w:val="clear" w:color="auto" w:fill="D4E2E0" w:themeFill="accent5"/>
          </w:tcPr>
          <w:p w14:paraId="7BC1D2B5" w14:textId="15D8276A" w:rsidR="000B4E3E" w:rsidRDefault="007C401D" w:rsidP="00DF6B02">
            <w:pPr>
              <w:jc w:val="right"/>
              <w:rPr>
                <w:color w:val="000000"/>
              </w:rPr>
            </w:pPr>
            <w:r>
              <w:rPr>
                <w:color w:val="000000"/>
              </w:rPr>
              <w:t>4.60%</w:t>
            </w:r>
          </w:p>
        </w:tc>
      </w:tr>
      <w:tr w:rsidR="000B4E3E" w14:paraId="6593850B" w14:textId="77777777" w:rsidTr="00DF6B02">
        <w:tc>
          <w:tcPr>
            <w:tcW w:w="3082" w:type="dxa"/>
            <w:tcBorders>
              <w:top w:val="nil"/>
              <w:left w:val="nil"/>
              <w:bottom w:val="nil"/>
              <w:right w:val="nil"/>
            </w:tcBorders>
          </w:tcPr>
          <w:p w14:paraId="3ECE634A"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0EC3D2AC" w14:textId="6763E690" w:rsidR="000B4E3E" w:rsidRDefault="000B4E3E" w:rsidP="00DF6B02">
            <w:pPr>
              <w:jc w:val="right"/>
              <w:rPr>
                <w:color w:val="000000"/>
              </w:rPr>
            </w:pPr>
            <w:r>
              <w:rPr>
                <w:color w:val="000000"/>
              </w:rPr>
              <w:t>2027</w:t>
            </w:r>
          </w:p>
        </w:tc>
        <w:tc>
          <w:tcPr>
            <w:tcW w:w="1558" w:type="dxa"/>
            <w:gridSpan w:val="2"/>
            <w:tcBorders>
              <w:top w:val="nil"/>
              <w:left w:val="nil"/>
              <w:bottom w:val="nil"/>
              <w:right w:val="nil"/>
            </w:tcBorders>
            <w:shd w:val="clear" w:color="auto" w:fill="F5EDC1" w:themeFill="accent4"/>
          </w:tcPr>
          <w:p w14:paraId="0975BA39" w14:textId="7E910DE8" w:rsidR="000B4E3E" w:rsidRDefault="000B4E3E" w:rsidP="00DF6B02">
            <w:pPr>
              <w:jc w:val="right"/>
              <w:rPr>
                <w:color w:val="000000"/>
              </w:rPr>
            </w:pPr>
            <w:r>
              <w:rPr>
                <w:color w:val="000000"/>
              </w:rPr>
              <w:t>4.30%</w:t>
            </w:r>
          </w:p>
        </w:tc>
        <w:tc>
          <w:tcPr>
            <w:tcW w:w="1558" w:type="dxa"/>
            <w:tcBorders>
              <w:top w:val="nil"/>
              <w:left w:val="nil"/>
              <w:bottom w:val="nil"/>
              <w:right w:val="nil"/>
            </w:tcBorders>
            <w:shd w:val="clear" w:color="auto" w:fill="D4E2E0" w:themeFill="accent5"/>
          </w:tcPr>
          <w:p w14:paraId="0475D6DB" w14:textId="3D1B69A7" w:rsidR="000B4E3E" w:rsidRDefault="000B4E3E" w:rsidP="00DF6B02">
            <w:pPr>
              <w:jc w:val="right"/>
              <w:rPr>
                <w:color w:val="000000"/>
              </w:rPr>
            </w:pPr>
            <w:r>
              <w:rPr>
                <w:color w:val="000000"/>
              </w:rPr>
              <w:t>2026</w:t>
            </w:r>
          </w:p>
        </w:tc>
        <w:tc>
          <w:tcPr>
            <w:tcW w:w="1485" w:type="dxa"/>
            <w:tcBorders>
              <w:top w:val="nil"/>
              <w:left w:val="nil"/>
              <w:bottom w:val="nil"/>
              <w:right w:val="nil"/>
            </w:tcBorders>
            <w:shd w:val="clear" w:color="auto" w:fill="D4E2E0" w:themeFill="accent5"/>
          </w:tcPr>
          <w:p w14:paraId="37C0413D" w14:textId="206CCEFF" w:rsidR="000B4E3E" w:rsidRDefault="007C401D" w:rsidP="00DF6B02">
            <w:pPr>
              <w:jc w:val="right"/>
              <w:rPr>
                <w:color w:val="000000"/>
              </w:rPr>
            </w:pPr>
            <w:r>
              <w:rPr>
                <w:color w:val="000000"/>
              </w:rPr>
              <w:t>4.70%</w:t>
            </w:r>
          </w:p>
        </w:tc>
      </w:tr>
      <w:tr w:rsidR="000B4E3E" w14:paraId="777D0EA7" w14:textId="77777777" w:rsidTr="00DF6B02">
        <w:tc>
          <w:tcPr>
            <w:tcW w:w="3082" w:type="dxa"/>
            <w:tcBorders>
              <w:top w:val="nil"/>
              <w:left w:val="nil"/>
              <w:bottom w:val="nil"/>
              <w:right w:val="nil"/>
            </w:tcBorders>
          </w:tcPr>
          <w:p w14:paraId="61F51407"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120E3F4A" w14:textId="13A814A2" w:rsidR="000B4E3E" w:rsidRDefault="000B4E3E" w:rsidP="00DF6B02">
            <w:pPr>
              <w:jc w:val="right"/>
              <w:rPr>
                <w:color w:val="000000"/>
              </w:rPr>
            </w:pPr>
            <w:r>
              <w:rPr>
                <w:color w:val="000000"/>
              </w:rPr>
              <w:t>2028</w:t>
            </w:r>
          </w:p>
        </w:tc>
        <w:tc>
          <w:tcPr>
            <w:tcW w:w="1558" w:type="dxa"/>
            <w:gridSpan w:val="2"/>
            <w:tcBorders>
              <w:top w:val="nil"/>
              <w:left w:val="nil"/>
              <w:bottom w:val="nil"/>
              <w:right w:val="nil"/>
            </w:tcBorders>
            <w:shd w:val="clear" w:color="auto" w:fill="F5EDC1" w:themeFill="accent4"/>
          </w:tcPr>
          <w:p w14:paraId="479EBF31" w14:textId="322C36FC" w:rsidR="000B4E3E" w:rsidRDefault="000B4E3E" w:rsidP="00DF6B02">
            <w:pPr>
              <w:jc w:val="right"/>
              <w:rPr>
                <w:color w:val="000000"/>
              </w:rPr>
            </w:pPr>
            <w:r>
              <w:rPr>
                <w:color w:val="000000"/>
              </w:rPr>
              <w:t>4.30%</w:t>
            </w:r>
          </w:p>
        </w:tc>
        <w:tc>
          <w:tcPr>
            <w:tcW w:w="1558" w:type="dxa"/>
            <w:tcBorders>
              <w:top w:val="nil"/>
              <w:left w:val="nil"/>
              <w:bottom w:val="nil"/>
              <w:right w:val="nil"/>
            </w:tcBorders>
            <w:shd w:val="clear" w:color="auto" w:fill="D4E2E0" w:themeFill="accent5"/>
          </w:tcPr>
          <w:p w14:paraId="30199551" w14:textId="5FB10189" w:rsidR="000B4E3E" w:rsidRDefault="000B4E3E" w:rsidP="00DF6B02">
            <w:pPr>
              <w:jc w:val="right"/>
              <w:rPr>
                <w:color w:val="000000"/>
              </w:rPr>
            </w:pPr>
            <w:r>
              <w:rPr>
                <w:color w:val="000000"/>
              </w:rPr>
              <w:t>2027</w:t>
            </w:r>
          </w:p>
        </w:tc>
        <w:tc>
          <w:tcPr>
            <w:tcW w:w="1485" w:type="dxa"/>
            <w:tcBorders>
              <w:top w:val="nil"/>
              <w:left w:val="nil"/>
              <w:bottom w:val="nil"/>
              <w:right w:val="nil"/>
            </w:tcBorders>
            <w:shd w:val="clear" w:color="auto" w:fill="D4E2E0" w:themeFill="accent5"/>
          </w:tcPr>
          <w:p w14:paraId="60820816" w14:textId="094DDD0A" w:rsidR="000B4E3E" w:rsidRDefault="007C401D" w:rsidP="00DF6B02">
            <w:pPr>
              <w:jc w:val="right"/>
              <w:rPr>
                <w:color w:val="000000"/>
              </w:rPr>
            </w:pPr>
            <w:r>
              <w:rPr>
                <w:color w:val="000000"/>
              </w:rPr>
              <w:t>4.80%</w:t>
            </w:r>
          </w:p>
        </w:tc>
      </w:tr>
      <w:tr w:rsidR="000B4E3E" w14:paraId="0145F08F" w14:textId="77777777" w:rsidTr="00DF6B02">
        <w:tc>
          <w:tcPr>
            <w:tcW w:w="3082" w:type="dxa"/>
            <w:tcBorders>
              <w:top w:val="nil"/>
              <w:left w:val="nil"/>
              <w:bottom w:val="nil"/>
              <w:right w:val="nil"/>
            </w:tcBorders>
          </w:tcPr>
          <w:p w14:paraId="387EAF2F"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6F136DB8" w14:textId="732A455C" w:rsidR="000B4E3E" w:rsidRDefault="000B4E3E" w:rsidP="00DF6B02">
            <w:pPr>
              <w:jc w:val="right"/>
              <w:rPr>
                <w:color w:val="000000"/>
              </w:rPr>
            </w:pPr>
            <w:r>
              <w:rPr>
                <w:color w:val="000000"/>
              </w:rPr>
              <w:t>2029</w:t>
            </w:r>
          </w:p>
        </w:tc>
        <w:tc>
          <w:tcPr>
            <w:tcW w:w="1558" w:type="dxa"/>
            <w:gridSpan w:val="2"/>
            <w:tcBorders>
              <w:top w:val="nil"/>
              <w:left w:val="nil"/>
              <w:bottom w:val="nil"/>
              <w:right w:val="nil"/>
            </w:tcBorders>
            <w:shd w:val="clear" w:color="auto" w:fill="F5EDC1" w:themeFill="accent4"/>
          </w:tcPr>
          <w:p w14:paraId="57652F44" w14:textId="37B3C918" w:rsidR="000B4E3E" w:rsidRDefault="000B4E3E" w:rsidP="00DF6B02">
            <w:pPr>
              <w:jc w:val="right"/>
              <w:rPr>
                <w:color w:val="000000"/>
              </w:rPr>
            </w:pPr>
            <w:r>
              <w:rPr>
                <w:color w:val="000000"/>
              </w:rPr>
              <w:t>4.40%</w:t>
            </w:r>
          </w:p>
        </w:tc>
        <w:tc>
          <w:tcPr>
            <w:tcW w:w="1558" w:type="dxa"/>
            <w:tcBorders>
              <w:top w:val="nil"/>
              <w:left w:val="nil"/>
              <w:bottom w:val="nil"/>
              <w:right w:val="nil"/>
            </w:tcBorders>
            <w:shd w:val="clear" w:color="auto" w:fill="D4E2E0" w:themeFill="accent5"/>
          </w:tcPr>
          <w:p w14:paraId="5FD33478" w14:textId="2494C4C1" w:rsidR="000B4E3E" w:rsidRDefault="000B4E3E" w:rsidP="00DF6B02">
            <w:pPr>
              <w:jc w:val="right"/>
              <w:rPr>
                <w:color w:val="000000"/>
              </w:rPr>
            </w:pPr>
            <w:r>
              <w:rPr>
                <w:color w:val="000000"/>
              </w:rPr>
              <w:t>2028</w:t>
            </w:r>
          </w:p>
        </w:tc>
        <w:tc>
          <w:tcPr>
            <w:tcW w:w="1485" w:type="dxa"/>
            <w:tcBorders>
              <w:top w:val="nil"/>
              <w:left w:val="nil"/>
              <w:bottom w:val="nil"/>
              <w:right w:val="nil"/>
            </w:tcBorders>
            <w:shd w:val="clear" w:color="auto" w:fill="D4E2E0" w:themeFill="accent5"/>
          </w:tcPr>
          <w:p w14:paraId="4490C798" w14:textId="0B25784A" w:rsidR="000B4E3E" w:rsidRDefault="007C401D" w:rsidP="00DF6B02">
            <w:pPr>
              <w:jc w:val="right"/>
              <w:rPr>
                <w:color w:val="000000"/>
              </w:rPr>
            </w:pPr>
            <w:r>
              <w:rPr>
                <w:color w:val="000000"/>
              </w:rPr>
              <w:t>4.90%</w:t>
            </w:r>
          </w:p>
        </w:tc>
      </w:tr>
      <w:tr w:rsidR="000B4E3E" w14:paraId="7672AA2C" w14:textId="77777777" w:rsidTr="00DF6B02">
        <w:tc>
          <w:tcPr>
            <w:tcW w:w="3082" w:type="dxa"/>
            <w:tcBorders>
              <w:top w:val="nil"/>
              <w:left w:val="nil"/>
              <w:bottom w:val="nil"/>
              <w:right w:val="nil"/>
            </w:tcBorders>
          </w:tcPr>
          <w:p w14:paraId="174BBA6A"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4F3B4428" w14:textId="27F74E20" w:rsidR="000B4E3E" w:rsidRDefault="000B4E3E" w:rsidP="00DF6B02">
            <w:pPr>
              <w:jc w:val="right"/>
              <w:rPr>
                <w:color w:val="000000"/>
              </w:rPr>
            </w:pPr>
            <w:r>
              <w:rPr>
                <w:color w:val="000000"/>
              </w:rPr>
              <w:t>2030</w:t>
            </w:r>
          </w:p>
        </w:tc>
        <w:tc>
          <w:tcPr>
            <w:tcW w:w="1558" w:type="dxa"/>
            <w:gridSpan w:val="2"/>
            <w:tcBorders>
              <w:top w:val="nil"/>
              <w:left w:val="nil"/>
              <w:bottom w:val="nil"/>
              <w:right w:val="nil"/>
            </w:tcBorders>
            <w:shd w:val="clear" w:color="auto" w:fill="F5EDC1" w:themeFill="accent4"/>
          </w:tcPr>
          <w:p w14:paraId="2FB28F98" w14:textId="557CE9EE" w:rsidR="000B4E3E" w:rsidRDefault="000B4E3E" w:rsidP="00DF6B02">
            <w:pPr>
              <w:jc w:val="right"/>
              <w:rPr>
                <w:color w:val="000000"/>
              </w:rPr>
            </w:pPr>
            <w:r>
              <w:rPr>
                <w:color w:val="000000"/>
              </w:rPr>
              <w:t>4.40%</w:t>
            </w:r>
          </w:p>
        </w:tc>
        <w:tc>
          <w:tcPr>
            <w:tcW w:w="1558" w:type="dxa"/>
            <w:tcBorders>
              <w:top w:val="nil"/>
              <w:left w:val="nil"/>
              <w:bottom w:val="nil"/>
              <w:right w:val="nil"/>
            </w:tcBorders>
            <w:shd w:val="clear" w:color="auto" w:fill="D4E2E0" w:themeFill="accent5"/>
          </w:tcPr>
          <w:p w14:paraId="703B849F" w14:textId="7A4CEDBC" w:rsidR="000B4E3E" w:rsidRDefault="000B4E3E" w:rsidP="00DF6B02">
            <w:pPr>
              <w:jc w:val="right"/>
              <w:rPr>
                <w:color w:val="000000"/>
              </w:rPr>
            </w:pPr>
            <w:r>
              <w:rPr>
                <w:color w:val="000000"/>
              </w:rPr>
              <w:t>2029</w:t>
            </w:r>
          </w:p>
        </w:tc>
        <w:tc>
          <w:tcPr>
            <w:tcW w:w="1485" w:type="dxa"/>
            <w:tcBorders>
              <w:top w:val="nil"/>
              <w:left w:val="nil"/>
              <w:bottom w:val="nil"/>
              <w:right w:val="nil"/>
            </w:tcBorders>
            <w:shd w:val="clear" w:color="auto" w:fill="D4E2E0" w:themeFill="accent5"/>
          </w:tcPr>
          <w:p w14:paraId="365BAFC3" w14:textId="37847671" w:rsidR="000B4E3E" w:rsidRDefault="007C401D" w:rsidP="00DF6B02">
            <w:pPr>
              <w:jc w:val="right"/>
              <w:rPr>
                <w:color w:val="000000"/>
              </w:rPr>
            </w:pPr>
            <w:r>
              <w:rPr>
                <w:color w:val="000000"/>
              </w:rPr>
              <w:t>5.00%</w:t>
            </w:r>
          </w:p>
        </w:tc>
      </w:tr>
      <w:tr w:rsidR="000B4E3E" w14:paraId="752FBF5E" w14:textId="77777777" w:rsidTr="00DF6B02">
        <w:tc>
          <w:tcPr>
            <w:tcW w:w="3082" w:type="dxa"/>
            <w:tcBorders>
              <w:top w:val="nil"/>
              <w:left w:val="nil"/>
              <w:bottom w:val="nil"/>
              <w:right w:val="nil"/>
            </w:tcBorders>
          </w:tcPr>
          <w:p w14:paraId="093682AC" w14:textId="77777777" w:rsidR="000B4E3E" w:rsidRPr="000B4E3E" w:rsidRDefault="000B4E3E" w:rsidP="000B4E3E">
            <w:pPr>
              <w:rPr>
                <w:color w:val="000000"/>
              </w:rPr>
            </w:pPr>
          </w:p>
        </w:tc>
        <w:tc>
          <w:tcPr>
            <w:tcW w:w="1559" w:type="dxa"/>
            <w:tcBorders>
              <w:top w:val="nil"/>
              <w:left w:val="nil"/>
              <w:bottom w:val="nil"/>
              <w:right w:val="nil"/>
            </w:tcBorders>
            <w:shd w:val="clear" w:color="auto" w:fill="F5EDC1" w:themeFill="accent4"/>
          </w:tcPr>
          <w:p w14:paraId="0B3FC0ED" w14:textId="43CD6E90" w:rsidR="000B4E3E" w:rsidRDefault="000B4E3E" w:rsidP="00DF6B02">
            <w:pPr>
              <w:jc w:val="right"/>
              <w:rPr>
                <w:color w:val="000000"/>
              </w:rPr>
            </w:pPr>
            <w:r>
              <w:rPr>
                <w:color w:val="000000"/>
              </w:rPr>
              <w:t>2031 onwards</w:t>
            </w:r>
          </w:p>
        </w:tc>
        <w:tc>
          <w:tcPr>
            <w:tcW w:w="1558" w:type="dxa"/>
            <w:gridSpan w:val="2"/>
            <w:tcBorders>
              <w:top w:val="nil"/>
              <w:left w:val="nil"/>
              <w:bottom w:val="nil"/>
              <w:right w:val="nil"/>
            </w:tcBorders>
            <w:shd w:val="clear" w:color="auto" w:fill="F5EDC1" w:themeFill="accent4"/>
          </w:tcPr>
          <w:p w14:paraId="27D8FFAB" w14:textId="3B175611" w:rsidR="000B4E3E" w:rsidRDefault="000B4E3E" w:rsidP="00DF6B02">
            <w:pPr>
              <w:jc w:val="right"/>
              <w:rPr>
                <w:color w:val="000000"/>
              </w:rPr>
            </w:pPr>
            <w:r>
              <w:rPr>
                <w:color w:val="000000"/>
              </w:rPr>
              <w:t>4.50%</w:t>
            </w:r>
          </w:p>
        </w:tc>
        <w:tc>
          <w:tcPr>
            <w:tcW w:w="1558" w:type="dxa"/>
            <w:tcBorders>
              <w:top w:val="nil"/>
              <w:left w:val="nil"/>
              <w:bottom w:val="nil"/>
              <w:right w:val="nil"/>
            </w:tcBorders>
            <w:shd w:val="clear" w:color="auto" w:fill="D4E2E0" w:themeFill="accent5"/>
          </w:tcPr>
          <w:p w14:paraId="4AD5061B" w14:textId="3B048559" w:rsidR="000B4E3E" w:rsidRDefault="000B4E3E" w:rsidP="00DF6B02">
            <w:pPr>
              <w:jc w:val="right"/>
              <w:rPr>
                <w:color w:val="000000"/>
              </w:rPr>
            </w:pPr>
            <w:r>
              <w:rPr>
                <w:color w:val="000000"/>
              </w:rPr>
              <w:t>2030 onwards</w:t>
            </w:r>
          </w:p>
        </w:tc>
        <w:tc>
          <w:tcPr>
            <w:tcW w:w="1485" w:type="dxa"/>
            <w:tcBorders>
              <w:top w:val="nil"/>
              <w:left w:val="nil"/>
              <w:bottom w:val="nil"/>
              <w:right w:val="nil"/>
            </w:tcBorders>
            <w:shd w:val="clear" w:color="auto" w:fill="D4E2E0" w:themeFill="accent5"/>
          </w:tcPr>
          <w:p w14:paraId="6958227B" w14:textId="6FC0926F" w:rsidR="000B4E3E" w:rsidRDefault="007C401D" w:rsidP="00DF6B02">
            <w:pPr>
              <w:jc w:val="right"/>
              <w:rPr>
                <w:color w:val="000000"/>
              </w:rPr>
            </w:pPr>
            <w:r>
              <w:rPr>
                <w:color w:val="000000"/>
              </w:rPr>
              <w:t>5.00%</w:t>
            </w:r>
          </w:p>
        </w:tc>
      </w:tr>
      <w:tr w:rsidR="000B4E3E" w:rsidRPr="000B4E3E" w14:paraId="5AA55925" w14:textId="77777777" w:rsidTr="00DF6B02">
        <w:tc>
          <w:tcPr>
            <w:tcW w:w="3082" w:type="dxa"/>
            <w:tcBorders>
              <w:top w:val="nil"/>
              <w:left w:val="nil"/>
              <w:bottom w:val="nil"/>
              <w:right w:val="nil"/>
            </w:tcBorders>
          </w:tcPr>
          <w:p w14:paraId="10D778F3" w14:textId="4C86F0E2" w:rsidR="000B4E3E" w:rsidRPr="000B4E3E" w:rsidRDefault="000B4E3E" w:rsidP="000B4E3E">
            <w:pPr>
              <w:rPr>
                <w:color w:val="000000"/>
              </w:rPr>
            </w:pPr>
            <w:r>
              <w:rPr>
                <w:color w:val="000000"/>
              </w:rPr>
              <w:t>Claims Management Expenses</w:t>
            </w:r>
          </w:p>
        </w:tc>
        <w:tc>
          <w:tcPr>
            <w:tcW w:w="3080" w:type="dxa"/>
            <w:gridSpan w:val="2"/>
            <w:tcBorders>
              <w:top w:val="nil"/>
              <w:left w:val="nil"/>
              <w:bottom w:val="nil"/>
              <w:right w:val="nil"/>
            </w:tcBorders>
            <w:shd w:val="clear" w:color="auto" w:fill="F5EDC1" w:themeFill="accent4"/>
          </w:tcPr>
          <w:p w14:paraId="3547BD79" w14:textId="6FD3D9A0" w:rsidR="000B4E3E" w:rsidRPr="000B4E3E" w:rsidRDefault="000B4E3E" w:rsidP="000B4E3E">
            <w:pPr>
              <w:jc w:val="right"/>
              <w:rPr>
                <w:color w:val="000000"/>
              </w:rPr>
            </w:pPr>
            <w:r>
              <w:rPr>
                <w:color w:val="000000"/>
              </w:rPr>
              <w:t>10.5% for claim payments</w:t>
            </w:r>
          </w:p>
        </w:tc>
        <w:tc>
          <w:tcPr>
            <w:tcW w:w="3080" w:type="dxa"/>
            <w:gridSpan w:val="3"/>
            <w:tcBorders>
              <w:top w:val="nil"/>
              <w:left w:val="nil"/>
              <w:bottom w:val="nil"/>
              <w:right w:val="nil"/>
            </w:tcBorders>
            <w:shd w:val="clear" w:color="auto" w:fill="D4E2E0" w:themeFill="accent5"/>
          </w:tcPr>
          <w:p w14:paraId="1C3C9178" w14:textId="2D50D2ED" w:rsidR="000B4E3E" w:rsidRPr="000B4E3E" w:rsidRDefault="000B4E3E" w:rsidP="000B4E3E">
            <w:pPr>
              <w:jc w:val="right"/>
              <w:rPr>
                <w:color w:val="000000"/>
              </w:rPr>
            </w:pPr>
            <w:r>
              <w:rPr>
                <w:color w:val="000000"/>
              </w:rPr>
              <w:t>10.5% for claim payments</w:t>
            </w:r>
          </w:p>
        </w:tc>
      </w:tr>
      <w:tr w:rsidR="000B4E3E" w:rsidRPr="000B4E3E" w14:paraId="26A4F1CD" w14:textId="77777777" w:rsidTr="00DF6B02">
        <w:tc>
          <w:tcPr>
            <w:tcW w:w="3082" w:type="dxa"/>
            <w:tcBorders>
              <w:top w:val="nil"/>
              <w:left w:val="nil"/>
              <w:bottom w:val="nil"/>
              <w:right w:val="nil"/>
            </w:tcBorders>
          </w:tcPr>
          <w:p w14:paraId="2D392F3B" w14:textId="10B8950F" w:rsidR="000B4E3E" w:rsidRPr="000B4E3E" w:rsidRDefault="000B4E3E" w:rsidP="000B4E3E">
            <w:pPr>
              <w:rPr>
                <w:color w:val="000000"/>
              </w:rPr>
            </w:pPr>
            <w:r>
              <w:rPr>
                <w:color w:val="000000"/>
              </w:rPr>
              <w:lastRenderedPageBreak/>
              <w:t>Superimposed Inflation</w:t>
            </w:r>
          </w:p>
        </w:tc>
        <w:tc>
          <w:tcPr>
            <w:tcW w:w="3080" w:type="dxa"/>
            <w:gridSpan w:val="2"/>
            <w:tcBorders>
              <w:top w:val="nil"/>
              <w:left w:val="nil"/>
              <w:bottom w:val="nil"/>
              <w:right w:val="nil"/>
            </w:tcBorders>
            <w:shd w:val="clear" w:color="auto" w:fill="F5EDC1" w:themeFill="accent4"/>
          </w:tcPr>
          <w:p w14:paraId="05D5B956" w14:textId="6EBE0D2F" w:rsidR="000B4E3E" w:rsidRPr="000B4E3E" w:rsidRDefault="000B4E3E" w:rsidP="000B4E3E">
            <w:pPr>
              <w:jc w:val="right"/>
              <w:rPr>
                <w:color w:val="000000"/>
              </w:rPr>
            </w:pPr>
            <w:r>
              <w:rPr>
                <w:color w:val="000000"/>
              </w:rPr>
              <w:t>2.5</w:t>
            </w:r>
            <w:r w:rsidR="00474DAF">
              <w:rPr>
                <w:color w:val="000000"/>
              </w:rPr>
              <w:t>0</w:t>
            </w:r>
            <w:r>
              <w:rPr>
                <w:color w:val="000000"/>
              </w:rPr>
              <w:t>%</w:t>
            </w:r>
          </w:p>
        </w:tc>
        <w:tc>
          <w:tcPr>
            <w:tcW w:w="3080" w:type="dxa"/>
            <w:gridSpan w:val="3"/>
            <w:tcBorders>
              <w:top w:val="nil"/>
              <w:left w:val="nil"/>
              <w:bottom w:val="nil"/>
              <w:right w:val="nil"/>
            </w:tcBorders>
            <w:shd w:val="clear" w:color="auto" w:fill="D4E2E0" w:themeFill="accent5"/>
          </w:tcPr>
          <w:p w14:paraId="7333D5FB" w14:textId="0C0CA928" w:rsidR="000B4E3E" w:rsidRPr="000B4E3E" w:rsidRDefault="000B4E3E" w:rsidP="000B4E3E">
            <w:pPr>
              <w:jc w:val="right"/>
              <w:rPr>
                <w:color w:val="000000"/>
              </w:rPr>
            </w:pPr>
            <w:r>
              <w:rPr>
                <w:color w:val="000000"/>
              </w:rPr>
              <w:t>2.0</w:t>
            </w:r>
            <w:r w:rsidR="00474DAF">
              <w:rPr>
                <w:color w:val="000000"/>
              </w:rPr>
              <w:t>0</w:t>
            </w:r>
            <w:r>
              <w:rPr>
                <w:color w:val="000000"/>
              </w:rPr>
              <w:t>%</w:t>
            </w:r>
          </w:p>
        </w:tc>
      </w:tr>
      <w:tr w:rsidR="000B4E3E" w:rsidRPr="000B4E3E" w14:paraId="0962897F" w14:textId="77777777" w:rsidTr="00DF6B02">
        <w:tc>
          <w:tcPr>
            <w:tcW w:w="3082" w:type="dxa"/>
            <w:tcBorders>
              <w:top w:val="nil"/>
              <w:left w:val="nil"/>
              <w:bottom w:val="nil"/>
              <w:right w:val="nil"/>
            </w:tcBorders>
          </w:tcPr>
          <w:p w14:paraId="2D9147C3" w14:textId="24418CFA" w:rsidR="000B4E3E" w:rsidRDefault="000B4E3E" w:rsidP="000B4E3E">
            <w:pPr>
              <w:rPr>
                <w:color w:val="000000"/>
              </w:rPr>
            </w:pPr>
            <w:r>
              <w:rPr>
                <w:color w:val="000000"/>
              </w:rPr>
              <w:t>Risk Margin</w:t>
            </w:r>
          </w:p>
        </w:tc>
        <w:tc>
          <w:tcPr>
            <w:tcW w:w="3080" w:type="dxa"/>
            <w:gridSpan w:val="2"/>
            <w:tcBorders>
              <w:top w:val="nil"/>
              <w:left w:val="nil"/>
              <w:bottom w:val="nil"/>
              <w:right w:val="nil"/>
            </w:tcBorders>
            <w:shd w:val="clear" w:color="auto" w:fill="F5EDC1" w:themeFill="accent4"/>
          </w:tcPr>
          <w:p w14:paraId="397AE27A" w14:textId="01CA235F" w:rsidR="000B4E3E" w:rsidRDefault="000B4E3E" w:rsidP="000B4E3E">
            <w:pPr>
              <w:jc w:val="right"/>
              <w:rPr>
                <w:color w:val="000000"/>
              </w:rPr>
            </w:pPr>
            <w:r>
              <w:rPr>
                <w:color w:val="000000"/>
              </w:rPr>
              <w:t>20.4% risk margin at the 75% sufficiency level</w:t>
            </w:r>
          </w:p>
        </w:tc>
        <w:tc>
          <w:tcPr>
            <w:tcW w:w="3080" w:type="dxa"/>
            <w:gridSpan w:val="3"/>
            <w:tcBorders>
              <w:top w:val="nil"/>
              <w:left w:val="nil"/>
              <w:bottom w:val="nil"/>
              <w:right w:val="nil"/>
            </w:tcBorders>
            <w:shd w:val="clear" w:color="auto" w:fill="D4E2E0" w:themeFill="accent5"/>
          </w:tcPr>
          <w:p w14:paraId="3A4F259B" w14:textId="42BBB11A" w:rsidR="000B4E3E" w:rsidRDefault="000B4E3E" w:rsidP="000B4E3E">
            <w:pPr>
              <w:jc w:val="right"/>
              <w:rPr>
                <w:color w:val="000000"/>
              </w:rPr>
            </w:pPr>
            <w:r>
              <w:rPr>
                <w:color w:val="000000"/>
              </w:rPr>
              <w:t>20.4% risk margin at the 75% sufficiency level</w:t>
            </w:r>
          </w:p>
        </w:tc>
      </w:tr>
    </w:tbl>
    <w:p w14:paraId="25773D1A" w14:textId="77777777" w:rsidR="00DF6B02" w:rsidRPr="00DF6B02" w:rsidRDefault="00DF6B02" w:rsidP="00DF6B02">
      <w:pPr>
        <w:rPr>
          <w:i/>
          <w:color w:val="000000"/>
        </w:rPr>
      </w:pPr>
      <w:r w:rsidRPr="00DF6B02">
        <w:rPr>
          <w:i/>
          <w:color w:val="000000"/>
        </w:rPr>
        <w:t>Expense rate</w:t>
      </w:r>
    </w:p>
    <w:p w14:paraId="6A6FD9D2" w14:textId="77777777" w:rsidR="00DF6B02" w:rsidRPr="00DF6B02" w:rsidRDefault="00DF6B02" w:rsidP="00DF6B02">
      <w:r w:rsidRPr="00DF6B02">
        <w:t>Claims handling expenses are based on the current arrangements in place with ICWA for claims management of the General Account.</w:t>
      </w:r>
    </w:p>
    <w:p w14:paraId="60044326" w14:textId="77777777" w:rsidR="00DF6B02" w:rsidRPr="00DF6B02" w:rsidRDefault="00DF6B02" w:rsidP="00DF6B02">
      <w:pPr>
        <w:rPr>
          <w:i/>
          <w:color w:val="000000"/>
        </w:rPr>
      </w:pPr>
      <w:r w:rsidRPr="00DF6B02">
        <w:rPr>
          <w:i/>
          <w:color w:val="000000"/>
        </w:rPr>
        <w:t>Discount rates</w:t>
      </w:r>
    </w:p>
    <w:p w14:paraId="1E90FE4B" w14:textId="06912156" w:rsidR="00DF6B02" w:rsidRPr="00DF6B02" w:rsidRDefault="00DF6B02" w:rsidP="00DF6B02">
      <w:pPr>
        <w:rPr>
          <w:color w:val="000000"/>
        </w:rPr>
      </w:pPr>
      <w:r w:rsidRPr="00DF6B02">
        <w:rPr>
          <w:color w:val="000000"/>
        </w:rPr>
        <w:t>Discount rates are derived as the one-ye</w:t>
      </w:r>
      <w:r>
        <w:rPr>
          <w:color w:val="000000"/>
        </w:rPr>
        <w:t xml:space="preserve">ar forward rates implied by the </w:t>
      </w:r>
      <w:r w:rsidRPr="00DF6B02">
        <w:rPr>
          <w:color w:val="000000"/>
        </w:rPr>
        <w:t>Commonwealth Government yield curve as at the balance date.</w:t>
      </w:r>
    </w:p>
    <w:p w14:paraId="3B7855E5" w14:textId="77777777" w:rsidR="00DF6B02" w:rsidRPr="00DF6B02" w:rsidRDefault="00DF6B02" w:rsidP="00DF6B02">
      <w:pPr>
        <w:rPr>
          <w:i/>
          <w:color w:val="000000"/>
        </w:rPr>
      </w:pPr>
      <w:r w:rsidRPr="00DF6B02">
        <w:rPr>
          <w:i/>
          <w:color w:val="000000"/>
        </w:rPr>
        <w:t>Inflation rates</w:t>
      </w:r>
    </w:p>
    <w:p w14:paraId="1283F315" w14:textId="77777777" w:rsidR="00DF6B02" w:rsidRPr="00DF6B02" w:rsidRDefault="00DF6B02" w:rsidP="00DF6B02">
      <w:pPr>
        <w:rPr>
          <w:color w:val="000000"/>
        </w:rPr>
      </w:pPr>
      <w:r w:rsidRPr="00DF6B02">
        <w:rPr>
          <w:color w:val="000000"/>
        </w:rPr>
        <w:t>Economic inflation assumptions have been set by reference to current economic indicators.</w:t>
      </w:r>
    </w:p>
    <w:p w14:paraId="6B112BA4" w14:textId="77777777" w:rsidR="00DF6B02" w:rsidRPr="00DF6B02" w:rsidRDefault="00DF6B02" w:rsidP="00DF6B02">
      <w:pPr>
        <w:rPr>
          <w:i/>
          <w:color w:val="000000"/>
        </w:rPr>
      </w:pPr>
      <w:r w:rsidRPr="00DF6B02">
        <w:rPr>
          <w:i/>
          <w:color w:val="000000"/>
        </w:rPr>
        <w:t>Superimposed inflation</w:t>
      </w:r>
    </w:p>
    <w:p w14:paraId="04C1335C" w14:textId="2EA58D62" w:rsidR="00DF6B02" w:rsidRPr="00DF6B02" w:rsidRDefault="00DF6B02" w:rsidP="00DF6B02">
      <w:pPr>
        <w:rPr>
          <w:color w:val="000000"/>
        </w:rPr>
      </w:pPr>
      <w:r w:rsidRPr="00DF6B02">
        <w:rPr>
          <w:color w:val="000000"/>
        </w:rPr>
        <w:t>Superimposed inflation being the real increase after adjusting for normal inflation, usually due to non- economic effects e.g. changes in legislation, court settlement precedents. The superimposed inflation rates assumed considered both the portfolio's own real cost increases and industry</w:t>
      </w:r>
      <w:r>
        <w:rPr>
          <w:color w:val="000000"/>
        </w:rPr>
        <w:t xml:space="preserve"> superimposed inflation trends.</w:t>
      </w:r>
    </w:p>
    <w:p w14:paraId="4717B2AC" w14:textId="164CDD71" w:rsidR="00DF6B02" w:rsidRPr="00DF6B02" w:rsidRDefault="00DF6B02" w:rsidP="00DF6B02">
      <w:pPr>
        <w:rPr>
          <w:color w:val="000000"/>
        </w:rPr>
      </w:pPr>
      <w:r w:rsidRPr="00DF6B02">
        <w:rPr>
          <w:color w:val="000000"/>
        </w:rPr>
        <w:t>In addition to the above assumptions the following allowances have been made for the Act changes</w:t>
      </w:r>
      <w:r>
        <w:rPr>
          <w:color w:val="000000"/>
        </w:rPr>
        <w:t xml:space="preserve"> promulgated on 1 October 2011.</w:t>
      </w:r>
    </w:p>
    <w:p w14:paraId="509E7291" w14:textId="00DABB8E" w:rsidR="00DF6B02" w:rsidRDefault="00DF6B02" w:rsidP="00DF6B02">
      <w:pPr>
        <w:rPr>
          <w:color w:val="000000"/>
        </w:rPr>
      </w:pPr>
      <w:r w:rsidRPr="00DF6B02">
        <w:rPr>
          <w:color w:val="000000"/>
        </w:rPr>
        <w:t>The following increases in the average claim size</w:t>
      </w:r>
      <w:r>
        <w:rPr>
          <w:color w:val="000000"/>
        </w:rPr>
        <w:t xml:space="preserve"> for the removal of age limits:</w:t>
      </w:r>
    </w:p>
    <w:p w14:paraId="76481D80" w14:textId="4A6E5392" w:rsidR="00DF6B02" w:rsidRPr="00DF6B02" w:rsidRDefault="00DF6B02" w:rsidP="00DF6B02">
      <w:pPr>
        <w:pStyle w:val="BulletListLevel1"/>
        <w:rPr>
          <w:rStyle w:val="BulletListLevel1Char"/>
          <w:bCs/>
        </w:rPr>
      </w:pPr>
      <w:r w:rsidRPr="00DF6B02">
        <w:rPr>
          <w:rStyle w:val="BulletListLevel1Char"/>
        </w:rPr>
        <w:t>8% increase for claimants aged under 65 year olds; and</w:t>
      </w:r>
    </w:p>
    <w:p w14:paraId="0588F66A" w14:textId="70B2A313" w:rsidR="00DF6B02" w:rsidRPr="00DF6B02" w:rsidRDefault="00DF6B02" w:rsidP="00DF6B02">
      <w:pPr>
        <w:pStyle w:val="BulletListLevel1"/>
      </w:pPr>
      <w:r w:rsidRPr="00DF6B02">
        <w:rPr>
          <w:color w:val="000000"/>
        </w:rPr>
        <w:t>40% increase for claimants aged over 65. This has decreased from</w:t>
      </w:r>
      <w:r w:rsidR="00C027FF">
        <w:rPr>
          <w:color w:val="000000"/>
        </w:rPr>
        <w:t xml:space="preserve"> 15% for claimants under 65 and</w:t>
      </w:r>
      <w:r w:rsidRPr="00DF6B02">
        <w:rPr>
          <w:color w:val="000000"/>
        </w:rPr>
        <w:t xml:space="preserve"> 75% for claimants over 65. It has been adjusted for the portion of the claims experience after the 2011 Amendment Act was implemented which already implicitly allows for the Act change.</w:t>
      </w:r>
    </w:p>
    <w:p w14:paraId="57ABEC96" w14:textId="2E22BE79" w:rsidR="00DF6B02" w:rsidRPr="00DF6B02" w:rsidRDefault="00DF6B02" w:rsidP="00DF6B02">
      <w:pPr>
        <w:pStyle w:val="BulletListLevel1"/>
      </w:pPr>
      <w:r w:rsidRPr="00DF6B02">
        <w:rPr>
          <w:color w:val="000000"/>
        </w:rPr>
        <w:t>70% of ARD claims will be lodged as common law claims, with an average claim size 406% greater than the statutory average claim size.</w:t>
      </w:r>
    </w:p>
    <w:p w14:paraId="05F1E806" w14:textId="16D044AF" w:rsidR="00DF6B02" w:rsidRPr="00DF6B02" w:rsidRDefault="00DF6B02" w:rsidP="00DF6B02">
      <w:pPr>
        <w:pStyle w:val="BulletListLevel1"/>
      </w:pPr>
      <w:r w:rsidRPr="00DF6B02">
        <w:rPr>
          <w:color w:val="000000"/>
        </w:rPr>
        <w:t>2.6% increase in the ARD average claim size to allow for common law claims made by employed contractors. This has reduced from 4.97% last year as the average includes a proportion of experience after the 2011 Amendment Act.</w:t>
      </w:r>
    </w:p>
    <w:p w14:paraId="434399FA" w14:textId="369D05EC" w:rsidR="00DF6B02" w:rsidRPr="00DF6B02" w:rsidRDefault="00DF6B02" w:rsidP="00DF6B02">
      <w:pPr>
        <w:pStyle w:val="BulletListLevel1"/>
      </w:pPr>
      <w:r w:rsidRPr="00DF6B02">
        <w:rPr>
          <w:color w:val="000000"/>
        </w:rPr>
        <w:lastRenderedPageBreak/>
        <w:t>13% increase in the number of claims lodged due to behavioural change and the availability of common law access for the General Account. This has reduced from 22% last year as the average includes a proportion of experience after the 2011 Amendment Act.</w:t>
      </w:r>
    </w:p>
    <w:p w14:paraId="1376E48A" w14:textId="77777777" w:rsidR="00DF6B02" w:rsidRPr="00DA1E18" w:rsidRDefault="00DF6B02" w:rsidP="00DF6B02">
      <w:pPr>
        <w:rPr>
          <w:rStyle w:val="Strong"/>
        </w:rPr>
      </w:pPr>
      <w:r w:rsidRPr="00DA1E18">
        <w:rPr>
          <w:rStyle w:val="Strong"/>
        </w:rPr>
        <w:t>(Non -ARD) Actuarial methods and assumptions</w:t>
      </w:r>
    </w:p>
    <w:p w14:paraId="532A3801" w14:textId="34EE2AAC" w:rsidR="00DF6B02" w:rsidRPr="00DF6B02" w:rsidRDefault="00DF6B02" w:rsidP="00DF6B02">
      <w:pPr>
        <w:rPr>
          <w:color w:val="000000"/>
        </w:rPr>
      </w:pPr>
      <w:r w:rsidRPr="00DF6B02">
        <w:rPr>
          <w:color w:val="000000"/>
        </w:rPr>
        <w:t>Claims estimates for the workers' compensation business are derived from an analysis of several different actuarial models. Ultimate number of claims incurred are projected based on past reporting patterns. Payments</w:t>
      </w:r>
      <w:r w:rsidR="00CA77F1">
        <w:rPr>
          <w:color w:val="000000"/>
        </w:rPr>
        <w:t xml:space="preserve"> </w:t>
      </w:r>
      <w:r w:rsidRPr="00DF6B02">
        <w:rPr>
          <w:color w:val="000000"/>
        </w:rPr>
        <w:t>experience is analysed based on average paid per claim incurred, average paid per claim finalised, projected case estimates and Bornheutter Ferguson. Historic case estimates development is also used to form a model of future payments. The resulting projected payments from these models are analysed along with benchmarks for average claim size and ratio to case estimates and other statistics, in order to determine the final estimate of outstanding claims.</w:t>
      </w:r>
    </w:p>
    <w:p w14:paraId="15B36F35" w14:textId="77777777" w:rsidR="00DF6B02" w:rsidRPr="00DF6B02" w:rsidRDefault="00DF6B02" w:rsidP="00DF6B02">
      <w:pPr>
        <w:rPr>
          <w:color w:val="000000"/>
        </w:rPr>
      </w:pPr>
      <w:r w:rsidRPr="00DF6B02">
        <w:rPr>
          <w:color w:val="000000"/>
        </w:rPr>
        <w:t>Claims inflation is built into the resulting projected payments, to allow for both general economic inflation and superimposed inflation detected in the modelling of payment experience. Superimposed inflation arises from non-economic factors such as developments of legal precedent and changes in claimant behaviour.</w:t>
      </w:r>
    </w:p>
    <w:p w14:paraId="1FBE0CDD" w14:textId="77777777" w:rsidR="00DF6B02" w:rsidRPr="00DF6B02" w:rsidRDefault="00DF6B02" w:rsidP="00DF6B02">
      <w:pPr>
        <w:rPr>
          <w:color w:val="000000"/>
        </w:rPr>
      </w:pPr>
      <w:r w:rsidRPr="00DF6B02">
        <w:rPr>
          <w:color w:val="000000"/>
        </w:rPr>
        <w:t>Projected payments are discounted to allow for the time value of money.</w:t>
      </w:r>
    </w:p>
    <w:p w14:paraId="59002E22" w14:textId="77777777" w:rsidR="00DF6B02" w:rsidRPr="00CA77F1" w:rsidRDefault="00DF6B02" w:rsidP="00DF6B02">
      <w:pPr>
        <w:rPr>
          <w:i/>
          <w:color w:val="000000"/>
        </w:rPr>
      </w:pPr>
      <w:r w:rsidRPr="00CA77F1">
        <w:rPr>
          <w:i/>
          <w:color w:val="000000"/>
        </w:rPr>
        <w:t>Average weighted term to settlement</w:t>
      </w:r>
    </w:p>
    <w:p w14:paraId="2325096D" w14:textId="22E42530" w:rsidR="00DF6B02" w:rsidRPr="00DF6B02" w:rsidRDefault="00DF6B02" w:rsidP="00DF6B02">
      <w:pPr>
        <w:rPr>
          <w:color w:val="000000"/>
        </w:rPr>
      </w:pPr>
      <w:r w:rsidRPr="00DF6B02">
        <w:rPr>
          <w:color w:val="000000"/>
        </w:rPr>
        <w:t>The average term to settlement is calculated separately by class of business base</w:t>
      </w:r>
      <w:r w:rsidR="002943CB">
        <w:rPr>
          <w:color w:val="000000"/>
        </w:rPr>
        <w:t>d on historic payment patterns.</w:t>
      </w:r>
    </w:p>
    <w:p w14:paraId="5EE754D1" w14:textId="77777777" w:rsidR="00DF6B02" w:rsidRPr="002943CB" w:rsidRDefault="00DF6B02" w:rsidP="00DF6B02">
      <w:pPr>
        <w:rPr>
          <w:i/>
          <w:color w:val="000000"/>
        </w:rPr>
      </w:pPr>
      <w:r w:rsidRPr="002943CB">
        <w:rPr>
          <w:i/>
          <w:color w:val="000000"/>
        </w:rPr>
        <w:t>Future claim reports (IBNR)</w:t>
      </w:r>
    </w:p>
    <w:p w14:paraId="4C2DCC4B" w14:textId="58377B33" w:rsidR="00DF6B02" w:rsidRPr="00DF6B02" w:rsidRDefault="00DF6B02" w:rsidP="00DF6B02">
      <w:pPr>
        <w:rPr>
          <w:color w:val="000000"/>
        </w:rPr>
      </w:pPr>
      <w:r w:rsidRPr="00DF6B02">
        <w:rPr>
          <w:color w:val="000000"/>
        </w:rPr>
        <w:t>Future claim reports are analysed using the ratio of late reported claims to reported claims o</w:t>
      </w:r>
      <w:r w:rsidR="002943CB">
        <w:rPr>
          <w:color w:val="000000"/>
        </w:rPr>
        <w:t>ver future development periods.</w:t>
      </w:r>
    </w:p>
    <w:p w14:paraId="1403484C" w14:textId="77777777" w:rsidR="00DF6B02" w:rsidRPr="002943CB" w:rsidRDefault="00DF6B02" w:rsidP="00DF6B02">
      <w:pPr>
        <w:rPr>
          <w:i/>
          <w:color w:val="000000"/>
        </w:rPr>
      </w:pPr>
      <w:r w:rsidRPr="002943CB">
        <w:rPr>
          <w:i/>
          <w:color w:val="000000"/>
        </w:rPr>
        <w:t>Average claim size</w:t>
      </w:r>
    </w:p>
    <w:p w14:paraId="031390A4" w14:textId="5CF93711" w:rsidR="000315DA" w:rsidRDefault="00DF6B02" w:rsidP="00DF6B02">
      <w:pPr>
        <w:rPr>
          <w:color w:val="000000"/>
        </w:rPr>
      </w:pPr>
      <w:r w:rsidRPr="00DF6B02">
        <w:rPr>
          <w:color w:val="000000"/>
        </w:rPr>
        <w:t>Average claim size is a benchmark being the outcome of the accident year blend of actuarial methods described above.</w:t>
      </w:r>
    </w:p>
    <w:p w14:paraId="097D049F" w14:textId="1C26F16D" w:rsidR="00F5104E" w:rsidRDefault="00F5104E">
      <w:pPr>
        <w:keepLines w:val="0"/>
        <w:spacing w:after="0" w:line="240" w:lineRule="auto"/>
        <w:rPr>
          <w:color w:val="000000"/>
        </w:rPr>
      </w:pPr>
      <w:r>
        <w:rPr>
          <w:color w:val="000000"/>
        </w:rPr>
        <w:br w:type="page"/>
      </w:r>
    </w:p>
    <w:p w14:paraId="6D66A917" w14:textId="77777777" w:rsidR="00F5104E" w:rsidRPr="000B4E3E" w:rsidRDefault="00F5104E" w:rsidP="00F5104E">
      <w:pPr>
        <w:rPr>
          <w:i/>
        </w:rPr>
      </w:pPr>
      <w:r w:rsidRPr="000B4E3E">
        <w:rPr>
          <w:i/>
        </w:rPr>
        <w:lastRenderedPageBreak/>
        <w:t>Assumptions</w:t>
      </w:r>
    </w:p>
    <w:p w14:paraId="1671C13B" w14:textId="5AA7992F" w:rsidR="00F5104E" w:rsidRPr="000B4E3E" w:rsidRDefault="00F5104E" w:rsidP="00F5104E">
      <w:pPr>
        <w:rPr>
          <w:b/>
          <w:color w:val="000000"/>
        </w:rPr>
      </w:pPr>
      <w:r>
        <w:rPr>
          <w:b/>
          <w:color w:val="000000"/>
        </w:rPr>
        <w:t>Uninsured workers:</w:t>
      </w:r>
      <w:r>
        <w:rPr>
          <w:b/>
          <w:color w:val="000000"/>
        </w:rPr>
        <w:br/>
        <w:t>Non Asbestos-Related Claims (Non-ARD)</w:t>
      </w:r>
    </w:p>
    <w:tbl>
      <w:tblPr>
        <w:tblStyle w:val="TableGrid"/>
        <w:tblW w:w="0" w:type="auto"/>
        <w:tblLook w:val="04A0" w:firstRow="1" w:lastRow="0" w:firstColumn="1" w:lastColumn="0" w:noHBand="0" w:noVBand="1"/>
      </w:tblPr>
      <w:tblGrid>
        <w:gridCol w:w="2998"/>
        <w:gridCol w:w="1532"/>
        <w:gridCol w:w="1481"/>
        <w:gridCol w:w="36"/>
        <w:gridCol w:w="1531"/>
        <w:gridCol w:w="1448"/>
      </w:tblGrid>
      <w:tr w:rsidR="00F5104E" w14:paraId="2E716FB0" w14:textId="77777777" w:rsidTr="00D57108">
        <w:tc>
          <w:tcPr>
            <w:tcW w:w="3082" w:type="dxa"/>
            <w:tcBorders>
              <w:top w:val="nil"/>
              <w:left w:val="nil"/>
              <w:bottom w:val="nil"/>
              <w:right w:val="nil"/>
            </w:tcBorders>
          </w:tcPr>
          <w:p w14:paraId="250EC13D" w14:textId="77777777" w:rsidR="00F5104E" w:rsidRDefault="00F5104E" w:rsidP="00D57108">
            <w:pPr>
              <w:rPr>
                <w:b/>
                <w:color w:val="000000"/>
              </w:rPr>
            </w:pPr>
          </w:p>
        </w:tc>
        <w:tc>
          <w:tcPr>
            <w:tcW w:w="3080" w:type="dxa"/>
            <w:gridSpan w:val="2"/>
            <w:tcBorders>
              <w:top w:val="nil"/>
              <w:left w:val="nil"/>
              <w:bottom w:val="nil"/>
              <w:right w:val="nil"/>
            </w:tcBorders>
          </w:tcPr>
          <w:p w14:paraId="4217FB9B" w14:textId="77777777" w:rsidR="00F5104E" w:rsidRDefault="00F5104E" w:rsidP="00D57108">
            <w:pPr>
              <w:jc w:val="center"/>
              <w:rPr>
                <w:b/>
                <w:color w:val="000000"/>
              </w:rPr>
            </w:pPr>
            <w:r>
              <w:rPr>
                <w:b/>
                <w:color w:val="000000"/>
              </w:rPr>
              <w:t>2015</w:t>
            </w:r>
          </w:p>
        </w:tc>
        <w:tc>
          <w:tcPr>
            <w:tcW w:w="3080" w:type="dxa"/>
            <w:gridSpan w:val="3"/>
            <w:tcBorders>
              <w:top w:val="nil"/>
              <w:left w:val="nil"/>
              <w:bottom w:val="nil"/>
              <w:right w:val="nil"/>
            </w:tcBorders>
          </w:tcPr>
          <w:p w14:paraId="2D1C36DC" w14:textId="77777777" w:rsidR="00F5104E" w:rsidRDefault="00F5104E" w:rsidP="00D57108">
            <w:pPr>
              <w:jc w:val="center"/>
              <w:rPr>
                <w:b/>
                <w:color w:val="000000"/>
              </w:rPr>
            </w:pPr>
            <w:r>
              <w:rPr>
                <w:b/>
                <w:color w:val="000000"/>
              </w:rPr>
              <w:t>2014</w:t>
            </w:r>
          </w:p>
        </w:tc>
      </w:tr>
      <w:tr w:rsidR="00F5104E" w14:paraId="4A272A87" w14:textId="77777777" w:rsidTr="00D57108">
        <w:tc>
          <w:tcPr>
            <w:tcW w:w="3082" w:type="dxa"/>
            <w:tcBorders>
              <w:top w:val="nil"/>
              <w:left w:val="nil"/>
              <w:bottom w:val="nil"/>
              <w:right w:val="nil"/>
            </w:tcBorders>
          </w:tcPr>
          <w:p w14:paraId="50D67DA4" w14:textId="77777777" w:rsidR="00F5104E" w:rsidRPr="000B4E3E" w:rsidRDefault="00F5104E" w:rsidP="00D57108">
            <w:pPr>
              <w:rPr>
                <w:color w:val="000000"/>
              </w:rPr>
            </w:pPr>
            <w:r w:rsidRPr="000B4E3E">
              <w:rPr>
                <w:color w:val="000000"/>
              </w:rPr>
              <w:t>Inflation Rate</w:t>
            </w:r>
          </w:p>
        </w:tc>
        <w:tc>
          <w:tcPr>
            <w:tcW w:w="3080" w:type="dxa"/>
            <w:gridSpan w:val="2"/>
            <w:tcBorders>
              <w:top w:val="nil"/>
              <w:left w:val="nil"/>
              <w:bottom w:val="nil"/>
              <w:right w:val="nil"/>
            </w:tcBorders>
            <w:shd w:val="clear" w:color="auto" w:fill="F5EDC1" w:themeFill="accent4"/>
          </w:tcPr>
          <w:p w14:paraId="4F9EDA17" w14:textId="77777777" w:rsidR="00F5104E" w:rsidRPr="000B4E3E" w:rsidRDefault="00F5104E" w:rsidP="00D57108">
            <w:pPr>
              <w:jc w:val="right"/>
              <w:rPr>
                <w:color w:val="000000"/>
              </w:rPr>
            </w:pPr>
            <w:r>
              <w:rPr>
                <w:color w:val="000000"/>
              </w:rPr>
              <w:t>3.75% for 2016 and later</w:t>
            </w:r>
          </w:p>
        </w:tc>
        <w:tc>
          <w:tcPr>
            <w:tcW w:w="3080" w:type="dxa"/>
            <w:gridSpan w:val="3"/>
            <w:tcBorders>
              <w:top w:val="nil"/>
              <w:left w:val="nil"/>
              <w:bottom w:val="nil"/>
              <w:right w:val="nil"/>
            </w:tcBorders>
            <w:shd w:val="clear" w:color="auto" w:fill="D4E2E0" w:themeFill="accent5"/>
          </w:tcPr>
          <w:p w14:paraId="1C217235" w14:textId="77777777" w:rsidR="00F5104E" w:rsidRPr="000B4E3E" w:rsidRDefault="00F5104E" w:rsidP="00D57108">
            <w:pPr>
              <w:jc w:val="right"/>
              <w:rPr>
                <w:color w:val="000000"/>
              </w:rPr>
            </w:pPr>
            <w:r>
              <w:rPr>
                <w:color w:val="000000"/>
              </w:rPr>
              <w:t>4.50% for 2015 and later</w:t>
            </w:r>
          </w:p>
        </w:tc>
      </w:tr>
      <w:tr w:rsidR="00F5104E" w14:paraId="2FD4E1D0" w14:textId="77777777" w:rsidTr="00D57108">
        <w:tc>
          <w:tcPr>
            <w:tcW w:w="3082" w:type="dxa"/>
            <w:tcBorders>
              <w:top w:val="nil"/>
              <w:left w:val="nil"/>
              <w:bottom w:val="nil"/>
              <w:right w:val="nil"/>
            </w:tcBorders>
          </w:tcPr>
          <w:p w14:paraId="5B975DA0" w14:textId="77777777" w:rsidR="00F5104E" w:rsidRPr="000B4E3E" w:rsidRDefault="00F5104E" w:rsidP="00D57108">
            <w:pPr>
              <w:rPr>
                <w:color w:val="000000"/>
              </w:rPr>
            </w:pPr>
            <w:r w:rsidRPr="000B4E3E">
              <w:rPr>
                <w:color w:val="000000"/>
              </w:rPr>
              <w:t>Discount Rate</w:t>
            </w:r>
          </w:p>
        </w:tc>
        <w:tc>
          <w:tcPr>
            <w:tcW w:w="1559" w:type="dxa"/>
            <w:tcBorders>
              <w:top w:val="nil"/>
              <w:left w:val="nil"/>
              <w:bottom w:val="nil"/>
              <w:right w:val="nil"/>
            </w:tcBorders>
            <w:shd w:val="clear" w:color="auto" w:fill="F5EDC1" w:themeFill="accent4"/>
          </w:tcPr>
          <w:p w14:paraId="58EFA222" w14:textId="77777777" w:rsidR="00F5104E" w:rsidRPr="000B4E3E" w:rsidRDefault="00F5104E" w:rsidP="00D57108">
            <w:pPr>
              <w:jc w:val="right"/>
              <w:rPr>
                <w:color w:val="000000"/>
              </w:rPr>
            </w:pPr>
            <w:r w:rsidRPr="000B4E3E">
              <w:rPr>
                <w:color w:val="000000"/>
              </w:rPr>
              <w:t>2016</w:t>
            </w:r>
          </w:p>
        </w:tc>
        <w:tc>
          <w:tcPr>
            <w:tcW w:w="1558" w:type="dxa"/>
            <w:gridSpan w:val="2"/>
            <w:tcBorders>
              <w:top w:val="nil"/>
              <w:left w:val="nil"/>
              <w:bottom w:val="nil"/>
              <w:right w:val="nil"/>
            </w:tcBorders>
            <w:shd w:val="clear" w:color="auto" w:fill="F5EDC1" w:themeFill="accent4"/>
          </w:tcPr>
          <w:p w14:paraId="7C2BD87A" w14:textId="77777777" w:rsidR="00F5104E" w:rsidRPr="000B4E3E" w:rsidRDefault="00F5104E" w:rsidP="00D57108">
            <w:pPr>
              <w:jc w:val="right"/>
              <w:rPr>
                <w:color w:val="000000"/>
              </w:rPr>
            </w:pPr>
            <w:r>
              <w:rPr>
                <w:color w:val="000000"/>
              </w:rPr>
              <w:t>2.00%</w:t>
            </w:r>
          </w:p>
        </w:tc>
        <w:tc>
          <w:tcPr>
            <w:tcW w:w="1558" w:type="dxa"/>
            <w:tcBorders>
              <w:top w:val="nil"/>
              <w:left w:val="nil"/>
              <w:bottom w:val="nil"/>
              <w:right w:val="nil"/>
            </w:tcBorders>
            <w:shd w:val="clear" w:color="auto" w:fill="D4E2E0" w:themeFill="accent5"/>
          </w:tcPr>
          <w:p w14:paraId="391CB044" w14:textId="77777777" w:rsidR="00F5104E" w:rsidRPr="000B4E3E" w:rsidRDefault="00F5104E" w:rsidP="00D57108">
            <w:pPr>
              <w:jc w:val="right"/>
              <w:rPr>
                <w:color w:val="000000"/>
              </w:rPr>
            </w:pPr>
            <w:r>
              <w:rPr>
                <w:color w:val="000000"/>
              </w:rPr>
              <w:t>2015</w:t>
            </w:r>
          </w:p>
        </w:tc>
        <w:tc>
          <w:tcPr>
            <w:tcW w:w="1485" w:type="dxa"/>
            <w:tcBorders>
              <w:top w:val="nil"/>
              <w:left w:val="nil"/>
              <w:bottom w:val="nil"/>
              <w:right w:val="nil"/>
            </w:tcBorders>
            <w:shd w:val="clear" w:color="auto" w:fill="D4E2E0" w:themeFill="accent5"/>
          </w:tcPr>
          <w:p w14:paraId="1CA2E26B" w14:textId="77777777" w:rsidR="00F5104E" w:rsidRPr="000B4E3E" w:rsidRDefault="00F5104E" w:rsidP="00D57108">
            <w:pPr>
              <w:jc w:val="right"/>
              <w:rPr>
                <w:color w:val="000000"/>
              </w:rPr>
            </w:pPr>
            <w:r>
              <w:rPr>
                <w:color w:val="000000"/>
              </w:rPr>
              <w:t>2.50%</w:t>
            </w:r>
          </w:p>
        </w:tc>
      </w:tr>
      <w:tr w:rsidR="00F5104E" w14:paraId="1D681E92" w14:textId="77777777" w:rsidTr="00D57108">
        <w:tc>
          <w:tcPr>
            <w:tcW w:w="3082" w:type="dxa"/>
            <w:tcBorders>
              <w:top w:val="nil"/>
              <w:left w:val="nil"/>
              <w:bottom w:val="nil"/>
              <w:right w:val="nil"/>
            </w:tcBorders>
          </w:tcPr>
          <w:p w14:paraId="14E7B238"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17ACD707" w14:textId="77777777" w:rsidR="00F5104E" w:rsidRPr="000B4E3E" w:rsidRDefault="00F5104E" w:rsidP="00D57108">
            <w:pPr>
              <w:jc w:val="right"/>
              <w:rPr>
                <w:color w:val="000000"/>
              </w:rPr>
            </w:pPr>
            <w:r>
              <w:rPr>
                <w:color w:val="000000"/>
              </w:rPr>
              <w:t>2017</w:t>
            </w:r>
          </w:p>
        </w:tc>
        <w:tc>
          <w:tcPr>
            <w:tcW w:w="1558" w:type="dxa"/>
            <w:gridSpan w:val="2"/>
            <w:tcBorders>
              <w:top w:val="nil"/>
              <w:left w:val="nil"/>
              <w:bottom w:val="nil"/>
              <w:right w:val="nil"/>
            </w:tcBorders>
            <w:shd w:val="clear" w:color="auto" w:fill="F5EDC1" w:themeFill="accent4"/>
          </w:tcPr>
          <w:p w14:paraId="5CC1E25C" w14:textId="77777777" w:rsidR="00F5104E" w:rsidRDefault="00F5104E" w:rsidP="00D57108">
            <w:pPr>
              <w:jc w:val="right"/>
              <w:rPr>
                <w:color w:val="000000"/>
              </w:rPr>
            </w:pPr>
            <w:r>
              <w:rPr>
                <w:color w:val="000000"/>
              </w:rPr>
              <w:t>2.00%</w:t>
            </w:r>
          </w:p>
        </w:tc>
        <w:tc>
          <w:tcPr>
            <w:tcW w:w="1558" w:type="dxa"/>
            <w:tcBorders>
              <w:top w:val="nil"/>
              <w:left w:val="nil"/>
              <w:bottom w:val="nil"/>
              <w:right w:val="nil"/>
            </w:tcBorders>
            <w:shd w:val="clear" w:color="auto" w:fill="D4E2E0" w:themeFill="accent5"/>
          </w:tcPr>
          <w:p w14:paraId="1515D3D1" w14:textId="77777777" w:rsidR="00F5104E" w:rsidRDefault="00F5104E" w:rsidP="00D57108">
            <w:pPr>
              <w:jc w:val="right"/>
              <w:rPr>
                <w:color w:val="000000"/>
              </w:rPr>
            </w:pPr>
            <w:r>
              <w:rPr>
                <w:color w:val="000000"/>
              </w:rPr>
              <w:t>2016</w:t>
            </w:r>
          </w:p>
        </w:tc>
        <w:tc>
          <w:tcPr>
            <w:tcW w:w="1485" w:type="dxa"/>
            <w:tcBorders>
              <w:top w:val="nil"/>
              <w:left w:val="nil"/>
              <w:bottom w:val="nil"/>
              <w:right w:val="nil"/>
            </w:tcBorders>
            <w:shd w:val="clear" w:color="auto" w:fill="D4E2E0" w:themeFill="accent5"/>
          </w:tcPr>
          <w:p w14:paraId="016BBE17" w14:textId="77777777" w:rsidR="00F5104E" w:rsidRDefault="00F5104E" w:rsidP="00D57108">
            <w:pPr>
              <w:jc w:val="right"/>
              <w:rPr>
                <w:color w:val="000000"/>
              </w:rPr>
            </w:pPr>
            <w:r>
              <w:rPr>
                <w:color w:val="000000"/>
              </w:rPr>
              <w:t>2.60%</w:t>
            </w:r>
          </w:p>
        </w:tc>
      </w:tr>
      <w:tr w:rsidR="00F5104E" w14:paraId="404A39D7" w14:textId="77777777" w:rsidTr="00D57108">
        <w:tc>
          <w:tcPr>
            <w:tcW w:w="3082" w:type="dxa"/>
            <w:tcBorders>
              <w:top w:val="nil"/>
              <w:left w:val="nil"/>
              <w:bottom w:val="nil"/>
              <w:right w:val="nil"/>
            </w:tcBorders>
          </w:tcPr>
          <w:p w14:paraId="3E6992F1"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73370CF7" w14:textId="77777777" w:rsidR="00F5104E" w:rsidRDefault="00F5104E" w:rsidP="00D57108">
            <w:pPr>
              <w:jc w:val="right"/>
              <w:rPr>
                <w:color w:val="000000"/>
              </w:rPr>
            </w:pPr>
            <w:r>
              <w:rPr>
                <w:color w:val="000000"/>
              </w:rPr>
              <w:t>2018</w:t>
            </w:r>
          </w:p>
        </w:tc>
        <w:tc>
          <w:tcPr>
            <w:tcW w:w="1558" w:type="dxa"/>
            <w:gridSpan w:val="2"/>
            <w:tcBorders>
              <w:top w:val="nil"/>
              <w:left w:val="nil"/>
              <w:bottom w:val="nil"/>
              <w:right w:val="nil"/>
            </w:tcBorders>
            <w:shd w:val="clear" w:color="auto" w:fill="F5EDC1" w:themeFill="accent4"/>
          </w:tcPr>
          <w:p w14:paraId="21F9470F" w14:textId="77777777" w:rsidR="00F5104E" w:rsidRDefault="00F5104E" w:rsidP="00D57108">
            <w:pPr>
              <w:jc w:val="right"/>
              <w:rPr>
                <w:color w:val="000000"/>
              </w:rPr>
            </w:pPr>
            <w:r>
              <w:rPr>
                <w:color w:val="000000"/>
              </w:rPr>
              <w:t>2.20%</w:t>
            </w:r>
          </w:p>
        </w:tc>
        <w:tc>
          <w:tcPr>
            <w:tcW w:w="1558" w:type="dxa"/>
            <w:tcBorders>
              <w:top w:val="nil"/>
              <w:left w:val="nil"/>
              <w:bottom w:val="nil"/>
              <w:right w:val="nil"/>
            </w:tcBorders>
            <w:shd w:val="clear" w:color="auto" w:fill="D4E2E0" w:themeFill="accent5"/>
          </w:tcPr>
          <w:p w14:paraId="7327D081" w14:textId="77777777" w:rsidR="00F5104E" w:rsidRDefault="00F5104E" w:rsidP="00D57108">
            <w:pPr>
              <w:jc w:val="right"/>
              <w:rPr>
                <w:color w:val="000000"/>
              </w:rPr>
            </w:pPr>
            <w:r>
              <w:rPr>
                <w:color w:val="000000"/>
              </w:rPr>
              <w:t>2017</w:t>
            </w:r>
          </w:p>
        </w:tc>
        <w:tc>
          <w:tcPr>
            <w:tcW w:w="1485" w:type="dxa"/>
            <w:tcBorders>
              <w:top w:val="nil"/>
              <w:left w:val="nil"/>
              <w:bottom w:val="nil"/>
              <w:right w:val="nil"/>
            </w:tcBorders>
            <w:shd w:val="clear" w:color="auto" w:fill="D4E2E0" w:themeFill="accent5"/>
          </w:tcPr>
          <w:p w14:paraId="5976DEB2" w14:textId="77777777" w:rsidR="00F5104E" w:rsidRDefault="00F5104E" w:rsidP="00D57108">
            <w:pPr>
              <w:jc w:val="right"/>
              <w:rPr>
                <w:color w:val="000000"/>
              </w:rPr>
            </w:pPr>
            <w:r>
              <w:rPr>
                <w:color w:val="000000"/>
              </w:rPr>
              <w:t>3.00%</w:t>
            </w:r>
          </w:p>
        </w:tc>
      </w:tr>
      <w:tr w:rsidR="00F5104E" w14:paraId="283F866F" w14:textId="77777777" w:rsidTr="00D57108">
        <w:tc>
          <w:tcPr>
            <w:tcW w:w="3082" w:type="dxa"/>
            <w:tcBorders>
              <w:top w:val="nil"/>
              <w:left w:val="nil"/>
              <w:bottom w:val="nil"/>
              <w:right w:val="nil"/>
            </w:tcBorders>
          </w:tcPr>
          <w:p w14:paraId="7A99CB83"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79215BB2" w14:textId="77777777" w:rsidR="00F5104E" w:rsidRDefault="00F5104E" w:rsidP="00D57108">
            <w:pPr>
              <w:jc w:val="right"/>
              <w:rPr>
                <w:color w:val="000000"/>
              </w:rPr>
            </w:pPr>
            <w:r>
              <w:rPr>
                <w:color w:val="000000"/>
              </w:rPr>
              <w:t>2019</w:t>
            </w:r>
          </w:p>
        </w:tc>
        <w:tc>
          <w:tcPr>
            <w:tcW w:w="1558" w:type="dxa"/>
            <w:gridSpan w:val="2"/>
            <w:tcBorders>
              <w:top w:val="nil"/>
              <w:left w:val="nil"/>
              <w:bottom w:val="nil"/>
              <w:right w:val="nil"/>
            </w:tcBorders>
            <w:shd w:val="clear" w:color="auto" w:fill="F5EDC1" w:themeFill="accent4"/>
          </w:tcPr>
          <w:p w14:paraId="0FC7A64A" w14:textId="77777777" w:rsidR="00F5104E" w:rsidRDefault="00F5104E" w:rsidP="00D57108">
            <w:pPr>
              <w:jc w:val="right"/>
              <w:rPr>
                <w:color w:val="000000"/>
              </w:rPr>
            </w:pPr>
            <w:r>
              <w:rPr>
                <w:color w:val="000000"/>
              </w:rPr>
              <w:t>2.60%</w:t>
            </w:r>
          </w:p>
        </w:tc>
        <w:tc>
          <w:tcPr>
            <w:tcW w:w="1558" w:type="dxa"/>
            <w:tcBorders>
              <w:top w:val="nil"/>
              <w:left w:val="nil"/>
              <w:bottom w:val="nil"/>
              <w:right w:val="nil"/>
            </w:tcBorders>
            <w:shd w:val="clear" w:color="auto" w:fill="D4E2E0" w:themeFill="accent5"/>
          </w:tcPr>
          <w:p w14:paraId="79432AA3" w14:textId="77777777" w:rsidR="00F5104E" w:rsidRDefault="00F5104E" w:rsidP="00D57108">
            <w:pPr>
              <w:jc w:val="right"/>
              <w:rPr>
                <w:color w:val="000000"/>
              </w:rPr>
            </w:pPr>
            <w:r>
              <w:rPr>
                <w:color w:val="000000"/>
              </w:rPr>
              <w:t>2018</w:t>
            </w:r>
          </w:p>
        </w:tc>
        <w:tc>
          <w:tcPr>
            <w:tcW w:w="1485" w:type="dxa"/>
            <w:tcBorders>
              <w:top w:val="nil"/>
              <w:left w:val="nil"/>
              <w:bottom w:val="nil"/>
              <w:right w:val="nil"/>
            </w:tcBorders>
            <w:shd w:val="clear" w:color="auto" w:fill="D4E2E0" w:themeFill="accent5"/>
          </w:tcPr>
          <w:p w14:paraId="20C7B38A" w14:textId="77777777" w:rsidR="00F5104E" w:rsidRDefault="00F5104E" w:rsidP="00D57108">
            <w:pPr>
              <w:jc w:val="right"/>
              <w:rPr>
                <w:color w:val="000000"/>
              </w:rPr>
            </w:pPr>
            <w:r>
              <w:rPr>
                <w:color w:val="000000"/>
              </w:rPr>
              <w:t>3.40%</w:t>
            </w:r>
          </w:p>
        </w:tc>
      </w:tr>
      <w:tr w:rsidR="00F5104E" w14:paraId="2251BCF5" w14:textId="77777777" w:rsidTr="00D57108">
        <w:tc>
          <w:tcPr>
            <w:tcW w:w="3082" w:type="dxa"/>
            <w:tcBorders>
              <w:top w:val="nil"/>
              <w:left w:val="nil"/>
              <w:bottom w:val="nil"/>
              <w:right w:val="nil"/>
            </w:tcBorders>
          </w:tcPr>
          <w:p w14:paraId="281506E0"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49B57BD8" w14:textId="77777777" w:rsidR="00F5104E" w:rsidRDefault="00F5104E" w:rsidP="00D57108">
            <w:pPr>
              <w:jc w:val="right"/>
              <w:rPr>
                <w:color w:val="000000"/>
              </w:rPr>
            </w:pPr>
            <w:r>
              <w:rPr>
                <w:color w:val="000000"/>
              </w:rPr>
              <w:t>2020</w:t>
            </w:r>
          </w:p>
        </w:tc>
        <w:tc>
          <w:tcPr>
            <w:tcW w:w="1558" w:type="dxa"/>
            <w:gridSpan w:val="2"/>
            <w:tcBorders>
              <w:top w:val="nil"/>
              <w:left w:val="nil"/>
              <w:bottom w:val="nil"/>
              <w:right w:val="nil"/>
            </w:tcBorders>
            <w:shd w:val="clear" w:color="auto" w:fill="F5EDC1" w:themeFill="accent4"/>
          </w:tcPr>
          <w:p w14:paraId="525CD759" w14:textId="77777777" w:rsidR="00F5104E" w:rsidRDefault="00F5104E" w:rsidP="00D57108">
            <w:pPr>
              <w:jc w:val="right"/>
              <w:rPr>
                <w:color w:val="000000"/>
              </w:rPr>
            </w:pPr>
            <w:r>
              <w:rPr>
                <w:color w:val="000000"/>
              </w:rPr>
              <w:t>3.10%</w:t>
            </w:r>
          </w:p>
        </w:tc>
        <w:tc>
          <w:tcPr>
            <w:tcW w:w="1558" w:type="dxa"/>
            <w:tcBorders>
              <w:top w:val="nil"/>
              <w:left w:val="nil"/>
              <w:bottom w:val="nil"/>
              <w:right w:val="nil"/>
            </w:tcBorders>
            <w:shd w:val="clear" w:color="auto" w:fill="D4E2E0" w:themeFill="accent5"/>
          </w:tcPr>
          <w:p w14:paraId="4EBE4EEB" w14:textId="77777777" w:rsidR="00F5104E" w:rsidRDefault="00F5104E" w:rsidP="00D57108">
            <w:pPr>
              <w:jc w:val="right"/>
              <w:rPr>
                <w:color w:val="000000"/>
              </w:rPr>
            </w:pPr>
            <w:r>
              <w:rPr>
                <w:color w:val="000000"/>
              </w:rPr>
              <w:t>2019</w:t>
            </w:r>
          </w:p>
        </w:tc>
        <w:tc>
          <w:tcPr>
            <w:tcW w:w="1485" w:type="dxa"/>
            <w:tcBorders>
              <w:top w:val="nil"/>
              <w:left w:val="nil"/>
              <w:bottom w:val="nil"/>
              <w:right w:val="nil"/>
            </w:tcBorders>
            <w:shd w:val="clear" w:color="auto" w:fill="D4E2E0" w:themeFill="accent5"/>
          </w:tcPr>
          <w:p w14:paraId="75E66230" w14:textId="77777777" w:rsidR="00F5104E" w:rsidRDefault="00F5104E" w:rsidP="00D57108">
            <w:pPr>
              <w:jc w:val="right"/>
              <w:rPr>
                <w:color w:val="000000"/>
              </w:rPr>
            </w:pPr>
            <w:r>
              <w:rPr>
                <w:color w:val="000000"/>
              </w:rPr>
              <w:t>3.70%</w:t>
            </w:r>
          </w:p>
        </w:tc>
      </w:tr>
      <w:tr w:rsidR="00F5104E" w14:paraId="03FC4FE6" w14:textId="77777777" w:rsidTr="00D57108">
        <w:tc>
          <w:tcPr>
            <w:tcW w:w="3082" w:type="dxa"/>
            <w:tcBorders>
              <w:top w:val="nil"/>
              <w:left w:val="nil"/>
              <w:bottom w:val="nil"/>
              <w:right w:val="nil"/>
            </w:tcBorders>
          </w:tcPr>
          <w:p w14:paraId="34CABDAC"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60DB51F0" w14:textId="77777777" w:rsidR="00F5104E" w:rsidRDefault="00F5104E" w:rsidP="00D57108">
            <w:pPr>
              <w:jc w:val="right"/>
              <w:rPr>
                <w:color w:val="000000"/>
              </w:rPr>
            </w:pPr>
            <w:r>
              <w:rPr>
                <w:color w:val="000000"/>
              </w:rPr>
              <w:t>2021</w:t>
            </w:r>
          </w:p>
        </w:tc>
        <w:tc>
          <w:tcPr>
            <w:tcW w:w="1558" w:type="dxa"/>
            <w:gridSpan w:val="2"/>
            <w:tcBorders>
              <w:top w:val="nil"/>
              <w:left w:val="nil"/>
              <w:bottom w:val="nil"/>
              <w:right w:val="nil"/>
            </w:tcBorders>
            <w:shd w:val="clear" w:color="auto" w:fill="F5EDC1" w:themeFill="accent4"/>
          </w:tcPr>
          <w:p w14:paraId="58E357F3" w14:textId="77777777" w:rsidR="00F5104E" w:rsidRDefault="00F5104E" w:rsidP="00D57108">
            <w:pPr>
              <w:jc w:val="right"/>
              <w:rPr>
                <w:color w:val="000000"/>
              </w:rPr>
            </w:pPr>
            <w:r>
              <w:rPr>
                <w:color w:val="000000"/>
              </w:rPr>
              <w:t>3.60%</w:t>
            </w:r>
          </w:p>
        </w:tc>
        <w:tc>
          <w:tcPr>
            <w:tcW w:w="1558" w:type="dxa"/>
            <w:tcBorders>
              <w:top w:val="nil"/>
              <w:left w:val="nil"/>
              <w:bottom w:val="nil"/>
              <w:right w:val="nil"/>
            </w:tcBorders>
            <w:shd w:val="clear" w:color="auto" w:fill="D4E2E0" w:themeFill="accent5"/>
          </w:tcPr>
          <w:p w14:paraId="24B1F778" w14:textId="77777777" w:rsidR="00F5104E" w:rsidRDefault="00F5104E" w:rsidP="00D57108">
            <w:pPr>
              <w:jc w:val="right"/>
              <w:rPr>
                <w:color w:val="000000"/>
              </w:rPr>
            </w:pPr>
            <w:r>
              <w:rPr>
                <w:color w:val="000000"/>
              </w:rPr>
              <w:t>2020</w:t>
            </w:r>
          </w:p>
        </w:tc>
        <w:tc>
          <w:tcPr>
            <w:tcW w:w="1485" w:type="dxa"/>
            <w:tcBorders>
              <w:top w:val="nil"/>
              <w:left w:val="nil"/>
              <w:bottom w:val="nil"/>
              <w:right w:val="nil"/>
            </w:tcBorders>
            <w:shd w:val="clear" w:color="auto" w:fill="D4E2E0" w:themeFill="accent5"/>
          </w:tcPr>
          <w:p w14:paraId="5A6F898A" w14:textId="77777777" w:rsidR="00F5104E" w:rsidRDefault="00F5104E" w:rsidP="00D57108">
            <w:pPr>
              <w:jc w:val="right"/>
              <w:rPr>
                <w:color w:val="000000"/>
              </w:rPr>
            </w:pPr>
            <w:r>
              <w:rPr>
                <w:color w:val="000000"/>
              </w:rPr>
              <w:t>4.00%</w:t>
            </w:r>
          </w:p>
        </w:tc>
      </w:tr>
      <w:tr w:rsidR="00F5104E" w14:paraId="1F9C6BDC" w14:textId="77777777" w:rsidTr="00D57108">
        <w:tc>
          <w:tcPr>
            <w:tcW w:w="3082" w:type="dxa"/>
            <w:tcBorders>
              <w:top w:val="nil"/>
              <w:left w:val="nil"/>
              <w:bottom w:val="nil"/>
              <w:right w:val="nil"/>
            </w:tcBorders>
          </w:tcPr>
          <w:p w14:paraId="0191D917"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5341F31D" w14:textId="77777777" w:rsidR="00F5104E" w:rsidRDefault="00F5104E" w:rsidP="00D57108">
            <w:pPr>
              <w:jc w:val="right"/>
              <w:rPr>
                <w:color w:val="000000"/>
              </w:rPr>
            </w:pPr>
            <w:r>
              <w:rPr>
                <w:color w:val="000000"/>
              </w:rPr>
              <w:t>2022</w:t>
            </w:r>
          </w:p>
        </w:tc>
        <w:tc>
          <w:tcPr>
            <w:tcW w:w="1558" w:type="dxa"/>
            <w:gridSpan w:val="2"/>
            <w:tcBorders>
              <w:top w:val="nil"/>
              <w:left w:val="nil"/>
              <w:bottom w:val="nil"/>
              <w:right w:val="nil"/>
            </w:tcBorders>
            <w:shd w:val="clear" w:color="auto" w:fill="F5EDC1" w:themeFill="accent4"/>
          </w:tcPr>
          <w:p w14:paraId="24187C60" w14:textId="77777777" w:rsidR="00F5104E" w:rsidRDefault="00F5104E" w:rsidP="00D57108">
            <w:pPr>
              <w:jc w:val="right"/>
              <w:rPr>
                <w:color w:val="000000"/>
              </w:rPr>
            </w:pPr>
            <w:r>
              <w:rPr>
                <w:color w:val="000000"/>
              </w:rPr>
              <w:t>3.80%</w:t>
            </w:r>
          </w:p>
        </w:tc>
        <w:tc>
          <w:tcPr>
            <w:tcW w:w="1558" w:type="dxa"/>
            <w:tcBorders>
              <w:top w:val="nil"/>
              <w:left w:val="nil"/>
              <w:bottom w:val="nil"/>
              <w:right w:val="nil"/>
            </w:tcBorders>
            <w:shd w:val="clear" w:color="auto" w:fill="D4E2E0" w:themeFill="accent5"/>
          </w:tcPr>
          <w:p w14:paraId="5A682FD6" w14:textId="77777777" w:rsidR="00F5104E" w:rsidRDefault="00F5104E" w:rsidP="00D57108">
            <w:pPr>
              <w:jc w:val="right"/>
              <w:rPr>
                <w:color w:val="000000"/>
              </w:rPr>
            </w:pPr>
            <w:r>
              <w:rPr>
                <w:color w:val="000000"/>
              </w:rPr>
              <w:t>2021</w:t>
            </w:r>
          </w:p>
        </w:tc>
        <w:tc>
          <w:tcPr>
            <w:tcW w:w="1485" w:type="dxa"/>
            <w:tcBorders>
              <w:top w:val="nil"/>
              <w:left w:val="nil"/>
              <w:bottom w:val="nil"/>
              <w:right w:val="nil"/>
            </w:tcBorders>
            <w:shd w:val="clear" w:color="auto" w:fill="D4E2E0" w:themeFill="accent5"/>
          </w:tcPr>
          <w:p w14:paraId="6A001116" w14:textId="77777777" w:rsidR="00F5104E" w:rsidRDefault="00F5104E" w:rsidP="00D57108">
            <w:pPr>
              <w:jc w:val="right"/>
              <w:rPr>
                <w:color w:val="000000"/>
              </w:rPr>
            </w:pPr>
            <w:r>
              <w:rPr>
                <w:color w:val="000000"/>
              </w:rPr>
              <w:t>4.20%</w:t>
            </w:r>
          </w:p>
        </w:tc>
      </w:tr>
      <w:tr w:rsidR="00F5104E" w14:paraId="1F1FE2A3" w14:textId="77777777" w:rsidTr="00D57108">
        <w:tc>
          <w:tcPr>
            <w:tcW w:w="3082" w:type="dxa"/>
            <w:tcBorders>
              <w:top w:val="nil"/>
              <w:left w:val="nil"/>
              <w:bottom w:val="nil"/>
              <w:right w:val="nil"/>
            </w:tcBorders>
          </w:tcPr>
          <w:p w14:paraId="4EE29BDB"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6681FE97" w14:textId="77777777" w:rsidR="00F5104E" w:rsidRDefault="00F5104E" w:rsidP="00D57108">
            <w:pPr>
              <w:jc w:val="right"/>
              <w:rPr>
                <w:color w:val="000000"/>
              </w:rPr>
            </w:pPr>
            <w:r>
              <w:rPr>
                <w:color w:val="000000"/>
              </w:rPr>
              <w:t>2023</w:t>
            </w:r>
          </w:p>
        </w:tc>
        <w:tc>
          <w:tcPr>
            <w:tcW w:w="1558" w:type="dxa"/>
            <w:gridSpan w:val="2"/>
            <w:tcBorders>
              <w:top w:val="nil"/>
              <w:left w:val="nil"/>
              <w:bottom w:val="nil"/>
              <w:right w:val="nil"/>
            </w:tcBorders>
            <w:shd w:val="clear" w:color="auto" w:fill="F5EDC1" w:themeFill="accent4"/>
          </w:tcPr>
          <w:p w14:paraId="2410E57C" w14:textId="77777777" w:rsidR="00F5104E" w:rsidRDefault="00F5104E" w:rsidP="00D57108">
            <w:pPr>
              <w:jc w:val="right"/>
              <w:rPr>
                <w:color w:val="000000"/>
              </w:rPr>
            </w:pPr>
            <w:r>
              <w:rPr>
                <w:color w:val="000000"/>
              </w:rPr>
              <w:t>3.90%</w:t>
            </w:r>
          </w:p>
        </w:tc>
        <w:tc>
          <w:tcPr>
            <w:tcW w:w="1558" w:type="dxa"/>
            <w:tcBorders>
              <w:top w:val="nil"/>
              <w:left w:val="nil"/>
              <w:bottom w:val="nil"/>
              <w:right w:val="nil"/>
            </w:tcBorders>
            <w:shd w:val="clear" w:color="auto" w:fill="D4E2E0" w:themeFill="accent5"/>
          </w:tcPr>
          <w:p w14:paraId="37409ED6" w14:textId="77777777" w:rsidR="00F5104E" w:rsidRDefault="00F5104E" w:rsidP="00D57108">
            <w:pPr>
              <w:jc w:val="right"/>
              <w:rPr>
                <w:color w:val="000000"/>
              </w:rPr>
            </w:pPr>
            <w:r>
              <w:rPr>
                <w:color w:val="000000"/>
              </w:rPr>
              <w:t>2022</w:t>
            </w:r>
          </w:p>
        </w:tc>
        <w:tc>
          <w:tcPr>
            <w:tcW w:w="1485" w:type="dxa"/>
            <w:tcBorders>
              <w:top w:val="nil"/>
              <w:left w:val="nil"/>
              <w:bottom w:val="nil"/>
              <w:right w:val="nil"/>
            </w:tcBorders>
            <w:shd w:val="clear" w:color="auto" w:fill="D4E2E0" w:themeFill="accent5"/>
          </w:tcPr>
          <w:p w14:paraId="451A5AF2" w14:textId="77777777" w:rsidR="00F5104E" w:rsidRDefault="00F5104E" w:rsidP="00D57108">
            <w:pPr>
              <w:jc w:val="right"/>
              <w:rPr>
                <w:color w:val="000000"/>
              </w:rPr>
            </w:pPr>
            <w:r>
              <w:rPr>
                <w:color w:val="000000"/>
              </w:rPr>
              <w:t>4.30%</w:t>
            </w:r>
          </w:p>
        </w:tc>
      </w:tr>
      <w:tr w:rsidR="00F5104E" w14:paraId="726D4903" w14:textId="77777777" w:rsidTr="00D57108">
        <w:tc>
          <w:tcPr>
            <w:tcW w:w="3082" w:type="dxa"/>
            <w:tcBorders>
              <w:top w:val="nil"/>
              <w:left w:val="nil"/>
              <w:bottom w:val="nil"/>
              <w:right w:val="nil"/>
            </w:tcBorders>
          </w:tcPr>
          <w:p w14:paraId="25465032"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157F64DC" w14:textId="77777777" w:rsidR="00F5104E" w:rsidRDefault="00F5104E" w:rsidP="00D57108">
            <w:pPr>
              <w:jc w:val="right"/>
              <w:rPr>
                <w:color w:val="000000"/>
              </w:rPr>
            </w:pPr>
            <w:r>
              <w:rPr>
                <w:color w:val="000000"/>
              </w:rPr>
              <w:t>2024</w:t>
            </w:r>
          </w:p>
        </w:tc>
        <w:tc>
          <w:tcPr>
            <w:tcW w:w="1558" w:type="dxa"/>
            <w:gridSpan w:val="2"/>
            <w:tcBorders>
              <w:top w:val="nil"/>
              <w:left w:val="nil"/>
              <w:bottom w:val="nil"/>
              <w:right w:val="nil"/>
            </w:tcBorders>
            <w:shd w:val="clear" w:color="auto" w:fill="F5EDC1" w:themeFill="accent4"/>
          </w:tcPr>
          <w:p w14:paraId="534D0577" w14:textId="77777777" w:rsidR="00F5104E" w:rsidRDefault="00F5104E" w:rsidP="00D57108">
            <w:pPr>
              <w:jc w:val="right"/>
              <w:rPr>
                <w:color w:val="000000"/>
              </w:rPr>
            </w:pPr>
            <w:r>
              <w:rPr>
                <w:color w:val="000000"/>
              </w:rPr>
              <w:t>4.00%</w:t>
            </w:r>
          </w:p>
        </w:tc>
        <w:tc>
          <w:tcPr>
            <w:tcW w:w="1558" w:type="dxa"/>
            <w:tcBorders>
              <w:top w:val="nil"/>
              <w:left w:val="nil"/>
              <w:bottom w:val="nil"/>
              <w:right w:val="nil"/>
            </w:tcBorders>
            <w:shd w:val="clear" w:color="auto" w:fill="D4E2E0" w:themeFill="accent5"/>
          </w:tcPr>
          <w:p w14:paraId="4CD79340" w14:textId="77777777" w:rsidR="00F5104E" w:rsidRDefault="00F5104E" w:rsidP="00D57108">
            <w:pPr>
              <w:jc w:val="right"/>
              <w:rPr>
                <w:color w:val="000000"/>
              </w:rPr>
            </w:pPr>
            <w:r>
              <w:rPr>
                <w:color w:val="000000"/>
              </w:rPr>
              <w:t>2023</w:t>
            </w:r>
          </w:p>
        </w:tc>
        <w:tc>
          <w:tcPr>
            <w:tcW w:w="1485" w:type="dxa"/>
            <w:tcBorders>
              <w:top w:val="nil"/>
              <w:left w:val="nil"/>
              <w:bottom w:val="nil"/>
              <w:right w:val="nil"/>
            </w:tcBorders>
            <w:shd w:val="clear" w:color="auto" w:fill="D4E2E0" w:themeFill="accent5"/>
          </w:tcPr>
          <w:p w14:paraId="0538E31B" w14:textId="77777777" w:rsidR="00F5104E" w:rsidRDefault="00F5104E" w:rsidP="00D57108">
            <w:pPr>
              <w:jc w:val="right"/>
              <w:rPr>
                <w:color w:val="000000"/>
              </w:rPr>
            </w:pPr>
            <w:r>
              <w:rPr>
                <w:color w:val="000000"/>
              </w:rPr>
              <w:t>4.40%</w:t>
            </w:r>
          </w:p>
        </w:tc>
      </w:tr>
      <w:tr w:rsidR="00F5104E" w14:paraId="26C94BFE" w14:textId="77777777" w:rsidTr="00D57108">
        <w:tc>
          <w:tcPr>
            <w:tcW w:w="3082" w:type="dxa"/>
            <w:tcBorders>
              <w:top w:val="nil"/>
              <w:left w:val="nil"/>
              <w:bottom w:val="nil"/>
              <w:right w:val="nil"/>
            </w:tcBorders>
          </w:tcPr>
          <w:p w14:paraId="6596FFDC"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6CE279DB" w14:textId="77777777" w:rsidR="00F5104E" w:rsidRDefault="00F5104E" w:rsidP="00D57108">
            <w:pPr>
              <w:jc w:val="right"/>
              <w:rPr>
                <w:color w:val="000000"/>
              </w:rPr>
            </w:pPr>
            <w:r>
              <w:rPr>
                <w:color w:val="000000"/>
              </w:rPr>
              <w:t>2025</w:t>
            </w:r>
          </w:p>
        </w:tc>
        <w:tc>
          <w:tcPr>
            <w:tcW w:w="1558" w:type="dxa"/>
            <w:gridSpan w:val="2"/>
            <w:tcBorders>
              <w:top w:val="nil"/>
              <w:left w:val="nil"/>
              <w:bottom w:val="nil"/>
              <w:right w:val="nil"/>
            </w:tcBorders>
            <w:shd w:val="clear" w:color="auto" w:fill="F5EDC1" w:themeFill="accent4"/>
          </w:tcPr>
          <w:p w14:paraId="4769A5B8" w14:textId="77777777" w:rsidR="00F5104E" w:rsidRDefault="00F5104E" w:rsidP="00D57108">
            <w:pPr>
              <w:jc w:val="right"/>
              <w:rPr>
                <w:color w:val="000000"/>
              </w:rPr>
            </w:pPr>
            <w:r>
              <w:rPr>
                <w:color w:val="000000"/>
              </w:rPr>
              <w:t>4.10%</w:t>
            </w:r>
          </w:p>
        </w:tc>
        <w:tc>
          <w:tcPr>
            <w:tcW w:w="1558" w:type="dxa"/>
            <w:tcBorders>
              <w:top w:val="nil"/>
              <w:left w:val="nil"/>
              <w:bottom w:val="nil"/>
              <w:right w:val="nil"/>
            </w:tcBorders>
            <w:shd w:val="clear" w:color="auto" w:fill="D4E2E0" w:themeFill="accent5"/>
          </w:tcPr>
          <w:p w14:paraId="3B07518C" w14:textId="77777777" w:rsidR="00F5104E" w:rsidRDefault="00F5104E" w:rsidP="00D57108">
            <w:pPr>
              <w:jc w:val="right"/>
              <w:rPr>
                <w:color w:val="000000"/>
              </w:rPr>
            </w:pPr>
            <w:r>
              <w:rPr>
                <w:color w:val="000000"/>
              </w:rPr>
              <w:t>2024</w:t>
            </w:r>
          </w:p>
        </w:tc>
        <w:tc>
          <w:tcPr>
            <w:tcW w:w="1485" w:type="dxa"/>
            <w:tcBorders>
              <w:top w:val="nil"/>
              <w:left w:val="nil"/>
              <w:bottom w:val="nil"/>
              <w:right w:val="nil"/>
            </w:tcBorders>
            <w:shd w:val="clear" w:color="auto" w:fill="D4E2E0" w:themeFill="accent5"/>
          </w:tcPr>
          <w:p w14:paraId="22D02933" w14:textId="77777777" w:rsidR="00F5104E" w:rsidRDefault="00F5104E" w:rsidP="00D57108">
            <w:pPr>
              <w:jc w:val="right"/>
              <w:rPr>
                <w:color w:val="000000"/>
              </w:rPr>
            </w:pPr>
            <w:r>
              <w:rPr>
                <w:color w:val="000000"/>
              </w:rPr>
              <w:t>4.50%</w:t>
            </w:r>
          </w:p>
        </w:tc>
      </w:tr>
      <w:tr w:rsidR="00F5104E" w14:paraId="1CC5EC3D" w14:textId="77777777" w:rsidTr="00D57108">
        <w:tc>
          <w:tcPr>
            <w:tcW w:w="3082" w:type="dxa"/>
            <w:tcBorders>
              <w:top w:val="nil"/>
              <w:left w:val="nil"/>
              <w:bottom w:val="nil"/>
              <w:right w:val="nil"/>
            </w:tcBorders>
          </w:tcPr>
          <w:p w14:paraId="1375072C"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0BA0E9CC" w14:textId="77777777" w:rsidR="00F5104E" w:rsidRDefault="00F5104E" w:rsidP="00D57108">
            <w:pPr>
              <w:jc w:val="right"/>
              <w:rPr>
                <w:color w:val="000000"/>
              </w:rPr>
            </w:pPr>
            <w:r>
              <w:rPr>
                <w:color w:val="000000"/>
              </w:rPr>
              <w:t>2026</w:t>
            </w:r>
          </w:p>
        </w:tc>
        <w:tc>
          <w:tcPr>
            <w:tcW w:w="1558" w:type="dxa"/>
            <w:gridSpan w:val="2"/>
            <w:tcBorders>
              <w:top w:val="nil"/>
              <w:left w:val="nil"/>
              <w:bottom w:val="nil"/>
              <w:right w:val="nil"/>
            </w:tcBorders>
            <w:shd w:val="clear" w:color="auto" w:fill="F5EDC1" w:themeFill="accent4"/>
          </w:tcPr>
          <w:p w14:paraId="3735DD2C" w14:textId="77777777" w:rsidR="00F5104E" w:rsidRDefault="00F5104E" w:rsidP="00D57108">
            <w:pPr>
              <w:jc w:val="right"/>
              <w:rPr>
                <w:color w:val="000000"/>
              </w:rPr>
            </w:pPr>
            <w:r>
              <w:rPr>
                <w:color w:val="000000"/>
              </w:rPr>
              <w:t>4.20%</w:t>
            </w:r>
          </w:p>
        </w:tc>
        <w:tc>
          <w:tcPr>
            <w:tcW w:w="1558" w:type="dxa"/>
            <w:tcBorders>
              <w:top w:val="nil"/>
              <w:left w:val="nil"/>
              <w:bottom w:val="nil"/>
              <w:right w:val="nil"/>
            </w:tcBorders>
            <w:shd w:val="clear" w:color="auto" w:fill="D4E2E0" w:themeFill="accent5"/>
          </w:tcPr>
          <w:p w14:paraId="2872C551" w14:textId="77777777" w:rsidR="00F5104E" w:rsidRDefault="00F5104E" w:rsidP="00D57108">
            <w:pPr>
              <w:jc w:val="right"/>
              <w:rPr>
                <w:color w:val="000000"/>
              </w:rPr>
            </w:pPr>
            <w:r>
              <w:rPr>
                <w:color w:val="000000"/>
              </w:rPr>
              <w:t>2025</w:t>
            </w:r>
          </w:p>
        </w:tc>
        <w:tc>
          <w:tcPr>
            <w:tcW w:w="1485" w:type="dxa"/>
            <w:tcBorders>
              <w:top w:val="nil"/>
              <w:left w:val="nil"/>
              <w:bottom w:val="nil"/>
              <w:right w:val="nil"/>
            </w:tcBorders>
            <w:shd w:val="clear" w:color="auto" w:fill="D4E2E0" w:themeFill="accent5"/>
          </w:tcPr>
          <w:p w14:paraId="56087038" w14:textId="77777777" w:rsidR="00F5104E" w:rsidRDefault="00F5104E" w:rsidP="00D57108">
            <w:pPr>
              <w:jc w:val="right"/>
              <w:rPr>
                <w:color w:val="000000"/>
              </w:rPr>
            </w:pPr>
            <w:r>
              <w:rPr>
                <w:color w:val="000000"/>
              </w:rPr>
              <w:t>4.60%</w:t>
            </w:r>
          </w:p>
        </w:tc>
      </w:tr>
      <w:tr w:rsidR="00F5104E" w14:paraId="708FB0E9" w14:textId="77777777" w:rsidTr="00D57108">
        <w:tc>
          <w:tcPr>
            <w:tcW w:w="3082" w:type="dxa"/>
            <w:tcBorders>
              <w:top w:val="nil"/>
              <w:left w:val="nil"/>
              <w:bottom w:val="nil"/>
              <w:right w:val="nil"/>
            </w:tcBorders>
          </w:tcPr>
          <w:p w14:paraId="7004961B"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7AFF819E" w14:textId="77777777" w:rsidR="00F5104E" w:rsidRDefault="00F5104E" w:rsidP="00D57108">
            <w:pPr>
              <w:jc w:val="right"/>
              <w:rPr>
                <w:color w:val="000000"/>
              </w:rPr>
            </w:pPr>
            <w:r>
              <w:rPr>
                <w:color w:val="000000"/>
              </w:rPr>
              <w:t>2027</w:t>
            </w:r>
          </w:p>
        </w:tc>
        <w:tc>
          <w:tcPr>
            <w:tcW w:w="1558" w:type="dxa"/>
            <w:gridSpan w:val="2"/>
            <w:tcBorders>
              <w:top w:val="nil"/>
              <w:left w:val="nil"/>
              <w:bottom w:val="nil"/>
              <w:right w:val="nil"/>
            </w:tcBorders>
            <w:shd w:val="clear" w:color="auto" w:fill="F5EDC1" w:themeFill="accent4"/>
          </w:tcPr>
          <w:p w14:paraId="371C7552" w14:textId="77777777" w:rsidR="00F5104E" w:rsidRDefault="00F5104E" w:rsidP="00D57108">
            <w:pPr>
              <w:jc w:val="right"/>
              <w:rPr>
                <w:color w:val="000000"/>
              </w:rPr>
            </w:pPr>
            <w:r>
              <w:rPr>
                <w:color w:val="000000"/>
              </w:rPr>
              <w:t>4.30%</w:t>
            </w:r>
          </w:p>
        </w:tc>
        <w:tc>
          <w:tcPr>
            <w:tcW w:w="1558" w:type="dxa"/>
            <w:tcBorders>
              <w:top w:val="nil"/>
              <w:left w:val="nil"/>
              <w:bottom w:val="nil"/>
              <w:right w:val="nil"/>
            </w:tcBorders>
            <w:shd w:val="clear" w:color="auto" w:fill="D4E2E0" w:themeFill="accent5"/>
          </w:tcPr>
          <w:p w14:paraId="59CDAC6B" w14:textId="77777777" w:rsidR="00F5104E" w:rsidRDefault="00F5104E" w:rsidP="00D57108">
            <w:pPr>
              <w:jc w:val="right"/>
              <w:rPr>
                <w:color w:val="000000"/>
              </w:rPr>
            </w:pPr>
            <w:r>
              <w:rPr>
                <w:color w:val="000000"/>
              </w:rPr>
              <w:t>2026</w:t>
            </w:r>
          </w:p>
        </w:tc>
        <w:tc>
          <w:tcPr>
            <w:tcW w:w="1485" w:type="dxa"/>
            <w:tcBorders>
              <w:top w:val="nil"/>
              <w:left w:val="nil"/>
              <w:bottom w:val="nil"/>
              <w:right w:val="nil"/>
            </w:tcBorders>
            <w:shd w:val="clear" w:color="auto" w:fill="D4E2E0" w:themeFill="accent5"/>
          </w:tcPr>
          <w:p w14:paraId="425C78B6" w14:textId="77777777" w:rsidR="00F5104E" w:rsidRDefault="00F5104E" w:rsidP="00D57108">
            <w:pPr>
              <w:jc w:val="right"/>
              <w:rPr>
                <w:color w:val="000000"/>
              </w:rPr>
            </w:pPr>
            <w:r>
              <w:rPr>
                <w:color w:val="000000"/>
              </w:rPr>
              <w:t>4.70%</w:t>
            </w:r>
          </w:p>
        </w:tc>
      </w:tr>
      <w:tr w:rsidR="00F5104E" w14:paraId="0BFD80A8" w14:textId="77777777" w:rsidTr="00D57108">
        <w:tc>
          <w:tcPr>
            <w:tcW w:w="3082" w:type="dxa"/>
            <w:tcBorders>
              <w:top w:val="nil"/>
              <w:left w:val="nil"/>
              <w:bottom w:val="nil"/>
              <w:right w:val="nil"/>
            </w:tcBorders>
          </w:tcPr>
          <w:p w14:paraId="5382CFD5"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5C6BFB83" w14:textId="77777777" w:rsidR="00F5104E" w:rsidRDefault="00F5104E" w:rsidP="00D57108">
            <w:pPr>
              <w:jc w:val="right"/>
              <w:rPr>
                <w:color w:val="000000"/>
              </w:rPr>
            </w:pPr>
            <w:r>
              <w:rPr>
                <w:color w:val="000000"/>
              </w:rPr>
              <w:t>2028</w:t>
            </w:r>
          </w:p>
        </w:tc>
        <w:tc>
          <w:tcPr>
            <w:tcW w:w="1558" w:type="dxa"/>
            <w:gridSpan w:val="2"/>
            <w:tcBorders>
              <w:top w:val="nil"/>
              <w:left w:val="nil"/>
              <w:bottom w:val="nil"/>
              <w:right w:val="nil"/>
            </w:tcBorders>
            <w:shd w:val="clear" w:color="auto" w:fill="F5EDC1" w:themeFill="accent4"/>
          </w:tcPr>
          <w:p w14:paraId="359CC854" w14:textId="77777777" w:rsidR="00F5104E" w:rsidRDefault="00F5104E" w:rsidP="00D57108">
            <w:pPr>
              <w:jc w:val="right"/>
              <w:rPr>
                <w:color w:val="000000"/>
              </w:rPr>
            </w:pPr>
            <w:r>
              <w:rPr>
                <w:color w:val="000000"/>
              </w:rPr>
              <w:t>4.30%</w:t>
            </w:r>
          </w:p>
        </w:tc>
        <w:tc>
          <w:tcPr>
            <w:tcW w:w="1558" w:type="dxa"/>
            <w:tcBorders>
              <w:top w:val="nil"/>
              <w:left w:val="nil"/>
              <w:bottom w:val="nil"/>
              <w:right w:val="nil"/>
            </w:tcBorders>
            <w:shd w:val="clear" w:color="auto" w:fill="D4E2E0" w:themeFill="accent5"/>
          </w:tcPr>
          <w:p w14:paraId="5ABDFC08" w14:textId="77777777" w:rsidR="00F5104E" w:rsidRDefault="00F5104E" w:rsidP="00D57108">
            <w:pPr>
              <w:jc w:val="right"/>
              <w:rPr>
                <w:color w:val="000000"/>
              </w:rPr>
            </w:pPr>
            <w:r>
              <w:rPr>
                <w:color w:val="000000"/>
              </w:rPr>
              <w:t>2027</w:t>
            </w:r>
          </w:p>
        </w:tc>
        <w:tc>
          <w:tcPr>
            <w:tcW w:w="1485" w:type="dxa"/>
            <w:tcBorders>
              <w:top w:val="nil"/>
              <w:left w:val="nil"/>
              <w:bottom w:val="nil"/>
              <w:right w:val="nil"/>
            </w:tcBorders>
            <w:shd w:val="clear" w:color="auto" w:fill="D4E2E0" w:themeFill="accent5"/>
          </w:tcPr>
          <w:p w14:paraId="457A9D9E" w14:textId="77777777" w:rsidR="00F5104E" w:rsidRDefault="00F5104E" w:rsidP="00D57108">
            <w:pPr>
              <w:jc w:val="right"/>
              <w:rPr>
                <w:color w:val="000000"/>
              </w:rPr>
            </w:pPr>
            <w:r>
              <w:rPr>
                <w:color w:val="000000"/>
              </w:rPr>
              <w:t>4.80%</w:t>
            </w:r>
          </w:p>
        </w:tc>
      </w:tr>
      <w:tr w:rsidR="00F5104E" w14:paraId="679C8E13" w14:textId="77777777" w:rsidTr="00D57108">
        <w:tc>
          <w:tcPr>
            <w:tcW w:w="3082" w:type="dxa"/>
            <w:tcBorders>
              <w:top w:val="nil"/>
              <w:left w:val="nil"/>
              <w:bottom w:val="nil"/>
              <w:right w:val="nil"/>
            </w:tcBorders>
          </w:tcPr>
          <w:p w14:paraId="173D60BC"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28B4CC83" w14:textId="77777777" w:rsidR="00F5104E" w:rsidRDefault="00F5104E" w:rsidP="00D57108">
            <w:pPr>
              <w:jc w:val="right"/>
              <w:rPr>
                <w:color w:val="000000"/>
              </w:rPr>
            </w:pPr>
            <w:r>
              <w:rPr>
                <w:color w:val="000000"/>
              </w:rPr>
              <w:t>2029</w:t>
            </w:r>
          </w:p>
        </w:tc>
        <w:tc>
          <w:tcPr>
            <w:tcW w:w="1558" w:type="dxa"/>
            <w:gridSpan w:val="2"/>
            <w:tcBorders>
              <w:top w:val="nil"/>
              <w:left w:val="nil"/>
              <w:bottom w:val="nil"/>
              <w:right w:val="nil"/>
            </w:tcBorders>
            <w:shd w:val="clear" w:color="auto" w:fill="F5EDC1" w:themeFill="accent4"/>
          </w:tcPr>
          <w:p w14:paraId="3B168A9E" w14:textId="77777777" w:rsidR="00F5104E" w:rsidRDefault="00F5104E" w:rsidP="00D57108">
            <w:pPr>
              <w:jc w:val="right"/>
              <w:rPr>
                <w:color w:val="000000"/>
              </w:rPr>
            </w:pPr>
            <w:r>
              <w:rPr>
                <w:color w:val="000000"/>
              </w:rPr>
              <w:t>4.40%</w:t>
            </w:r>
          </w:p>
        </w:tc>
        <w:tc>
          <w:tcPr>
            <w:tcW w:w="1558" w:type="dxa"/>
            <w:tcBorders>
              <w:top w:val="nil"/>
              <w:left w:val="nil"/>
              <w:bottom w:val="nil"/>
              <w:right w:val="nil"/>
            </w:tcBorders>
            <w:shd w:val="clear" w:color="auto" w:fill="D4E2E0" w:themeFill="accent5"/>
          </w:tcPr>
          <w:p w14:paraId="6AD09EBF" w14:textId="77777777" w:rsidR="00F5104E" w:rsidRDefault="00F5104E" w:rsidP="00D57108">
            <w:pPr>
              <w:jc w:val="right"/>
              <w:rPr>
                <w:color w:val="000000"/>
              </w:rPr>
            </w:pPr>
            <w:r>
              <w:rPr>
                <w:color w:val="000000"/>
              </w:rPr>
              <w:t>2028</w:t>
            </w:r>
          </w:p>
        </w:tc>
        <w:tc>
          <w:tcPr>
            <w:tcW w:w="1485" w:type="dxa"/>
            <w:tcBorders>
              <w:top w:val="nil"/>
              <w:left w:val="nil"/>
              <w:bottom w:val="nil"/>
              <w:right w:val="nil"/>
            </w:tcBorders>
            <w:shd w:val="clear" w:color="auto" w:fill="D4E2E0" w:themeFill="accent5"/>
          </w:tcPr>
          <w:p w14:paraId="6066ECF0" w14:textId="77777777" w:rsidR="00F5104E" w:rsidRDefault="00F5104E" w:rsidP="00D57108">
            <w:pPr>
              <w:jc w:val="right"/>
              <w:rPr>
                <w:color w:val="000000"/>
              </w:rPr>
            </w:pPr>
            <w:r>
              <w:rPr>
                <w:color w:val="000000"/>
              </w:rPr>
              <w:t>4.90%</w:t>
            </w:r>
          </w:p>
        </w:tc>
      </w:tr>
      <w:tr w:rsidR="00F5104E" w14:paraId="13C4504C" w14:textId="77777777" w:rsidTr="00D57108">
        <w:tc>
          <w:tcPr>
            <w:tcW w:w="3082" w:type="dxa"/>
            <w:tcBorders>
              <w:top w:val="nil"/>
              <w:left w:val="nil"/>
              <w:bottom w:val="nil"/>
              <w:right w:val="nil"/>
            </w:tcBorders>
          </w:tcPr>
          <w:p w14:paraId="7C035567"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26F03CD7" w14:textId="77777777" w:rsidR="00F5104E" w:rsidRDefault="00F5104E" w:rsidP="00D57108">
            <w:pPr>
              <w:jc w:val="right"/>
              <w:rPr>
                <w:color w:val="000000"/>
              </w:rPr>
            </w:pPr>
            <w:r>
              <w:rPr>
                <w:color w:val="000000"/>
              </w:rPr>
              <w:t>2030</w:t>
            </w:r>
          </w:p>
        </w:tc>
        <w:tc>
          <w:tcPr>
            <w:tcW w:w="1558" w:type="dxa"/>
            <w:gridSpan w:val="2"/>
            <w:tcBorders>
              <w:top w:val="nil"/>
              <w:left w:val="nil"/>
              <w:bottom w:val="nil"/>
              <w:right w:val="nil"/>
            </w:tcBorders>
            <w:shd w:val="clear" w:color="auto" w:fill="F5EDC1" w:themeFill="accent4"/>
          </w:tcPr>
          <w:p w14:paraId="695AD7A6" w14:textId="77777777" w:rsidR="00F5104E" w:rsidRDefault="00F5104E" w:rsidP="00D57108">
            <w:pPr>
              <w:jc w:val="right"/>
              <w:rPr>
                <w:color w:val="000000"/>
              </w:rPr>
            </w:pPr>
            <w:r>
              <w:rPr>
                <w:color w:val="000000"/>
              </w:rPr>
              <w:t>4.40%</w:t>
            </w:r>
          </w:p>
        </w:tc>
        <w:tc>
          <w:tcPr>
            <w:tcW w:w="1558" w:type="dxa"/>
            <w:tcBorders>
              <w:top w:val="nil"/>
              <w:left w:val="nil"/>
              <w:bottom w:val="nil"/>
              <w:right w:val="nil"/>
            </w:tcBorders>
            <w:shd w:val="clear" w:color="auto" w:fill="D4E2E0" w:themeFill="accent5"/>
          </w:tcPr>
          <w:p w14:paraId="5D0FE973" w14:textId="77777777" w:rsidR="00F5104E" w:rsidRDefault="00F5104E" w:rsidP="00D57108">
            <w:pPr>
              <w:jc w:val="right"/>
              <w:rPr>
                <w:color w:val="000000"/>
              </w:rPr>
            </w:pPr>
            <w:r>
              <w:rPr>
                <w:color w:val="000000"/>
              </w:rPr>
              <w:t>2029</w:t>
            </w:r>
          </w:p>
        </w:tc>
        <w:tc>
          <w:tcPr>
            <w:tcW w:w="1485" w:type="dxa"/>
            <w:tcBorders>
              <w:top w:val="nil"/>
              <w:left w:val="nil"/>
              <w:bottom w:val="nil"/>
              <w:right w:val="nil"/>
            </w:tcBorders>
            <w:shd w:val="clear" w:color="auto" w:fill="D4E2E0" w:themeFill="accent5"/>
          </w:tcPr>
          <w:p w14:paraId="467BBB11" w14:textId="77777777" w:rsidR="00F5104E" w:rsidRDefault="00F5104E" w:rsidP="00D57108">
            <w:pPr>
              <w:jc w:val="right"/>
              <w:rPr>
                <w:color w:val="000000"/>
              </w:rPr>
            </w:pPr>
            <w:r>
              <w:rPr>
                <w:color w:val="000000"/>
              </w:rPr>
              <w:t>5.00%</w:t>
            </w:r>
          </w:p>
        </w:tc>
      </w:tr>
      <w:tr w:rsidR="00F5104E" w14:paraId="300B4BE8" w14:textId="77777777" w:rsidTr="00D57108">
        <w:tc>
          <w:tcPr>
            <w:tcW w:w="3082" w:type="dxa"/>
            <w:tcBorders>
              <w:top w:val="nil"/>
              <w:left w:val="nil"/>
              <w:bottom w:val="nil"/>
              <w:right w:val="nil"/>
            </w:tcBorders>
          </w:tcPr>
          <w:p w14:paraId="6D493445" w14:textId="77777777" w:rsidR="00F5104E" w:rsidRPr="000B4E3E" w:rsidRDefault="00F5104E" w:rsidP="00D57108">
            <w:pPr>
              <w:rPr>
                <w:color w:val="000000"/>
              </w:rPr>
            </w:pPr>
          </w:p>
        </w:tc>
        <w:tc>
          <w:tcPr>
            <w:tcW w:w="1559" w:type="dxa"/>
            <w:tcBorders>
              <w:top w:val="nil"/>
              <w:left w:val="nil"/>
              <w:bottom w:val="nil"/>
              <w:right w:val="nil"/>
            </w:tcBorders>
            <w:shd w:val="clear" w:color="auto" w:fill="F5EDC1" w:themeFill="accent4"/>
          </w:tcPr>
          <w:p w14:paraId="2C6731E7" w14:textId="77777777" w:rsidR="00F5104E" w:rsidRDefault="00F5104E" w:rsidP="00D57108">
            <w:pPr>
              <w:jc w:val="right"/>
              <w:rPr>
                <w:color w:val="000000"/>
              </w:rPr>
            </w:pPr>
            <w:r>
              <w:rPr>
                <w:color w:val="000000"/>
              </w:rPr>
              <w:t>2031 onwards</w:t>
            </w:r>
          </w:p>
        </w:tc>
        <w:tc>
          <w:tcPr>
            <w:tcW w:w="1558" w:type="dxa"/>
            <w:gridSpan w:val="2"/>
            <w:tcBorders>
              <w:top w:val="nil"/>
              <w:left w:val="nil"/>
              <w:bottom w:val="nil"/>
              <w:right w:val="nil"/>
            </w:tcBorders>
            <w:shd w:val="clear" w:color="auto" w:fill="F5EDC1" w:themeFill="accent4"/>
          </w:tcPr>
          <w:p w14:paraId="0DF247E8" w14:textId="77777777" w:rsidR="00F5104E" w:rsidRDefault="00F5104E" w:rsidP="00D57108">
            <w:pPr>
              <w:jc w:val="right"/>
              <w:rPr>
                <w:color w:val="000000"/>
              </w:rPr>
            </w:pPr>
            <w:r>
              <w:rPr>
                <w:color w:val="000000"/>
              </w:rPr>
              <w:t>4.50%</w:t>
            </w:r>
          </w:p>
        </w:tc>
        <w:tc>
          <w:tcPr>
            <w:tcW w:w="1558" w:type="dxa"/>
            <w:tcBorders>
              <w:top w:val="nil"/>
              <w:left w:val="nil"/>
              <w:bottom w:val="nil"/>
              <w:right w:val="nil"/>
            </w:tcBorders>
            <w:shd w:val="clear" w:color="auto" w:fill="D4E2E0" w:themeFill="accent5"/>
          </w:tcPr>
          <w:p w14:paraId="22BD52B8" w14:textId="77777777" w:rsidR="00F5104E" w:rsidRDefault="00F5104E" w:rsidP="00D57108">
            <w:pPr>
              <w:jc w:val="right"/>
              <w:rPr>
                <w:color w:val="000000"/>
              </w:rPr>
            </w:pPr>
            <w:r>
              <w:rPr>
                <w:color w:val="000000"/>
              </w:rPr>
              <w:t>2030 onwards</w:t>
            </w:r>
          </w:p>
        </w:tc>
        <w:tc>
          <w:tcPr>
            <w:tcW w:w="1485" w:type="dxa"/>
            <w:tcBorders>
              <w:top w:val="nil"/>
              <w:left w:val="nil"/>
              <w:bottom w:val="nil"/>
              <w:right w:val="nil"/>
            </w:tcBorders>
            <w:shd w:val="clear" w:color="auto" w:fill="D4E2E0" w:themeFill="accent5"/>
          </w:tcPr>
          <w:p w14:paraId="541B229A" w14:textId="77777777" w:rsidR="00F5104E" w:rsidRDefault="00F5104E" w:rsidP="00D57108">
            <w:pPr>
              <w:jc w:val="right"/>
              <w:rPr>
                <w:color w:val="000000"/>
              </w:rPr>
            </w:pPr>
            <w:r>
              <w:rPr>
                <w:color w:val="000000"/>
              </w:rPr>
              <w:t>5.00%</w:t>
            </w:r>
          </w:p>
        </w:tc>
      </w:tr>
      <w:tr w:rsidR="00F5104E" w:rsidRPr="000B4E3E" w14:paraId="059A0E18" w14:textId="77777777" w:rsidTr="00D57108">
        <w:tc>
          <w:tcPr>
            <w:tcW w:w="3082" w:type="dxa"/>
            <w:tcBorders>
              <w:top w:val="nil"/>
              <w:left w:val="nil"/>
              <w:bottom w:val="nil"/>
              <w:right w:val="nil"/>
            </w:tcBorders>
          </w:tcPr>
          <w:p w14:paraId="3C6BD494" w14:textId="77777777" w:rsidR="00F5104E" w:rsidRPr="000B4E3E" w:rsidRDefault="00F5104E" w:rsidP="00D57108">
            <w:pPr>
              <w:rPr>
                <w:color w:val="000000"/>
              </w:rPr>
            </w:pPr>
            <w:r>
              <w:rPr>
                <w:color w:val="000000"/>
              </w:rPr>
              <w:t>Claims Management Expenses</w:t>
            </w:r>
          </w:p>
        </w:tc>
        <w:tc>
          <w:tcPr>
            <w:tcW w:w="3080" w:type="dxa"/>
            <w:gridSpan w:val="2"/>
            <w:tcBorders>
              <w:top w:val="nil"/>
              <w:left w:val="nil"/>
              <w:bottom w:val="nil"/>
              <w:right w:val="nil"/>
            </w:tcBorders>
            <w:shd w:val="clear" w:color="auto" w:fill="F5EDC1" w:themeFill="accent4"/>
          </w:tcPr>
          <w:p w14:paraId="0FC70EAE" w14:textId="77777777" w:rsidR="00F5104E" w:rsidRPr="000B4E3E" w:rsidRDefault="00F5104E" w:rsidP="00D57108">
            <w:pPr>
              <w:jc w:val="right"/>
              <w:rPr>
                <w:color w:val="000000"/>
              </w:rPr>
            </w:pPr>
            <w:r>
              <w:rPr>
                <w:color w:val="000000"/>
              </w:rPr>
              <w:t>10.5% for claim payments</w:t>
            </w:r>
          </w:p>
        </w:tc>
        <w:tc>
          <w:tcPr>
            <w:tcW w:w="3080" w:type="dxa"/>
            <w:gridSpan w:val="3"/>
            <w:tcBorders>
              <w:top w:val="nil"/>
              <w:left w:val="nil"/>
              <w:bottom w:val="nil"/>
              <w:right w:val="nil"/>
            </w:tcBorders>
            <w:shd w:val="clear" w:color="auto" w:fill="D4E2E0" w:themeFill="accent5"/>
          </w:tcPr>
          <w:p w14:paraId="628AE5AD" w14:textId="77777777" w:rsidR="00F5104E" w:rsidRPr="000B4E3E" w:rsidRDefault="00F5104E" w:rsidP="00D57108">
            <w:pPr>
              <w:jc w:val="right"/>
              <w:rPr>
                <w:color w:val="000000"/>
              </w:rPr>
            </w:pPr>
            <w:r>
              <w:rPr>
                <w:color w:val="000000"/>
              </w:rPr>
              <w:t>10.5% for claim payments</w:t>
            </w:r>
          </w:p>
        </w:tc>
      </w:tr>
      <w:tr w:rsidR="00F5104E" w:rsidRPr="000B4E3E" w14:paraId="318AF7B8" w14:textId="77777777" w:rsidTr="00D57108">
        <w:tc>
          <w:tcPr>
            <w:tcW w:w="3082" w:type="dxa"/>
            <w:tcBorders>
              <w:top w:val="nil"/>
              <w:left w:val="nil"/>
              <w:bottom w:val="nil"/>
              <w:right w:val="nil"/>
            </w:tcBorders>
          </w:tcPr>
          <w:p w14:paraId="021B65F2" w14:textId="77777777" w:rsidR="00F5104E" w:rsidRPr="000B4E3E" w:rsidRDefault="00F5104E" w:rsidP="00D57108">
            <w:pPr>
              <w:rPr>
                <w:color w:val="000000"/>
              </w:rPr>
            </w:pPr>
            <w:r>
              <w:rPr>
                <w:color w:val="000000"/>
              </w:rPr>
              <w:t>Superimposed Inflation</w:t>
            </w:r>
          </w:p>
        </w:tc>
        <w:tc>
          <w:tcPr>
            <w:tcW w:w="3080" w:type="dxa"/>
            <w:gridSpan w:val="2"/>
            <w:tcBorders>
              <w:top w:val="nil"/>
              <w:left w:val="nil"/>
              <w:bottom w:val="nil"/>
              <w:right w:val="nil"/>
            </w:tcBorders>
            <w:shd w:val="clear" w:color="auto" w:fill="F5EDC1" w:themeFill="accent4"/>
          </w:tcPr>
          <w:p w14:paraId="7022A35E" w14:textId="6AAC8932" w:rsidR="00F5104E" w:rsidRPr="000B4E3E" w:rsidRDefault="00F5104E" w:rsidP="00D57108">
            <w:pPr>
              <w:jc w:val="right"/>
              <w:rPr>
                <w:color w:val="000000"/>
              </w:rPr>
            </w:pPr>
            <w:r>
              <w:rPr>
                <w:color w:val="000000"/>
              </w:rPr>
              <w:t>2.5% for PPCI and PPCF methods</w:t>
            </w:r>
          </w:p>
        </w:tc>
        <w:tc>
          <w:tcPr>
            <w:tcW w:w="3080" w:type="dxa"/>
            <w:gridSpan w:val="3"/>
            <w:tcBorders>
              <w:top w:val="nil"/>
              <w:left w:val="nil"/>
              <w:bottom w:val="nil"/>
              <w:right w:val="nil"/>
            </w:tcBorders>
            <w:shd w:val="clear" w:color="auto" w:fill="D4E2E0" w:themeFill="accent5"/>
          </w:tcPr>
          <w:p w14:paraId="7BE23EAA" w14:textId="54F4694B" w:rsidR="00F5104E" w:rsidRPr="000B4E3E" w:rsidRDefault="00F5104E" w:rsidP="00D57108">
            <w:pPr>
              <w:jc w:val="right"/>
              <w:rPr>
                <w:color w:val="000000"/>
              </w:rPr>
            </w:pPr>
            <w:r>
              <w:rPr>
                <w:color w:val="000000"/>
              </w:rPr>
              <w:t>2.5% for PPCI and PPCF methods</w:t>
            </w:r>
          </w:p>
        </w:tc>
      </w:tr>
      <w:tr w:rsidR="00F5104E" w:rsidRPr="000B4E3E" w14:paraId="33BB0626" w14:textId="77777777" w:rsidTr="00D57108">
        <w:tc>
          <w:tcPr>
            <w:tcW w:w="3082" w:type="dxa"/>
            <w:tcBorders>
              <w:top w:val="nil"/>
              <w:left w:val="nil"/>
              <w:bottom w:val="nil"/>
              <w:right w:val="nil"/>
            </w:tcBorders>
          </w:tcPr>
          <w:p w14:paraId="3B4E2057" w14:textId="77777777" w:rsidR="00F5104E" w:rsidRDefault="00F5104E" w:rsidP="00D57108">
            <w:pPr>
              <w:rPr>
                <w:color w:val="000000"/>
              </w:rPr>
            </w:pPr>
            <w:r>
              <w:rPr>
                <w:color w:val="000000"/>
              </w:rPr>
              <w:lastRenderedPageBreak/>
              <w:t>Risk Margin</w:t>
            </w:r>
          </w:p>
        </w:tc>
        <w:tc>
          <w:tcPr>
            <w:tcW w:w="3080" w:type="dxa"/>
            <w:gridSpan w:val="2"/>
            <w:tcBorders>
              <w:top w:val="nil"/>
              <w:left w:val="nil"/>
              <w:bottom w:val="nil"/>
              <w:right w:val="nil"/>
            </w:tcBorders>
            <w:shd w:val="clear" w:color="auto" w:fill="F5EDC1" w:themeFill="accent4"/>
          </w:tcPr>
          <w:p w14:paraId="3F3B82EC" w14:textId="069F7BE3" w:rsidR="00F5104E" w:rsidRDefault="00F5104E" w:rsidP="00D57108">
            <w:pPr>
              <w:jc w:val="right"/>
              <w:rPr>
                <w:color w:val="000000"/>
              </w:rPr>
            </w:pPr>
            <w:r>
              <w:rPr>
                <w:color w:val="000000"/>
              </w:rPr>
              <w:t>16.76% risk margin at the 75% sufficiency level</w:t>
            </w:r>
          </w:p>
        </w:tc>
        <w:tc>
          <w:tcPr>
            <w:tcW w:w="3080" w:type="dxa"/>
            <w:gridSpan w:val="3"/>
            <w:tcBorders>
              <w:top w:val="nil"/>
              <w:left w:val="nil"/>
              <w:bottom w:val="nil"/>
              <w:right w:val="nil"/>
            </w:tcBorders>
            <w:shd w:val="clear" w:color="auto" w:fill="D4E2E0" w:themeFill="accent5"/>
          </w:tcPr>
          <w:p w14:paraId="691A5EFD" w14:textId="20207FD0" w:rsidR="00F5104E" w:rsidRDefault="00F5104E" w:rsidP="00D57108">
            <w:pPr>
              <w:jc w:val="right"/>
              <w:rPr>
                <w:color w:val="000000"/>
              </w:rPr>
            </w:pPr>
            <w:r>
              <w:rPr>
                <w:color w:val="000000"/>
              </w:rPr>
              <w:t>16.76% risk margin at the 75% sufficiency level</w:t>
            </w:r>
          </w:p>
        </w:tc>
      </w:tr>
    </w:tbl>
    <w:p w14:paraId="3885F7D8" w14:textId="77777777" w:rsidR="00583A5E" w:rsidRDefault="00583A5E" w:rsidP="00583A5E">
      <w:pPr>
        <w:rPr>
          <w:color w:val="000000"/>
        </w:rPr>
      </w:pPr>
    </w:p>
    <w:p w14:paraId="7D2F276E" w14:textId="77777777" w:rsidR="00583A5E" w:rsidRPr="00583A5E" w:rsidRDefault="00583A5E" w:rsidP="00583A5E">
      <w:pPr>
        <w:rPr>
          <w:i/>
          <w:color w:val="000000"/>
        </w:rPr>
      </w:pPr>
      <w:r w:rsidRPr="00583A5E">
        <w:rPr>
          <w:i/>
          <w:color w:val="000000"/>
        </w:rPr>
        <w:t>Expense rate</w:t>
      </w:r>
    </w:p>
    <w:p w14:paraId="53487B88" w14:textId="42A4EC44" w:rsidR="00583A5E" w:rsidRPr="00583A5E" w:rsidRDefault="00583A5E" w:rsidP="00583A5E">
      <w:pPr>
        <w:rPr>
          <w:color w:val="000000"/>
        </w:rPr>
      </w:pPr>
      <w:r w:rsidRPr="00583A5E">
        <w:rPr>
          <w:color w:val="000000"/>
        </w:rPr>
        <w:t xml:space="preserve">Claims handling expenses were calculated by analysis of General Account actual expenses from the Statement of Comprehensive </w:t>
      </w:r>
      <w:r>
        <w:rPr>
          <w:color w:val="000000"/>
        </w:rPr>
        <w:t>Income over the last 12 months.</w:t>
      </w:r>
    </w:p>
    <w:p w14:paraId="1EB7F064" w14:textId="77777777" w:rsidR="00583A5E" w:rsidRPr="00583A5E" w:rsidRDefault="00583A5E" w:rsidP="00583A5E">
      <w:pPr>
        <w:rPr>
          <w:i/>
          <w:color w:val="000000"/>
        </w:rPr>
      </w:pPr>
      <w:r w:rsidRPr="00583A5E">
        <w:rPr>
          <w:i/>
          <w:color w:val="000000"/>
        </w:rPr>
        <w:t>Discount rates</w:t>
      </w:r>
    </w:p>
    <w:p w14:paraId="3324B775" w14:textId="0A113903" w:rsidR="00583A5E" w:rsidRPr="00583A5E" w:rsidRDefault="00583A5E" w:rsidP="00583A5E">
      <w:pPr>
        <w:rPr>
          <w:color w:val="000000"/>
        </w:rPr>
      </w:pPr>
      <w:r w:rsidRPr="00583A5E">
        <w:rPr>
          <w:color w:val="000000"/>
        </w:rPr>
        <w:t>Discount rates are derived as the one-year forward rates implied by the Commonwealth Government yiel</w:t>
      </w:r>
      <w:r>
        <w:rPr>
          <w:color w:val="000000"/>
        </w:rPr>
        <w:t>d curve as at the balance date.</w:t>
      </w:r>
    </w:p>
    <w:p w14:paraId="229EE164" w14:textId="77777777" w:rsidR="00583A5E" w:rsidRPr="00583A5E" w:rsidRDefault="00583A5E" w:rsidP="00583A5E">
      <w:pPr>
        <w:rPr>
          <w:i/>
          <w:color w:val="000000"/>
        </w:rPr>
      </w:pPr>
      <w:r w:rsidRPr="00583A5E">
        <w:rPr>
          <w:i/>
          <w:color w:val="000000"/>
        </w:rPr>
        <w:t>Inflation rates</w:t>
      </w:r>
    </w:p>
    <w:p w14:paraId="61D53944" w14:textId="0AA07EE6" w:rsidR="00583A5E" w:rsidRPr="00583A5E" w:rsidRDefault="00583A5E" w:rsidP="00583A5E">
      <w:pPr>
        <w:rPr>
          <w:color w:val="000000"/>
        </w:rPr>
      </w:pPr>
      <w:r w:rsidRPr="00583A5E">
        <w:rPr>
          <w:color w:val="000000"/>
        </w:rPr>
        <w:t xml:space="preserve">Economic inflation assumptions have been set by reference </w:t>
      </w:r>
      <w:r>
        <w:rPr>
          <w:color w:val="000000"/>
        </w:rPr>
        <w:t>to current economic indicators.</w:t>
      </w:r>
    </w:p>
    <w:p w14:paraId="4C02D978" w14:textId="77777777" w:rsidR="00583A5E" w:rsidRPr="00583A5E" w:rsidRDefault="00583A5E" w:rsidP="00583A5E">
      <w:pPr>
        <w:rPr>
          <w:i/>
          <w:color w:val="000000"/>
        </w:rPr>
      </w:pPr>
      <w:r w:rsidRPr="00583A5E">
        <w:rPr>
          <w:i/>
          <w:color w:val="000000"/>
        </w:rPr>
        <w:t>Superimposed inflation</w:t>
      </w:r>
    </w:p>
    <w:p w14:paraId="3646AE2E" w14:textId="54A6BA0A" w:rsidR="00583A5E" w:rsidRPr="00583A5E" w:rsidRDefault="00583A5E" w:rsidP="00583A5E">
      <w:pPr>
        <w:rPr>
          <w:color w:val="000000"/>
        </w:rPr>
      </w:pPr>
      <w:r w:rsidRPr="00583A5E">
        <w:rPr>
          <w:color w:val="000000"/>
        </w:rPr>
        <w:t>Superimposed inflation being the real increase after adjusting for normal inflation, usually due to non- economic effects e.g. changes in legislation, court settlement precedents. The superimposed inflation rates assumed considered both the portfolio's own real cost increases and industry</w:t>
      </w:r>
      <w:r>
        <w:rPr>
          <w:color w:val="000000"/>
        </w:rPr>
        <w:t xml:space="preserve"> superimposed inflation trends.</w:t>
      </w:r>
    </w:p>
    <w:p w14:paraId="5094F779" w14:textId="77777777" w:rsidR="00583A5E" w:rsidRPr="00583A5E" w:rsidRDefault="00583A5E" w:rsidP="00583A5E">
      <w:pPr>
        <w:rPr>
          <w:i/>
          <w:color w:val="000000"/>
        </w:rPr>
      </w:pPr>
      <w:r w:rsidRPr="00583A5E">
        <w:rPr>
          <w:i/>
          <w:color w:val="000000"/>
        </w:rPr>
        <w:t>Sufficiency Margin</w:t>
      </w:r>
    </w:p>
    <w:p w14:paraId="7DE6B1D9" w14:textId="77777777" w:rsidR="00583A5E" w:rsidRPr="00583A5E" w:rsidRDefault="00583A5E" w:rsidP="00583A5E">
      <w:pPr>
        <w:rPr>
          <w:color w:val="000000"/>
        </w:rPr>
      </w:pPr>
      <w:r w:rsidRPr="00583A5E">
        <w:rPr>
          <w:color w:val="000000"/>
        </w:rPr>
        <w:t>The inherent uncertainty in the estimated claim liability means that there is a range of possible outcomes.</w:t>
      </w:r>
    </w:p>
    <w:p w14:paraId="6AF58033" w14:textId="110DE038" w:rsidR="00583A5E" w:rsidRPr="00583A5E" w:rsidRDefault="00583A5E" w:rsidP="00583A5E">
      <w:pPr>
        <w:rPr>
          <w:color w:val="000000"/>
        </w:rPr>
      </w:pPr>
      <w:r w:rsidRPr="00583A5E">
        <w:rPr>
          <w:color w:val="000000"/>
        </w:rPr>
        <w:t>An analysis of the variation of the expected results lead to adoption of a 30% co</w:t>
      </w:r>
      <w:r>
        <w:rPr>
          <w:color w:val="000000"/>
        </w:rPr>
        <w:t xml:space="preserve">-efficient of variation and the </w:t>
      </w:r>
      <w:r w:rsidRPr="00583A5E">
        <w:rPr>
          <w:color w:val="000000"/>
        </w:rPr>
        <w:t>lognormal distribution. This distribution is then used to calculate the risk margin</w:t>
      </w:r>
      <w:r w:rsidR="006D0644">
        <w:rPr>
          <w:color w:val="000000"/>
        </w:rPr>
        <w:t xml:space="preserve"> required to increase the level </w:t>
      </w:r>
      <w:r w:rsidRPr="00583A5E">
        <w:rPr>
          <w:color w:val="000000"/>
        </w:rPr>
        <w:t>of sufficiency of the central estimate from 50% to 75%.</w:t>
      </w:r>
    </w:p>
    <w:p w14:paraId="7AE2C06D" w14:textId="3A7BC01D" w:rsidR="00A14666" w:rsidRDefault="00583A5E" w:rsidP="00583A5E">
      <w:pPr>
        <w:rPr>
          <w:color w:val="000000"/>
        </w:rPr>
      </w:pPr>
      <w:r w:rsidRPr="00583A5E">
        <w:rPr>
          <w:color w:val="000000"/>
        </w:rPr>
        <w:t>In addition to the above assumptions we have included the following prospective allowances for claims incurred from 1 October 2011 due to the 2011 Amendment Act:</w:t>
      </w:r>
    </w:p>
    <w:p w14:paraId="5C5F8D19" w14:textId="11EA53ED" w:rsidR="006D0644" w:rsidRDefault="006D0644" w:rsidP="006D0644">
      <w:pPr>
        <w:pStyle w:val="BulletListLevel1"/>
      </w:pPr>
      <w:r>
        <w:t>0.73% increase in the non-ARD average claim size for the removal of age limits. This has decreased from 1.81% last year as the adopted assumptions are usually based on five years of data and three years are after the 2011 Amendment Act so include this Allowance implicitly;</w:t>
      </w:r>
    </w:p>
    <w:p w14:paraId="61298BF0" w14:textId="55F8195A" w:rsidR="006D0644" w:rsidRDefault="006D0644" w:rsidP="006D0644">
      <w:pPr>
        <w:pStyle w:val="BulletListLevel1"/>
      </w:pPr>
      <w:r>
        <w:lastRenderedPageBreak/>
        <w:t>5% of</w:t>
      </w:r>
      <w:r w:rsidR="004A2499">
        <w:t xml:space="preserve"> non-ARD claims will be lodged as common law claims, with an average claim size $0.6 million in 30 June 2015 values. This year we have applied to 5% only to claims lodged in the past year or future claims reported. A claimant has to elect to pursue common law damages or apply for an extension within 12 months of a claim being lodged. Therefore no claims lodged prior to 30 June 2014 are eligible to pursue common law damages anymore. This is the same method as last year. The average claim size from the December 2011 report is indexed by three years’ wage inflation and superimposed inflation; and </w:t>
      </w:r>
    </w:p>
    <w:p w14:paraId="7941376C" w14:textId="4582F648" w:rsidR="004A2499" w:rsidRDefault="004A2499" w:rsidP="006D0644">
      <w:pPr>
        <w:pStyle w:val="BulletListLevel1"/>
      </w:pPr>
      <w:r>
        <w:t>0%</w:t>
      </w:r>
      <w:r w:rsidR="000D06F2">
        <w:t xml:space="preserve"> allowance for common law claims made by employed contractors as it is assumed to be fully allowed for in the experience.</w:t>
      </w:r>
    </w:p>
    <w:p w14:paraId="29A54CE0" w14:textId="2EB5E519" w:rsidR="000D06F2" w:rsidRDefault="00617857" w:rsidP="00617857">
      <w:pPr>
        <w:pStyle w:val="Heading2nonumber"/>
        <w:numPr>
          <w:ilvl w:val="0"/>
          <w:numId w:val="15"/>
        </w:numPr>
      </w:pPr>
      <w:bookmarkStart w:id="707" w:name="_Toc430091385"/>
      <w:r>
        <w:t>Equity</w:t>
      </w:r>
      <w:bookmarkEnd w:id="707"/>
    </w:p>
    <w:p w14:paraId="1322C08F" w14:textId="2E01BB39" w:rsidR="00617857" w:rsidRDefault="00617857" w:rsidP="00617857">
      <w:r w:rsidRPr="00617857">
        <w:t>The Western Australian Government holds the equity interest in the Authority on behalf of the community. Equity represents the residual interest in the net assets of the Authority. The asset revaluation surplus represents that portion of equity resulting from the revaluation of non-current assets.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071"/>
        <w:gridCol w:w="1993"/>
      </w:tblGrid>
      <w:tr w:rsidR="00617857" w14:paraId="622CD8CD" w14:textId="77777777" w:rsidTr="00D57108">
        <w:tc>
          <w:tcPr>
            <w:tcW w:w="5070" w:type="dxa"/>
          </w:tcPr>
          <w:p w14:paraId="5ED19373" w14:textId="77777777" w:rsidR="00617857" w:rsidRDefault="00617857" w:rsidP="00D57108"/>
        </w:tc>
        <w:tc>
          <w:tcPr>
            <w:tcW w:w="2126" w:type="dxa"/>
          </w:tcPr>
          <w:p w14:paraId="2912981E" w14:textId="4C14183B" w:rsidR="00617857" w:rsidRDefault="00617857" w:rsidP="00D57108">
            <w:pPr>
              <w:jc w:val="right"/>
            </w:pPr>
            <w:r>
              <w:t>2015</w:t>
            </w:r>
            <w:r>
              <w:br/>
              <w:t>$000</w:t>
            </w:r>
          </w:p>
        </w:tc>
        <w:tc>
          <w:tcPr>
            <w:tcW w:w="2046" w:type="dxa"/>
          </w:tcPr>
          <w:p w14:paraId="49627B9C" w14:textId="475E806E" w:rsidR="00617857" w:rsidRDefault="00617857" w:rsidP="00D57108">
            <w:pPr>
              <w:jc w:val="right"/>
            </w:pPr>
            <w:r>
              <w:t>2014</w:t>
            </w:r>
            <w:r>
              <w:br/>
              <w:t>$000</w:t>
            </w:r>
          </w:p>
        </w:tc>
      </w:tr>
      <w:tr w:rsidR="00617857" w14:paraId="63EEFAE5" w14:textId="77777777" w:rsidTr="00D57108">
        <w:tc>
          <w:tcPr>
            <w:tcW w:w="5070" w:type="dxa"/>
          </w:tcPr>
          <w:p w14:paraId="25620F26" w14:textId="0D377181" w:rsidR="00617857" w:rsidRPr="001463D7" w:rsidRDefault="00617857" w:rsidP="00617857">
            <w:r w:rsidRPr="00617857">
              <w:rPr>
                <w:b/>
              </w:rPr>
              <w:t>Reserves</w:t>
            </w:r>
            <w:r>
              <w:rPr>
                <w:i/>
              </w:rPr>
              <w:br/>
            </w:r>
            <w:r w:rsidRPr="00617857">
              <w:rPr>
                <w:i/>
              </w:rPr>
              <w:t>Asset revaluation surplus</w:t>
            </w:r>
          </w:p>
        </w:tc>
        <w:tc>
          <w:tcPr>
            <w:tcW w:w="2126" w:type="dxa"/>
          </w:tcPr>
          <w:p w14:paraId="3DEBE398" w14:textId="77777777" w:rsidR="00617857" w:rsidRDefault="00617857" w:rsidP="00D57108">
            <w:pPr>
              <w:jc w:val="right"/>
            </w:pPr>
          </w:p>
        </w:tc>
        <w:tc>
          <w:tcPr>
            <w:tcW w:w="2046" w:type="dxa"/>
          </w:tcPr>
          <w:p w14:paraId="1D87204D" w14:textId="77777777" w:rsidR="00617857" w:rsidRDefault="00617857" w:rsidP="00D57108">
            <w:pPr>
              <w:jc w:val="right"/>
            </w:pPr>
          </w:p>
        </w:tc>
      </w:tr>
      <w:tr w:rsidR="00617857" w14:paraId="2E3AFE9A" w14:textId="77777777" w:rsidTr="00D57108">
        <w:tc>
          <w:tcPr>
            <w:tcW w:w="5070" w:type="dxa"/>
          </w:tcPr>
          <w:p w14:paraId="621C039F" w14:textId="091DDFE0" w:rsidR="00617857" w:rsidRDefault="00617857" w:rsidP="00D57108">
            <w:r>
              <w:t>Balance at start of period</w:t>
            </w:r>
          </w:p>
        </w:tc>
        <w:tc>
          <w:tcPr>
            <w:tcW w:w="2126" w:type="dxa"/>
            <w:shd w:val="clear" w:color="auto" w:fill="F5EDC1" w:themeFill="accent4"/>
          </w:tcPr>
          <w:p w14:paraId="67C3E232" w14:textId="0D491570" w:rsidR="00617857" w:rsidRDefault="00617857" w:rsidP="00D57108">
            <w:pPr>
              <w:jc w:val="right"/>
            </w:pPr>
            <w:r>
              <w:t>20,165</w:t>
            </w:r>
          </w:p>
        </w:tc>
        <w:tc>
          <w:tcPr>
            <w:tcW w:w="2046" w:type="dxa"/>
            <w:shd w:val="clear" w:color="auto" w:fill="D4E2E0" w:themeFill="accent5"/>
          </w:tcPr>
          <w:p w14:paraId="60C98688" w14:textId="62980B7D" w:rsidR="00617857" w:rsidRDefault="00617857" w:rsidP="00D57108">
            <w:pPr>
              <w:jc w:val="right"/>
            </w:pPr>
            <w:r>
              <w:t>19,975</w:t>
            </w:r>
          </w:p>
        </w:tc>
      </w:tr>
      <w:tr w:rsidR="00617857" w14:paraId="22B4D84C" w14:textId="77777777" w:rsidTr="00D57108">
        <w:tc>
          <w:tcPr>
            <w:tcW w:w="5070" w:type="dxa"/>
          </w:tcPr>
          <w:p w14:paraId="284622B4" w14:textId="07AB24B5" w:rsidR="00617857" w:rsidRPr="00617857" w:rsidRDefault="00617857" w:rsidP="00D57108">
            <w:pPr>
              <w:rPr>
                <w:i/>
              </w:rPr>
            </w:pPr>
            <w:r w:rsidRPr="00617857">
              <w:rPr>
                <w:i/>
              </w:rPr>
              <w:t>Net revaluation increment/(decrements):</w:t>
            </w:r>
          </w:p>
        </w:tc>
        <w:tc>
          <w:tcPr>
            <w:tcW w:w="2126" w:type="dxa"/>
            <w:shd w:val="clear" w:color="auto" w:fill="F5EDC1" w:themeFill="accent4"/>
          </w:tcPr>
          <w:p w14:paraId="25AE152E" w14:textId="4BABD732" w:rsidR="00617857" w:rsidRDefault="00617857" w:rsidP="00D57108">
            <w:pPr>
              <w:jc w:val="right"/>
            </w:pPr>
          </w:p>
        </w:tc>
        <w:tc>
          <w:tcPr>
            <w:tcW w:w="2046" w:type="dxa"/>
            <w:shd w:val="clear" w:color="auto" w:fill="D4E2E0" w:themeFill="accent5"/>
          </w:tcPr>
          <w:p w14:paraId="226F4B9F" w14:textId="1A6B6FC9" w:rsidR="00617857" w:rsidRDefault="00617857" w:rsidP="00D57108">
            <w:pPr>
              <w:jc w:val="right"/>
            </w:pPr>
          </w:p>
        </w:tc>
      </w:tr>
      <w:tr w:rsidR="00617857" w14:paraId="3B1BDFCC" w14:textId="77777777" w:rsidTr="00D57108">
        <w:tc>
          <w:tcPr>
            <w:tcW w:w="5070" w:type="dxa"/>
          </w:tcPr>
          <w:p w14:paraId="48EE6CA6" w14:textId="5A225D0E" w:rsidR="00617857" w:rsidRDefault="00617857" w:rsidP="00D57108">
            <w:r>
              <w:t>Land</w:t>
            </w:r>
          </w:p>
        </w:tc>
        <w:tc>
          <w:tcPr>
            <w:tcW w:w="2126" w:type="dxa"/>
            <w:shd w:val="clear" w:color="auto" w:fill="F5EDC1" w:themeFill="accent4"/>
          </w:tcPr>
          <w:p w14:paraId="7DCAEBF3" w14:textId="7358C344" w:rsidR="00617857" w:rsidRDefault="00617857" w:rsidP="00D57108">
            <w:pPr>
              <w:jc w:val="right"/>
            </w:pPr>
            <w:r>
              <w:t>(300)</w:t>
            </w:r>
          </w:p>
        </w:tc>
        <w:tc>
          <w:tcPr>
            <w:tcW w:w="2046" w:type="dxa"/>
            <w:shd w:val="clear" w:color="auto" w:fill="D4E2E0" w:themeFill="accent5"/>
          </w:tcPr>
          <w:p w14:paraId="6CCACCB3" w14:textId="2F47F819" w:rsidR="00617857" w:rsidRDefault="00617857" w:rsidP="00D57108">
            <w:pPr>
              <w:jc w:val="right"/>
            </w:pPr>
            <w:r>
              <w:t>(800)</w:t>
            </w:r>
          </w:p>
        </w:tc>
      </w:tr>
      <w:tr w:rsidR="00617857" w14:paraId="3360C489" w14:textId="77777777" w:rsidTr="00617857">
        <w:tc>
          <w:tcPr>
            <w:tcW w:w="5070" w:type="dxa"/>
          </w:tcPr>
          <w:p w14:paraId="6FBF983E" w14:textId="22607FE2" w:rsidR="00617857" w:rsidRDefault="00617857" w:rsidP="00D57108">
            <w:r>
              <w:t>Buildings</w:t>
            </w:r>
          </w:p>
        </w:tc>
        <w:tc>
          <w:tcPr>
            <w:tcW w:w="2126" w:type="dxa"/>
            <w:shd w:val="clear" w:color="auto" w:fill="F5EDC1" w:themeFill="accent4"/>
          </w:tcPr>
          <w:p w14:paraId="24408187" w14:textId="6B16B8D9" w:rsidR="00617857" w:rsidRDefault="00617857" w:rsidP="00D57108">
            <w:pPr>
              <w:jc w:val="right"/>
            </w:pPr>
            <w:r>
              <w:t>(2,365)</w:t>
            </w:r>
          </w:p>
        </w:tc>
        <w:tc>
          <w:tcPr>
            <w:tcW w:w="2046" w:type="dxa"/>
            <w:shd w:val="clear" w:color="auto" w:fill="D4E2E0" w:themeFill="accent5"/>
          </w:tcPr>
          <w:p w14:paraId="59B5ED63" w14:textId="61BE3C10" w:rsidR="00617857" w:rsidRDefault="00617857" w:rsidP="00D57108">
            <w:pPr>
              <w:jc w:val="right"/>
            </w:pPr>
            <w:r>
              <w:t>990</w:t>
            </w:r>
          </w:p>
        </w:tc>
      </w:tr>
      <w:tr w:rsidR="00617857" w14:paraId="0AE72023" w14:textId="77777777" w:rsidTr="00617857">
        <w:tc>
          <w:tcPr>
            <w:tcW w:w="5070" w:type="dxa"/>
          </w:tcPr>
          <w:p w14:paraId="20A707E4" w14:textId="5FC894F6" w:rsidR="00617857" w:rsidRDefault="00617857" w:rsidP="00D57108">
            <w:r>
              <w:t>Balance at end of period</w:t>
            </w:r>
          </w:p>
        </w:tc>
        <w:tc>
          <w:tcPr>
            <w:tcW w:w="2126" w:type="dxa"/>
            <w:tcBorders>
              <w:bottom w:val="single" w:sz="4" w:space="0" w:color="auto"/>
            </w:tcBorders>
            <w:shd w:val="clear" w:color="auto" w:fill="F5EDC1" w:themeFill="accent4"/>
          </w:tcPr>
          <w:p w14:paraId="42E68ADF" w14:textId="2D078EB0" w:rsidR="00617857" w:rsidRPr="00617857" w:rsidRDefault="00617857" w:rsidP="00D57108">
            <w:pPr>
              <w:jc w:val="right"/>
              <w:rPr>
                <w:b/>
              </w:rPr>
            </w:pPr>
            <w:r w:rsidRPr="00617857">
              <w:rPr>
                <w:b/>
              </w:rPr>
              <w:t>17,500</w:t>
            </w:r>
          </w:p>
        </w:tc>
        <w:tc>
          <w:tcPr>
            <w:tcW w:w="2046" w:type="dxa"/>
            <w:tcBorders>
              <w:bottom w:val="single" w:sz="4" w:space="0" w:color="auto"/>
            </w:tcBorders>
            <w:shd w:val="clear" w:color="auto" w:fill="D4E2E0" w:themeFill="accent5"/>
          </w:tcPr>
          <w:p w14:paraId="216A6D12" w14:textId="15F9D04E" w:rsidR="00617857" w:rsidRPr="00617857" w:rsidRDefault="00617857" w:rsidP="00D57108">
            <w:pPr>
              <w:jc w:val="right"/>
              <w:rPr>
                <w:b/>
              </w:rPr>
            </w:pPr>
            <w:r w:rsidRPr="00617857">
              <w:rPr>
                <w:b/>
              </w:rPr>
              <w:t>20,165</w:t>
            </w:r>
          </w:p>
        </w:tc>
      </w:tr>
      <w:tr w:rsidR="00617857" w14:paraId="11C6AC66" w14:textId="77777777" w:rsidTr="00617857">
        <w:tc>
          <w:tcPr>
            <w:tcW w:w="5070" w:type="dxa"/>
          </w:tcPr>
          <w:p w14:paraId="46A5E4D2" w14:textId="3181D642" w:rsidR="00617857" w:rsidRDefault="00617857" w:rsidP="00D57108">
            <w:r>
              <w:t>Retained earnings</w:t>
            </w:r>
          </w:p>
        </w:tc>
        <w:tc>
          <w:tcPr>
            <w:tcW w:w="2126" w:type="dxa"/>
            <w:tcBorders>
              <w:top w:val="single" w:sz="4" w:space="0" w:color="auto"/>
            </w:tcBorders>
            <w:shd w:val="clear" w:color="auto" w:fill="FFFFFF" w:themeFill="background1"/>
          </w:tcPr>
          <w:p w14:paraId="65482873" w14:textId="77777777" w:rsidR="00617857" w:rsidRDefault="00617857" w:rsidP="00D57108">
            <w:pPr>
              <w:jc w:val="right"/>
            </w:pPr>
          </w:p>
        </w:tc>
        <w:tc>
          <w:tcPr>
            <w:tcW w:w="2046" w:type="dxa"/>
            <w:tcBorders>
              <w:top w:val="single" w:sz="4" w:space="0" w:color="auto"/>
            </w:tcBorders>
            <w:shd w:val="clear" w:color="auto" w:fill="FFFFFF" w:themeFill="background1"/>
          </w:tcPr>
          <w:p w14:paraId="1C44ADA7" w14:textId="77777777" w:rsidR="00617857" w:rsidRDefault="00617857" w:rsidP="00D57108">
            <w:pPr>
              <w:jc w:val="right"/>
            </w:pPr>
          </w:p>
        </w:tc>
      </w:tr>
      <w:tr w:rsidR="00617857" w14:paraId="324DD29E" w14:textId="77777777" w:rsidTr="00D57108">
        <w:tc>
          <w:tcPr>
            <w:tcW w:w="5070" w:type="dxa"/>
          </w:tcPr>
          <w:p w14:paraId="5D3C0890" w14:textId="6E95D701" w:rsidR="00617857" w:rsidRDefault="00617857" w:rsidP="00D57108">
            <w:r>
              <w:t>Balance at start of period</w:t>
            </w:r>
          </w:p>
        </w:tc>
        <w:tc>
          <w:tcPr>
            <w:tcW w:w="2126" w:type="dxa"/>
            <w:shd w:val="clear" w:color="auto" w:fill="F5EDC1" w:themeFill="accent4"/>
          </w:tcPr>
          <w:p w14:paraId="632151F4" w14:textId="056638E1" w:rsidR="00617857" w:rsidRDefault="00617857" w:rsidP="00D57108">
            <w:pPr>
              <w:jc w:val="right"/>
            </w:pPr>
            <w:r>
              <w:t>57,697</w:t>
            </w:r>
          </w:p>
        </w:tc>
        <w:tc>
          <w:tcPr>
            <w:tcW w:w="2046" w:type="dxa"/>
            <w:shd w:val="clear" w:color="auto" w:fill="D4E2E0" w:themeFill="accent5"/>
          </w:tcPr>
          <w:p w14:paraId="1051EF16" w14:textId="3DA0B86D" w:rsidR="00617857" w:rsidRDefault="00617857" w:rsidP="00D57108">
            <w:pPr>
              <w:jc w:val="right"/>
            </w:pPr>
            <w:r>
              <w:t>50,800</w:t>
            </w:r>
          </w:p>
        </w:tc>
      </w:tr>
      <w:tr w:rsidR="00617857" w14:paraId="360CE4FE" w14:textId="77777777" w:rsidTr="00D57108">
        <w:tc>
          <w:tcPr>
            <w:tcW w:w="5070" w:type="dxa"/>
          </w:tcPr>
          <w:p w14:paraId="0F05AA78" w14:textId="27B9AF21" w:rsidR="00617857" w:rsidRDefault="00617857" w:rsidP="00D57108">
            <w:r>
              <w:t>Result for the period</w:t>
            </w:r>
          </w:p>
        </w:tc>
        <w:tc>
          <w:tcPr>
            <w:tcW w:w="2126" w:type="dxa"/>
            <w:shd w:val="clear" w:color="auto" w:fill="F5EDC1" w:themeFill="accent4"/>
          </w:tcPr>
          <w:p w14:paraId="67697065" w14:textId="19804A13" w:rsidR="00617857" w:rsidRDefault="00617857" w:rsidP="00D57108">
            <w:pPr>
              <w:jc w:val="right"/>
            </w:pPr>
            <w:r>
              <w:t>17,519</w:t>
            </w:r>
          </w:p>
        </w:tc>
        <w:tc>
          <w:tcPr>
            <w:tcW w:w="2046" w:type="dxa"/>
            <w:shd w:val="clear" w:color="auto" w:fill="D4E2E0" w:themeFill="accent5"/>
          </w:tcPr>
          <w:p w14:paraId="5309B260" w14:textId="69A68082" w:rsidR="00617857" w:rsidRDefault="00617857" w:rsidP="00D57108">
            <w:pPr>
              <w:jc w:val="right"/>
            </w:pPr>
            <w:r>
              <w:t>6,897</w:t>
            </w:r>
          </w:p>
        </w:tc>
      </w:tr>
      <w:tr w:rsidR="00617857" w14:paraId="0EF8A1D5" w14:textId="77777777" w:rsidTr="00617857">
        <w:tc>
          <w:tcPr>
            <w:tcW w:w="5070" w:type="dxa"/>
          </w:tcPr>
          <w:p w14:paraId="30490A30" w14:textId="7365225F" w:rsidR="00617857" w:rsidRDefault="00617857" w:rsidP="00D57108">
            <w:r>
              <w:t>Balance at end of period</w:t>
            </w:r>
          </w:p>
        </w:tc>
        <w:tc>
          <w:tcPr>
            <w:tcW w:w="2126" w:type="dxa"/>
            <w:tcBorders>
              <w:bottom w:val="single" w:sz="4" w:space="0" w:color="auto"/>
            </w:tcBorders>
            <w:shd w:val="clear" w:color="auto" w:fill="F5EDC1" w:themeFill="accent4"/>
          </w:tcPr>
          <w:p w14:paraId="7D18A029" w14:textId="09E486FC" w:rsidR="00617857" w:rsidRPr="00617857" w:rsidRDefault="00617857" w:rsidP="00D57108">
            <w:pPr>
              <w:jc w:val="right"/>
              <w:rPr>
                <w:b/>
              </w:rPr>
            </w:pPr>
            <w:r w:rsidRPr="00617857">
              <w:rPr>
                <w:b/>
              </w:rPr>
              <w:t>75,216</w:t>
            </w:r>
          </w:p>
        </w:tc>
        <w:tc>
          <w:tcPr>
            <w:tcW w:w="2046" w:type="dxa"/>
            <w:tcBorders>
              <w:bottom w:val="single" w:sz="4" w:space="0" w:color="auto"/>
            </w:tcBorders>
            <w:shd w:val="clear" w:color="auto" w:fill="D4E2E0" w:themeFill="accent5"/>
          </w:tcPr>
          <w:p w14:paraId="34C54519" w14:textId="1F1B1763" w:rsidR="00617857" w:rsidRPr="00617857" w:rsidRDefault="00617857" w:rsidP="00D57108">
            <w:pPr>
              <w:jc w:val="right"/>
              <w:rPr>
                <w:b/>
              </w:rPr>
            </w:pPr>
            <w:r w:rsidRPr="00617857">
              <w:rPr>
                <w:b/>
              </w:rPr>
              <w:t>57,697</w:t>
            </w:r>
          </w:p>
        </w:tc>
      </w:tr>
      <w:tr w:rsidR="00617857" w14:paraId="6A15D821" w14:textId="77777777" w:rsidTr="00617857">
        <w:tc>
          <w:tcPr>
            <w:tcW w:w="5070" w:type="dxa"/>
          </w:tcPr>
          <w:p w14:paraId="6ECCB54F" w14:textId="63116ACA" w:rsidR="00617857" w:rsidRDefault="00617857" w:rsidP="00D57108">
            <w:r>
              <w:t>Total equity at end of period</w:t>
            </w:r>
          </w:p>
        </w:tc>
        <w:tc>
          <w:tcPr>
            <w:tcW w:w="2126" w:type="dxa"/>
            <w:tcBorders>
              <w:top w:val="single" w:sz="4" w:space="0" w:color="auto"/>
              <w:bottom w:val="single" w:sz="4" w:space="0" w:color="auto"/>
            </w:tcBorders>
            <w:shd w:val="clear" w:color="auto" w:fill="F5EDC1" w:themeFill="accent4"/>
          </w:tcPr>
          <w:p w14:paraId="3E547C7A" w14:textId="2E3AAA70" w:rsidR="00617857" w:rsidRPr="00617857" w:rsidRDefault="00617857" w:rsidP="00D57108">
            <w:pPr>
              <w:jc w:val="right"/>
              <w:rPr>
                <w:b/>
              </w:rPr>
            </w:pPr>
            <w:r w:rsidRPr="00617857">
              <w:rPr>
                <w:b/>
              </w:rPr>
              <w:t>92,716</w:t>
            </w:r>
          </w:p>
        </w:tc>
        <w:tc>
          <w:tcPr>
            <w:tcW w:w="2046" w:type="dxa"/>
            <w:tcBorders>
              <w:top w:val="single" w:sz="4" w:space="0" w:color="auto"/>
              <w:bottom w:val="single" w:sz="4" w:space="0" w:color="auto"/>
            </w:tcBorders>
            <w:shd w:val="clear" w:color="auto" w:fill="D4E2E0" w:themeFill="accent5"/>
          </w:tcPr>
          <w:p w14:paraId="4A3839FF" w14:textId="1BA96979" w:rsidR="00617857" w:rsidRPr="00617857" w:rsidRDefault="00617857" w:rsidP="00D57108">
            <w:pPr>
              <w:jc w:val="right"/>
              <w:rPr>
                <w:b/>
              </w:rPr>
            </w:pPr>
            <w:r w:rsidRPr="00617857">
              <w:rPr>
                <w:b/>
              </w:rPr>
              <w:t>77,862</w:t>
            </w:r>
          </w:p>
        </w:tc>
      </w:tr>
    </w:tbl>
    <w:p w14:paraId="0A8BAF23" w14:textId="1BA0263C" w:rsidR="00617857" w:rsidRDefault="00AA0C07" w:rsidP="00AA0C07">
      <w:pPr>
        <w:pStyle w:val="Heading2nonumber"/>
        <w:numPr>
          <w:ilvl w:val="0"/>
          <w:numId w:val="15"/>
        </w:numPr>
      </w:pPr>
      <w:bookmarkStart w:id="708" w:name="_Toc430091386"/>
      <w:r>
        <w:lastRenderedPageBreak/>
        <w:t>Notes to the Statement of Cash Flows</w:t>
      </w:r>
      <w:bookmarkEnd w:id="708"/>
    </w:p>
    <w:p w14:paraId="7F8648B8" w14:textId="220B1CCF" w:rsidR="00802B19" w:rsidRPr="00DA1E18" w:rsidRDefault="00802B19" w:rsidP="00802B19">
      <w:pPr>
        <w:rPr>
          <w:rStyle w:val="Strong"/>
        </w:rPr>
      </w:pPr>
      <w:r w:rsidRPr="00DA1E18">
        <w:rPr>
          <w:rStyle w:val="Strong"/>
        </w:rPr>
        <w:t>Reconciliation of cash</w:t>
      </w:r>
    </w:p>
    <w:p w14:paraId="4D60E89E" w14:textId="46DB9C15" w:rsidR="00802B19" w:rsidRDefault="00802B19" w:rsidP="00802B19">
      <w:r w:rsidRPr="00802B19">
        <w:t xml:space="preserve">Cash at the end of the reporting period as shown in the Statement of Cash Flows is reconciled to </w:t>
      </w:r>
      <w:r>
        <w:t>the</w:t>
      </w:r>
      <w:r w:rsidRPr="00802B19">
        <w:t xml:space="preserve"> related items in the Statement of Financial Position</w:t>
      </w:r>
      <w:r>
        <w:rPr>
          <w:spacing w:val="5"/>
          <w:w w:val="90"/>
        </w:rPr>
        <w:t xml:space="preserve"> </w:t>
      </w:r>
      <w:r w:rsidRPr="00802B19">
        <w:t>as follows:</w:t>
      </w:r>
    </w:p>
    <w:p w14:paraId="7802E4A9" w14:textId="77777777" w:rsidR="00802B19" w:rsidRDefault="00802B19" w:rsidP="00802B1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2082"/>
        <w:gridCol w:w="2005"/>
      </w:tblGrid>
      <w:tr w:rsidR="00802B19" w14:paraId="2A5A8C98" w14:textId="77777777" w:rsidTr="00D57108">
        <w:tc>
          <w:tcPr>
            <w:tcW w:w="5070" w:type="dxa"/>
          </w:tcPr>
          <w:p w14:paraId="278538CC" w14:textId="77777777" w:rsidR="00802B19" w:rsidRDefault="00802B19" w:rsidP="00D57108"/>
        </w:tc>
        <w:tc>
          <w:tcPr>
            <w:tcW w:w="2126" w:type="dxa"/>
          </w:tcPr>
          <w:p w14:paraId="3CE0A946" w14:textId="77777777" w:rsidR="00802B19" w:rsidRDefault="00802B19" w:rsidP="00D57108">
            <w:pPr>
              <w:jc w:val="right"/>
            </w:pPr>
            <w:r>
              <w:t>2015</w:t>
            </w:r>
            <w:r>
              <w:br/>
              <w:t>$000</w:t>
            </w:r>
          </w:p>
        </w:tc>
        <w:tc>
          <w:tcPr>
            <w:tcW w:w="2046" w:type="dxa"/>
          </w:tcPr>
          <w:p w14:paraId="11CAC0FE" w14:textId="77777777" w:rsidR="00802B19" w:rsidRDefault="00802B19" w:rsidP="00D57108">
            <w:pPr>
              <w:jc w:val="right"/>
            </w:pPr>
            <w:r>
              <w:t>2014</w:t>
            </w:r>
            <w:r>
              <w:br/>
              <w:t>$000</w:t>
            </w:r>
          </w:p>
        </w:tc>
      </w:tr>
      <w:tr w:rsidR="00802B19" w14:paraId="0119CF3B" w14:textId="77777777" w:rsidTr="00D57108">
        <w:tc>
          <w:tcPr>
            <w:tcW w:w="5070" w:type="dxa"/>
          </w:tcPr>
          <w:p w14:paraId="25D22E9B" w14:textId="18C9E070" w:rsidR="00802B19" w:rsidRDefault="00802B19" w:rsidP="00D57108">
            <w:r>
              <w:t>Cash and cash equivalents</w:t>
            </w:r>
          </w:p>
        </w:tc>
        <w:tc>
          <w:tcPr>
            <w:tcW w:w="2126" w:type="dxa"/>
            <w:shd w:val="clear" w:color="auto" w:fill="F5EDC1" w:themeFill="accent4"/>
          </w:tcPr>
          <w:p w14:paraId="0B52C86E" w14:textId="13B3D9FE" w:rsidR="00802B19" w:rsidRDefault="00802B19" w:rsidP="00D57108">
            <w:pPr>
              <w:jc w:val="right"/>
            </w:pPr>
            <w:r>
              <w:t>9,704</w:t>
            </w:r>
          </w:p>
        </w:tc>
        <w:tc>
          <w:tcPr>
            <w:tcW w:w="2046" w:type="dxa"/>
            <w:shd w:val="clear" w:color="auto" w:fill="D4E2E0" w:themeFill="accent5"/>
          </w:tcPr>
          <w:p w14:paraId="01DFC875" w14:textId="75BEACAD" w:rsidR="00802B19" w:rsidRDefault="00802B19" w:rsidP="00D57108">
            <w:pPr>
              <w:jc w:val="right"/>
            </w:pPr>
            <w:r>
              <w:t>8,917</w:t>
            </w:r>
          </w:p>
        </w:tc>
      </w:tr>
      <w:tr w:rsidR="00802B19" w14:paraId="7FDCA21A" w14:textId="77777777" w:rsidTr="00802B19">
        <w:tc>
          <w:tcPr>
            <w:tcW w:w="5070" w:type="dxa"/>
          </w:tcPr>
          <w:p w14:paraId="562FA9AE" w14:textId="6C858B1C" w:rsidR="00802B19" w:rsidRPr="00802B19" w:rsidRDefault="00802B19" w:rsidP="00D57108">
            <w:r>
              <w:t>Restricted cash and cash equivalents (note 19 ‘Restricted cash and cash equivalents’)</w:t>
            </w:r>
          </w:p>
        </w:tc>
        <w:tc>
          <w:tcPr>
            <w:tcW w:w="2126" w:type="dxa"/>
            <w:shd w:val="clear" w:color="auto" w:fill="F5EDC1" w:themeFill="accent4"/>
          </w:tcPr>
          <w:p w14:paraId="7D8D5F3A" w14:textId="5A36A070" w:rsidR="00802B19" w:rsidRDefault="00802B19" w:rsidP="00D57108">
            <w:pPr>
              <w:jc w:val="right"/>
            </w:pPr>
            <w:r>
              <w:t>82,678</w:t>
            </w:r>
          </w:p>
        </w:tc>
        <w:tc>
          <w:tcPr>
            <w:tcW w:w="2046" w:type="dxa"/>
            <w:shd w:val="clear" w:color="auto" w:fill="D4E2E0" w:themeFill="accent5"/>
          </w:tcPr>
          <w:p w14:paraId="338B3E2A" w14:textId="7CB5DED9" w:rsidR="00802B19" w:rsidRDefault="00802B19" w:rsidP="00D57108">
            <w:pPr>
              <w:jc w:val="right"/>
            </w:pPr>
            <w:r>
              <w:t>72,607</w:t>
            </w:r>
          </w:p>
        </w:tc>
      </w:tr>
      <w:tr w:rsidR="00802B19" w14:paraId="788E18D3" w14:textId="77777777" w:rsidTr="00802B19">
        <w:tc>
          <w:tcPr>
            <w:tcW w:w="5070" w:type="dxa"/>
          </w:tcPr>
          <w:p w14:paraId="4E43BF46" w14:textId="25D61F30" w:rsidR="00802B19" w:rsidRDefault="00802B19" w:rsidP="00D57108"/>
        </w:tc>
        <w:tc>
          <w:tcPr>
            <w:tcW w:w="2126" w:type="dxa"/>
            <w:tcBorders>
              <w:bottom w:val="single" w:sz="4" w:space="0" w:color="auto"/>
            </w:tcBorders>
            <w:shd w:val="clear" w:color="auto" w:fill="F5EDC1" w:themeFill="accent4"/>
          </w:tcPr>
          <w:p w14:paraId="180DB5A0" w14:textId="683315D4" w:rsidR="00802B19" w:rsidRPr="00802B19" w:rsidRDefault="00802B19" w:rsidP="00D57108">
            <w:pPr>
              <w:jc w:val="right"/>
              <w:rPr>
                <w:b/>
              </w:rPr>
            </w:pPr>
            <w:r w:rsidRPr="00802B19">
              <w:rPr>
                <w:b/>
              </w:rPr>
              <w:t>92,382</w:t>
            </w:r>
          </w:p>
        </w:tc>
        <w:tc>
          <w:tcPr>
            <w:tcW w:w="2046" w:type="dxa"/>
            <w:tcBorders>
              <w:bottom w:val="single" w:sz="4" w:space="0" w:color="auto"/>
            </w:tcBorders>
            <w:shd w:val="clear" w:color="auto" w:fill="D4E2E0" w:themeFill="accent5"/>
          </w:tcPr>
          <w:p w14:paraId="60FD82C1" w14:textId="0AD94E8B" w:rsidR="00802B19" w:rsidRPr="00802B19" w:rsidRDefault="00802B19" w:rsidP="00D57108">
            <w:pPr>
              <w:jc w:val="right"/>
              <w:rPr>
                <w:b/>
              </w:rPr>
            </w:pPr>
            <w:r w:rsidRPr="00802B19">
              <w:rPr>
                <w:b/>
              </w:rPr>
              <w:t>81,524</w:t>
            </w:r>
          </w:p>
        </w:tc>
      </w:tr>
    </w:tbl>
    <w:p w14:paraId="422BA2E2" w14:textId="77777777" w:rsidR="00802B19" w:rsidRDefault="00802B19" w:rsidP="00802B19"/>
    <w:p w14:paraId="23D11CDE" w14:textId="24F44FDB" w:rsidR="00802B19" w:rsidRPr="00DA1E18" w:rsidRDefault="00802B19" w:rsidP="00802B19">
      <w:pPr>
        <w:rPr>
          <w:rStyle w:val="Strong"/>
        </w:rPr>
      </w:pPr>
      <w:r w:rsidRPr="00DA1E18">
        <w:rPr>
          <w:rStyle w:val="Strong"/>
        </w:rPr>
        <w:t>Reconciliation of profit after income tax equivalent to net cash flows provided by/(used in) operating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2071"/>
        <w:gridCol w:w="1994"/>
      </w:tblGrid>
      <w:tr w:rsidR="00802B19" w14:paraId="063E6552" w14:textId="77777777" w:rsidTr="00D57108">
        <w:tc>
          <w:tcPr>
            <w:tcW w:w="5070" w:type="dxa"/>
          </w:tcPr>
          <w:p w14:paraId="4B9240DF" w14:textId="4BA849A4" w:rsidR="00802B19" w:rsidRDefault="00802B19" w:rsidP="00D57108">
            <w:r>
              <w:t>Profit after income tax equivalents</w:t>
            </w:r>
          </w:p>
        </w:tc>
        <w:tc>
          <w:tcPr>
            <w:tcW w:w="2126" w:type="dxa"/>
            <w:shd w:val="clear" w:color="auto" w:fill="F5EDC1" w:themeFill="accent4"/>
          </w:tcPr>
          <w:p w14:paraId="44CF829A" w14:textId="121E048E" w:rsidR="00802B19" w:rsidRDefault="00802B19" w:rsidP="00D57108">
            <w:pPr>
              <w:jc w:val="right"/>
            </w:pPr>
            <w:r>
              <w:t>17,924</w:t>
            </w:r>
          </w:p>
        </w:tc>
        <w:tc>
          <w:tcPr>
            <w:tcW w:w="2046" w:type="dxa"/>
            <w:shd w:val="clear" w:color="auto" w:fill="D4E2E0" w:themeFill="accent5"/>
          </w:tcPr>
          <w:p w14:paraId="67D234BF" w14:textId="24A16540" w:rsidR="00802B19" w:rsidRDefault="00802B19" w:rsidP="00D57108">
            <w:pPr>
              <w:jc w:val="right"/>
            </w:pPr>
            <w:r>
              <w:t>7,164</w:t>
            </w:r>
          </w:p>
        </w:tc>
      </w:tr>
      <w:tr w:rsidR="00802B19" w14:paraId="5B6EC841" w14:textId="77777777" w:rsidTr="00802B19">
        <w:tc>
          <w:tcPr>
            <w:tcW w:w="5070" w:type="dxa"/>
            <w:shd w:val="clear" w:color="auto" w:fill="auto"/>
          </w:tcPr>
          <w:p w14:paraId="0181356D" w14:textId="1A434910" w:rsidR="00802B19" w:rsidRPr="00802B19" w:rsidRDefault="00802B19" w:rsidP="00D57108">
            <w:pPr>
              <w:rPr>
                <w:i/>
              </w:rPr>
            </w:pPr>
            <w:r w:rsidRPr="00802B19">
              <w:rPr>
                <w:i/>
              </w:rPr>
              <w:t>Non-cash items:</w:t>
            </w:r>
          </w:p>
        </w:tc>
        <w:tc>
          <w:tcPr>
            <w:tcW w:w="2126" w:type="dxa"/>
            <w:shd w:val="clear" w:color="auto" w:fill="auto"/>
          </w:tcPr>
          <w:p w14:paraId="54EB4A13" w14:textId="77777777" w:rsidR="00802B19" w:rsidRDefault="00802B19" w:rsidP="00D57108">
            <w:pPr>
              <w:jc w:val="right"/>
            </w:pPr>
          </w:p>
        </w:tc>
        <w:tc>
          <w:tcPr>
            <w:tcW w:w="2046" w:type="dxa"/>
            <w:shd w:val="clear" w:color="auto" w:fill="auto"/>
          </w:tcPr>
          <w:p w14:paraId="61858C93" w14:textId="77777777" w:rsidR="00802B19" w:rsidRDefault="00802B19" w:rsidP="00D57108">
            <w:pPr>
              <w:jc w:val="right"/>
            </w:pPr>
          </w:p>
        </w:tc>
      </w:tr>
      <w:tr w:rsidR="00802B19" w14:paraId="2D6C2130" w14:textId="77777777" w:rsidTr="00D57108">
        <w:tc>
          <w:tcPr>
            <w:tcW w:w="5070" w:type="dxa"/>
          </w:tcPr>
          <w:p w14:paraId="38FC6B8F" w14:textId="7ABF9071" w:rsidR="00802B19" w:rsidRDefault="00802B19" w:rsidP="00D57108">
            <w:r>
              <w:t>Depreciation and amortisation expense</w:t>
            </w:r>
          </w:p>
        </w:tc>
        <w:tc>
          <w:tcPr>
            <w:tcW w:w="2126" w:type="dxa"/>
            <w:shd w:val="clear" w:color="auto" w:fill="F5EDC1" w:themeFill="accent4"/>
          </w:tcPr>
          <w:p w14:paraId="46B71AA6" w14:textId="22154B9E" w:rsidR="00802B19" w:rsidRDefault="00802B19" w:rsidP="00D57108">
            <w:pPr>
              <w:jc w:val="right"/>
            </w:pPr>
            <w:r>
              <w:t>1,058</w:t>
            </w:r>
          </w:p>
        </w:tc>
        <w:tc>
          <w:tcPr>
            <w:tcW w:w="2046" w:type="dxa"/>
            <w:shd w:val="clear" w:color="auto" w:fill="D4E2E0" w:themeFill="accent5"/>
          </w:tcPr>
          <w:p w14:paraId="79863A01" w14:textId="2602BCF3" w:rsidR="00802B19" w:rsidRDefault="00802B19" w:rsidP="00D57108">
            <w:pPr>
              <w:jc w:val="right"/>
            </w:pPr>
            <w:r>
              <w:t>884</w:t>
            </w:r>
          </w:p>
        </w:tc>
      </w:tr>
      <w:tr w:rsidR="00802B19" w14:paraId="5B3F80F2" w14:textId="77777777" w:rsidTr="00D57108">
        <w:tc>
          <w:tcPr>
            <w:tcW w:w="5070" w:type="dxa"/>
          </w:tcPr>
          <w:p w14:paraId="2E925FBF" w14:textId="2E4299DC" w:rsidR="00802B19" w:rsidRDefault="00802B19" w:rsidP="00D57108">
            <w:r>
              <w:t>Net (gain)/loss on sale of property, plant and equipment</w:t>
            </w:r>
          </w:p>
        </w:tc>
        <w:tc>
          <w:tcPr>
            <w:tcW w:w="2126" w:type="dxa"/>
            <w:shd w:val="clear" w:color="auto" w:fill="F5EDC1" w:themeFill="accent4"/>
          </w:tcPr>
          <w:p w14:paraId="406FDF14" w14:textId="4C154D82" w:rsidR="00802B19" w:rsidRDefault="00802B19" w:rsidP="00D57108">
            <w:pPr>
              <w:jc w:val="right"/>
            </w:pPr>
            <w:r>
              <w:t>12</w:t>
            </w:r>
          </w:p>
        </w:tc>
        <w:tc>
          <w:tcPr>
            <w:tcW w:w="2046" w:type="dxa"/>
            <w:shd w:val="clear" w:color="auto" w:fill="D4E2E0" w:themeFill="accent5"/>
          </w:tcPr>
          <w:p w14:paraId="1ECDE10D" w14:textId="684B6418" w:rsidR="00802B19" w:rsidRDefault="00802B19" w:rsidP="00D57108">
            <w:pPr>
              <w:jc w:val="right"/>
            </w:pPr>
            <w:r>
              <w:t>30</w:t>
            </w:r>
          </w:p>
        </w:tc>
      </w:tr>
      <w:tr w:rsidR="00802B19" w14:paraId="1AB56B32" w14:textId="77777777" w:rsidTr="00D57108">
        <w:tc>
          <w:tcPr>
            <w:tcW w:w="5070" w:type="dxa"/>
          </w:tcPr>
          <w:p w14:paraId="118F3811" w14:textId="288E3216" w:rsidR="00802B19" w:rsidRDefault="00802B19" w:rsidP="00D57108">
            <w:r>
              <w:t>Remeasurements of defined benefit liability</w:t>
            </w:r>
          </w:p>
        </w:tc>
        <w:tc>
          <w:tcPr>
            <w:tcW w:w="2126" w:type="dxa"/>
            <w:shd w:val="clear" w:color="auto" w:fill="F5EDC1" w:themeFill="accent4"/>
          </w:tcPr>
          <w:p w14:paraId="3E668D3D" w14:textId="722442CA" w:rsidR="00802B19" w:rsidRDefault="00802B19" w:rsidP="00D57108">
            <w:pPr>
              <w:jc w:val="right"/>
            </w:pPr>
            <w:r>
              <w:t>(405)</w:t>
            </w:r>
          </w:p>
        </w:tc>
        <w:tc>
          <w:tcPr>
            <w:tcW w:w="2046" w:type="dxa"/>
            <w:shd w:val="clear" w:color="auto" w:fill="D4E2E0" w:themeFill="accent5"/>
          </w:tcPr>
          <w:p w14:paraId="7F452550" w14:textId="7423468D" w:rsidR="00802B19" w:rsidRDefault="00802B19" w:rsidP="00D57108">
            <w:pPr>
              <w:jc w:val="right"/>
            </w:pPr>
            <w:r>
              <w:t>(267)</w:t>
            </w:r>
          </w:p>
        </w:tc>
      </w:tr>
      <w:tr w:rsidR="00802B19" w14:paraId="1F8BC378" w14:textId="77777777" w:rsidTr="00802B19">
        <w:tc>
          <w:tcPr>
            <w:tcW w:w="5070" w:type="dxa"/>
            <w:shd w:val="clear" w:color="auto" w:fill="auto"/>
          </w:tcPr>
          <w:p w14:paraId="4425395E" w14:textId="750FD72F" w:rsidR="00802B19" w:rsidRPr="00802B19" w:rsidRDefault="0099027D" w:rsidP="00D57108">
            <w:pPr>
              <w:rPr>
                <w:i/>
              </w:rPr>
            </w:pPr>
            <w:r>
              <w:rPr>
                <w:i/>
              </w:rPr>
              <w:t>Decrease/(increase</w:t>
            </w:r>
            <w:r w:rsidR="00482990">
              <w:rPr>
                <w:i/>
              </w:rPr>
              <w:t>)</w:t>
            </w:r>
            <w:r w:rsidR="00802B19" w:rsidRPr="00802B19">
              <w:rPr>
                <w:i/>
              </w:rPr>
              <w:t xml:space="preserve"> in assets:</w:t>
            </w:r>
          </w:p>
        </w:tc>
        <w:tc>
          <w:tcPr>
            <w:tcW w:w="2126" w:type="dxa"/>
            <w:shd w:val="clear" w:color="auto" w:fill="auto"/>
          </w:tcPr>
          <w:p w14:paraId="6316995F" w14:textId="77777777" w:rsidR="00802B19" w:rsidRDefault="00802B19" w:rsidP="00D57108">
            <w:pPr>
              <w:jc w:val="right"/>
            </w:pPr>
          </w:p>
        </w:tc>
        <w:tc>
          <w:tcPr>
            <w:tcW w:w="2046" w:type="dxa"/>
            <w:shd w:val="clear" w:color="auto" w:fill="auto"/>
          </w:tcPr>
          <w:p w14:paraId="7506C3A0" w14:textId="77777777" w:rsidR="00802B19" w:rsidRDefault="00802B19" w:rsidP="00D57108">
            <w:pPr>
              <w:jc w:val="right"/>
            </w:pPr>
          </w:p>
        </w:tc>
      </w:tr>
      <w:tr w:rsidR="00802B19" w14:paraId="53C4239C" w14:textId="77777777" w:rsidTr="00D57108">
        <w:tc>
          <w:tcPr>
            <w:tcW w:w="5070" w:type="dxa"/>
          </w:tcPr>
          <w:p w14:paraId="1B4B1107" w14:textId="62B38035" w:rsidR="00802B19" w:rsidRDefault="00802B19" w:rsidP="00D57108">
            <w:r>
              <w:t>Current receivables</w:t>
            </w:r>
          </w:p>
        </w:tc>
        <w:tc>
          <w:tcPr>
            <w:tcW w:w="2126" w:type="dxa"/>
            <w:shd w:val="clear" w:color="auto" w:fill="F5EDC1" w:themeFill="accent4"/>
          </w:tcPr>
          <w:p w14:paraId="29D8E9B9" w14:textId="1B4A603A" w:rsidR="00802B19" w:rsidRDefault="00802B19" w:rsidP="00D57108">
            <w:pPr>
              <w:jc w:val="right"/>
            </w:pPr>
            <w:r>
              <w:t>184</w:t>
            </w:r>
          </w:p>
        </w:tc>
        <w:tc>
          <w:tcPr>
            <w:tcW w:w="2046" w:type="dxa"/>
            <w:shd w:val="clear" w:color="auto" w:fill="D4E2E0" w:themeFill="accent5"/>
          </w:tcPr>
          <w:p w14:paraId="018B302F" w14:textId="0F5A44ED" w:rsidR="00802B19" w:rsidRDefault="00802B19" w:rsidP="00D57108">
            <w:pPr>
              <w:jc w:val="right"/>
            </w:pPr>
            <w:r>
              <w:t>(143)</w:t>
            </w:r>
          </w:p>
        </w:tc>
      </w:tr>
      <w:tr w:rsidR="00802B19" w14:paraId="20CD6182" w14:textId="77777777" w:rsidTr="00802B19">
        <w:tc>
          <w:tcPr>
            <w:tcW w:w="5070" w:type="dxa"/>
          </w:tcPr>
          <w:p w14:paraId="133ECDD8" w14:textId="08004D2C" w:rsidR="00802B19" w:rsidRPr="00802B19" w:rsidRDefault="00802B19" w:rsidP="00D57108">
            <w:pPr>
              <w:rPr>
                <w:i/>
              </w:rPr>
            </w:pPr>
            <w:r w:rsidRPr="00802B19">
              <w:rPr>
                <w:i/>
              </w:rPr>
              <w:t>Increase/(decrease) in liabilities:</w:t>
            </w:r>
          </w:p>
        </w:tc>
        <w:tc>
          <w:tcPr>
            <w:tcW w:w="2126" w:type="dxa"/>
            <w:shd w:val="clear" w:color="auto" w:fill="auto"/>
          </w:tcPr>
          <w:p w14:paraId="6B6B8925" w14:textId="77777777" w:rsidR="00802B19" w:rsidRDefault="00802B19" w:rsidP="00D57108">
            <w:pPr>
              <w:jc w:val="right"/>
            </w:pPr>
          </w:p>
        </w:tc>
        <w:tc>
          <w:tcPr>
            <w:tcW w:w="2046" w:type="dxa"/>
            <w:shd w:val="clear" w:color="auto" w:fill="auto"/>
          </w:tcPr>
          <w:p w14:paraId="17793AB1" w14:textId="77777777" w:rsidR="00802B19" w:rsidRDefault="00802B19" w:rsidP="00D57108">
            <w:pPr>
              <w:jc w:val="right"/>
            </w:pPr>
          </w:p>
        </w:tc>
      </w:tr>
      <w:tr w:rsidR="00802B19" w14:paraId="581BE8EA" w14:textId="77777777" w:rsidTr="00D57108">
        <w:tc>
          <w:tcPr>
            <w:tcW w:w="5070" w:type="dxa"/>
          </w:tcPr>
          <w:p w14:paraId="60148869" w14:textId="2273F8FE" w:rsidR="00802B19" w:rsidRDefault="00802B19" w:rsidP="00D57108">
            <w:r>
              <w:t>Current payables</w:t>
            </w:r>
            <w:r w:rsidRPr="00802B19">
              <w:rPr>
                <w:vertAlign w:val="superscript"/>
              </w:rPr>
              <w:t>(a)</w:t>
            </w:r>
          </w:p>
        </w:tc>
        <w:tc>
          <w:tcPr>
            <w:tcW w:w="2126" w:type="dxa"/>
            <w:shd w:val="clear" w:color="auto" w:fill="F5EDC1" w:themeFill="accent4"/>
          </w:tcPr>
          <w:p w14:paraId="0EC20EFF" w14:textId="5623FC7E" w:rsidR="00802B19" w:rsidRDefault="00802B19" w:rsidP="00D57108">
            <w:pPr>
              <w:jc w:val="right"/>
            </w:pPr>
            <w:r>
              <w:t>375</w:t>
            </w:r>
          </w:p>
        </w:tc>
        <w:tc>
          <w:tcPr>
            <w:tcW w:w="2046" w:type="dxa"/>
            <w:shd w:val="clear" w:color="auto" w:fill="D4E2E0" w:themeFill="accent5"/>
          </w:tcPr>
          <w:p w14:paraId="45C600DD" w14:textId="3D9A4DE8" w:rsidR="00802B19" w:rsidRDefault="00802B19" w:rsidP="00D57108">
            <w:pPr>
              <w:jc w:val="right"/>
            </w:pPr>
            <w:r>
              <w:t>49</w:t>
            </w:r>
          </w:p>
        </w:tc>
      </w:tr>
      <w:tr w:rsidR="00802B19" w14:paraId="18563DE7" w14:textId="77777777" w:rsidTr="00D57108">
        <w:tc>
          <w:tcPr>
            <w:tcW w:w="5070" w:type="dxa"/>
          </w:tcPr>
          <w:p w14:paraId="24FF9BDF" w14:textId="0E1C8A11" w:rsidR="00802B19" w:rsidRDefault="00802B19" w:rsidP="00D57108">
            <w:r>
              <w:t>Current provisions</w:t>
            </w:r>
          </w:p>
        </w:tc>
        <w:tc>
          <w:tcPr>
            <w:tcW w:w="2126" w:type="dxa"/>
            <w:shd w:val="clear" w:color="auto" w:fill="F5EDC1" w:themeFill="accent4"/>
          </w:tcPr>
          <w:p w14:paraId="7D0B817D" w14:textId="77E95908" w:rsidR="00802B19" w:rsidRDefault="00802B19" w:rsidP="00D57108">
            <w:pPr>
              <w:jc w:val="right"/>
            </w:pPr>
            <w:r>
              <w:t>615</w:t>
            </w:r>
          </w:p>
        </w:tc>
        <w:tc>
          <w:tcPr>
            <w:tcW w:w="2046" w:type="dxa"/>
            <w:shd w:val="clear" w:color="auto" w:fill="D4E2E0" w:themeFill="accent5"/>
          </w:tcPr>
          <w:p w14:paraId="3D73A38D" w14:textId="4E098436" w:rsidR="00802B19" w:rsidRDefault="00802B19" w:rsidP="00D57108">
            <w:pPr>
              <w:jc w:val="right"/>
            </w:pPr>
            <w:r>
              <w:t>937</w:t>
            </w:r>
          </w:p>
        </w:tc>
      </w:tr>
      <w:tr w:rsidR="00802B19" w14:paraId="779E9BDA" w14:textId="77777777" w:rsidTr="00D57108">
        <w:tc>
          <w:tcPr>
            <w:tcW w:w="5070" w:type="dxa"/>
          </w:tcPr>
          <w:p w14:paraId="08004293" w14:textId="791DA7E7" w:rsidR="00802B19" w:rsidRDefault="00802B19" w:rsidP="00D57108">
            <w:r>
              <w:t>Non-current provisions</w:t>
            </w:r>
          </w:p>
        </w:tc>
        <w:tc>
          <w:tcPr>
            <w:tcW w:w="2126" w:type="dxa"/>
            <w:shd w:val="clear" w:color="auto" w:fill="F5EDC1" w:themeFill="accent4"/>
          </w:tcPr>
          <w:p w14:paraId="0D06C72A" w14:textId="01BF442E" w:rsidR="00802B19" w:rsidRDefault="00802B19" w:rsidP="00D57108">
            <w:pPr>
              <w:jc w:val="right"/>
            </w:pPr>
            <w:r>
              <w:t>(4,706)</w:t>
            </w:r>
          </w:p>
        </w:tc>
        <w:tc>
          <w:tcPr>
            <w:tcW w:w="2046" w:type="dxa"/>
            <w:shd w:val="clear" w:color="auto" w:fill="D4E2E0" w:themeFill="accent5"/>
          </w:tcPr>
          <w:p w14:paraId="58134DDA" w14:textId="21A7448C" w:rsidR="00802B19" w:rsidRDefault="00802B19" w:rsidP="00D57108">
            <w:pPr>
              <w:jc w:val="right"/>
            </w:pPr>
            <w:r>
              <w:t>5,992</w:t>
            </w:r>
          </w:p>
        </w:tc>
      </w:tr>
      <w:tr w:rsidR="00802B19" w14:paraId="6F8F9376" w14:textId="77777777" w:rsidTr="00D57108">
        <w:tc>
          <w:tcPr>
            <w:tcW w:w="5070" w:type="dxa"/>
          </w:tcPr>
          <w:p w14:paraId="21EBFEAF" w14:textId="4653EF04" w:rsidR="00802B19" w:rsidRDefault="00802B19" w:rsidP="00D57108">
            <w:r>
              <w:lastRenderedPageBreak/>
              <w:t>Net GST receipts/(payments)</w:t>
            </w:r>
            <w:r w:rsidRPr="00802B19">
              <w:rPr>
                <w:vertAlign w:val="superscript"/>
              </w:rPr>
              <w:t>(b)</w:t>
            </w:r>
          </w:p>
        </w:tc>
        <w:tc>
          <w:tcPr>
            <w:tcW w:w="2126" w:type="dxa"/>
            <w:shd w:val="clear" w:color="auto" w:fill="F5EDC1" w:themeFill="accent4"/>
          </w:tcPr>
          <w:p w14:paraId="7596433B" w14:textId="1D0537E9" w:rsidR="00802B19" w:rsidRDefault="00802B19" w:rsidP="00D57108">
            <w:pPr>
              <w:jc w:val="right"/>
            </w:pPr>
            <w:r>
              <w:t>(32)</w:t>
            </w:r>
          </w:p>
        </w:tc>
        <w:tc>
          <w:tcPr>
            <w:tcW w:w="2046" w:type="dxa"/>
            <w:shd w:val="clear" w:color="auto" w:fill="D4E2E0" w:themeFill="accent5"/>
          </w:tcPr>
          <w:p w14:paraId="209E2F76" w14:textId="6C3E95BF" w:rsidR="00802B19" w:rsidRDefault="00802B19" w:rsidP="00D57108">
            <w:pPr>
              <w:jc w:val="right"/>
            </w:pPr>
            <w:r>
              <w:t>(10)</w:t>
            </w:r>
          </w:p>
        </w:tc>
      </w:tr>
      <w:tr w:rsidR="00802B19" w14:paraId="118D7497" w14:textId="77777777" w:rsidTr="00802B19">
        <w:tc>
          <w:tcPr>
            <w:tcW w:w="5070" w:type="dxa"/>
          </w:tcPr>
          <w:p w14:paraId="0E6B584C" w14:textId="3C3BBB34" w:rsidR="00802B19" w:rsidRDefault="00802B19" w:rsidP="00D57108">
            <w:r>
              <w:t>Change in GST receivables/(payables)</w:t>
            </w:r>
            <w:r w:rsidRPr="00802B19">
              <w:rPr>
                <w:vertAlign w:val="superscript"/>
              </w:rPr>
              <w:t>(c)</w:t>
            </w:r>
          </w:p>
        </w:tc>
        <w:tc>
          <w:tcPr>
            <w:tcW w:w="2126" w:type="dxa"/>
            <w:shd w:val="clear" w:color="auto" w:fill="F5EDC1" w:themeFill="accent4"/>
          </w:tcPr>
          <w:p w14:paraId="47271395" w14:textId="5A89881D" w:rsidR="00802B19" w:rsidRDefault="00802B19" w:rsidP="00D57108">
            <w:pPr>
              <w:jc w:val="right"/>
            </w:pPr>
            <w:r>
              <w:t>-</w:t>
            </w:r>
          </w:p>
        </w:tc>
        <w:tc>
          <w:tcPr>
            <w:tcW w:w="2046" w:type="dxa"/>
            <w:shd w:val="clear" w:color="auto" w:fill="D4E2E0" w:themeFill="accent5"/>
          </w:tcPr>
          <w:p w14:paraId="412708E8" w14:textId="6937B2A6" w:rsidR="00802B19" w:rsidRDefault="00802B19" w:rsidP="00D57108">
            <w:pPr>
              <w:jc w:val="right"/>
            </w:pPr>
            <w:r>
              <w:t>-</w:t>
            </w:r>
          </w:p>
        </w:tc>
      </w:tr>
      <w:tr w:rsidR="00802B19" w14:paraId="33FA525E" w14:textId="77777777" w:rsidTr="00802B19">
        <w:tc>
          <w:tcPr>
            <w:tcW w:w="5070" w:type="dxa"/>
          </w:tcPr>
          <w:p w14:paraId="45668AA1" w14:textId="2536B14C" w:rsidR="00802B19" w:rsidRPr="00802B19" w:rsidRDefault="00802B19" w:rsidP="00D57108">
            <w:pPr>
              <w:rPr>
                <w:b/>
              </w:rPr>
            </w:pPr>
            <w:r w:rsidRPr="00802B19">
              <w:rPr>
                <w:b/>
              </w:rPr>
              <w:t>Net cash provided by operating activities</w:t>
            </w:r>
          </w:p>
        </w:tc>
        <w:tc>
          <w:tcPr>
            <w:tcW w:w="2126" w:type="dxa"/>
            <w:tcBorders>
              <w:bottom w:val="single" w:sz="4" w:space="0" w:color="auto"/>
            </w:tcBorders>
            <w:shd w:val="clear" w:color="auto" w:fill="F5EDC1" w:themeFill="accent4"/>
          </w:tcPr>
          <w:p w14:paraId="09E10D92" w14:textId="3E3C7F96" w:rsidR="00802B19" w:rsidRPr="00802B19" w:rsidRDefault="00802B19" w:rsidP="00D57108">
            <w:pPr>
              <w:jc w:val="right"/>
              <w:rPr>
                <w:b/>
              </w:rPr>
            </w:pPr>
            <w:r w:rsidRPr="00802B19">
              <w:rPr>
                <w:b/>
              </w:rPr>
              <w:t>15,025</w:t>
            </w:r>
          </w:p>
        </w:tc>
        <w:tc>
          <w:tcPr>
            <w:tcW w:w="2046" w:type="dxa"/>
            <w:tcBorders>
              <w:bottom w:val="single" w:sz="4" w:space="0" w:color="auto"/>
            </w:tcBorders>
            <w:shd w:val="clear" w:color="auto" w:fill="D4E2E0" w:themeFill="accent5"/>
          </w:tcPr>
          <w:p w14:paraId="19D24DAB" w14:textId="31F76234" w:rsidR="00802B19" w:rsidRPr="00802B19" w:rsidRDefault="00802B19" w:rsidP="00D57108">
            <w:pPr>
              <w:jc w:val="right"/>
              <w:rPr>
                <w:b/>
              </w:rPr>
            </w:pPr>
            <w:r w:rsidRPr="00802B19">
              <w:rPr>
                <w:b/>
              </w:rPr>
              <w:t>14,636</w:t>
            </w:r>
          </w:p>
        </w:tc>
      </w:tr>
    </w:tbl>
    <w:p w14:paraId="748B6C92" w14:textId="77777777" w:rsidR="00802B19" w:rsidRDefault="00802B19" w:rsidP="00802B19"/>
    <w:p w14:paraId="128A8E67" w14:textId="09113D0B" w:rsidR="003A3C55" w:rsidRDefault="003A3C55" w:rsidP="003A3C55">
      <w:r>
        <w:t>(a) Note that the Australian Taxation Office (ATO) receivable/payable in respect of GST and the receivable/payable in respect of the sale/purchase of non- current assets are not included in these items as they do not form part of the reconciling items.</w:t>
      </w:r>
    </w:p>
    <w:p w14:paraId="6885C52E" w14:textId="6EAC9024" w:rsidR="003A3C55" w:rsidRDefault="003A3C55" w:rsidP="003A3C55">
      <w:r>
        <w:t>(b) This is the net GST paid/received, i.e. cash transactions.</w:t>
      </w:r>
    </w:p>
    <w:p w14:paraId="37A7EF89" w14:textId="28DCEC74" w:rsidR="006678AF" w:rsidRDefault="003A3C55" w:rsidP="00032EDA">
      <w:r>
        <w:t xml:space="preserve">(c) This </w:t>
      </w:r>
      <w:r w:rsidRPr="003A3C55">
        <w:t>reverses out the GST in receivables and payables.</w:t>
      </w:r>
    </w:p>
    <w:p w14:paraId="409D364B" w14:textId="0A7F94ED" w:rsidR="006678AF" w:rsidRDefault="006678AF" w:rsidP="006678AF">
      <w:pPr>
        <w:pStyle w:val="Heading2nonumber"/>
        <w:numPr>
          <w:ilvl w:val="0"/>
          <w:numId w:val="15"/>
        </w:numPr>
      </w:pPr>
      <w:bookmarkStart w:id="709" w:name="_Toc430091387"/>
      <w:r>
        <w:t>Employers’ Indemnity Supplementation Fund (EISF)</w:t>
      </w:r>
      <w:bookmarkEnd w:id="709"/>
    </w:p>
    <w:p w14:paraId="313C3B94" w14:textId="4A9A0587" w:rsidR="006678AF" w:rsidRDefault="006678AF" w:rsidP="006678AF">
      <w:r>
        <w:t xml:space="preserve">The EISF was established by the </w:t>
      </w:r>
      <w:r w:rsidRPr="00D31105">
        <w:rPr>
          <w:i/>
        </w:rPr>
        <w:t>Employers' Indemnity Supplementation Fund Act 1980</w:t>
      </w:r>
      <w:r>
        <w:t xml:space="preserve"> (the Act) to provide for payment of workers' compensation claims in Western Australia:</w:t>
      </w:r>
    </w:p>
    <w:p w14:paraId="6EC66871" w14:textId="1AA0C7DF" w:rsidR="006678AF" w:rsidRDefault="006678AF" w:rsidP="006678AF">
      <w:pPr>
        <w:pStyle w:val="BulletListLevel1"/>
      </w:pPr>
      <w:r>
        <w:t>in the event an approved insurer collapses; and</w:t>
      </w:r>
    </w:p>
    <w:p w14:paraId="23234E2D" w14:textId="0EBDA539" w:rsidR="006678AF" w:rsidRDefault="006678AF" w:rsidP="006678AF">
      <w:pPr>
        <w:pStyle w:val="BulletListLevel1"/>
      </w:pPr>
      <w:r>
        <w:t xml:space="preserve">to waterfront workers suffering from asbestos related diseases under the </w:t>
      </w:r>
      <w:r w:rsidRPr="00B439AE">
        <w:rPr>
          <w:i/>
        </w:rPr>
        <w:t>Waterfront Workers’ (Compensation for Asbestos Related Diseases) Act.</w:t>
      </w:r>
    </w:p>
    <w:p w14:paraId="32588163" w14:textId="65AC9F89" w:rsidR="006678AF" w:rsidRDefault="006678AF" w:rsidP="006678AF">
      <w:r>
        <w:t>The most recent insurer collapse was HIH Insurance, which was officially placed into provisional liquidation on 15 March 2001. All claims up to and including that date are required to be paid from the EISF.</w:t>
      </w:r>
    </w:p>
    <w:p w14:paraId="0C503C46" w14:textId="689A7700" w:rsidR="006678AF" w:rsidRDefault="006678AF" w:rsidP="006678AF">
      <w:r>
        <w:t>The Authority’s claim costs for the EISF (including HIH Insurance) are actuarially assessed each financial year and the values disclosed in the financial statements. The actuarial estimates are based on inflated and discounted values including a 75% prudential margin. The liability for outstanding claims is measured as the central estimate of the present value of expected future payments against claims incurred at the reporting date under general insurance contracts issued by the company, with an additional risk margin to allow for the inherent uncertainty in the central estimate.</w:t>
      </w:r>
    </w:p>
    <w:p w14:paraId="749A8D98" w14:textId="77777777" w:rsidR="00B439AE" w:rsidRDefault="006678AF" w:rsidP="006678AF">
      <w:r>
        <w:t xml:space="preserve">The expected future payments include those in relation to claims reported but not yet paid, claims incurred but not reported (IBNR), claims incurred but not enough reported (IBNER) and anticipated claims handling costs. </w:t>
      </w:r>
    </w:p>
    <w:p w14:paraId="17CC7D6D" w14:textId="6836F70E" w:rsidR="006678AF" w:rsidRDefault="006678AF" w:rsidP="006678AF">
      <w:r>
        <w:lastRenderedPageBreak/>
        <w:t>Claims handling costs include costs that can be directly associated with individual claims such as legal and other professional fees, and costs that can only be indirectly associated with individual claims such as claims administration costs.</w:t>
      </w:r>
    </w:p>
    <w:p w14:paraId="1AF46D95" w14:textId="77777777" w:rsidR="006678AF" w:rsidRPr="00DA1E18" w:rsidRDefault="006678AF" w:rsidP="006678AF">
      <w:pPr>
        <w:rPr>
          <w:rStyle w:val="Strong"/>
        </w:rPr>
      </w:pPr>
      <w:r w:rsidRPr="00DA1E18">
        <w:rPr>
          <w:rStyle w:val="Strong"/>
        </w:rPr>
        <w:t>EISF Act Liabilities</w:t>
      </w:r>
    </w:p>
    <w:p w14:paraId="507DF07C" w14:textId="2E1C9C56" w:rsidR="006678AF" w:rsidRDefault="006678AF" w:rsidP="006678AF">
      <w:r w:rsidRPr="006678AF">
        <w:t>The</w:t>
      </w:r>
      <w:r>
        <w:t xml:space="preserve"> </w:t>
      </w:r>
      <w:r w:rsidRPr="006678AF">
        <w:t>outstanding liabilities for claims in run-off (including clients of the HIH Insurance Group) are assessed by an independent actuary using models applicable to the nature of the incident by which the liability under the fund has been incurred. Claims under the EISF Act are assessed under the categories of Asbestos-Related Claims (which includes incidents of mesothelioma, lung cancer and other diseases of the respiratory system) and Non Asbestos- Related Claims.</w:t>
      </w:r>
    </w:p>
    <w:p w14:paraId="330C8CFC" w14:textId="77777777" w:rsidR="00783674" w:rsidRPr="00DA1E18" w:rsidRDefault="00783674" w:rsidP="00783674">
      <w:pPr>
        <w:rPr>
          <w:rStyle w:val="Strong"/>
        </w:rPr>
      </w:pPr>
      <w:r w:rsidRPr="00DA1E18">
        <w:rPr>
          <w:rStyle w:val="Strong"/>
        </w:rPr>
        <w:t>Workers' Compensation - Asbestos-Related Claims</w:t>
      </w:r>
    </w:p>
    <w:p w14:paraId="0E2DF060" w14:textId="668190BC" w:rsidR="00783674" w:rsidRPr="009D6D14" w:rsidRDefault="00783674" w:rsidP="00783674">
      <w:r>
        <w:t>Asbestos-Related Claims are assessed using actuarial models based on those developed by Professor Geoffrey Berry utilising ICGF data. The models predict the total number of claims likely to emerge over time and also determine likely average cost per claim</w:t>
      </w:r>
      <w:r w:rsidRPr="009D6D14">
        <w:rPr>
          <w:vertAlign w:val="superscript"/>
        </w:rPr>
        <w:t>(1)</w:t>
      </w:r>
      <w:r w:rsidR="009D6D14">
        <w:t>.</w:t>
      </w:r>
    </w:p>
    <w:p w14:paraId="136B4514" w14:textId="77777777" w:rsidR="00783674" w:rsidRPr="00DA1E18" w:rsidRDefault="00783674" w:rsidP="00783674">
      <w:pPr>
        <w:rPr>
          <w:rStyle w:val="Strong"/>
        </w:rPr>
      </w:pPr>
      <w:r w:rsidRPr="00DA1E18">
        <w:rPr>
          <w:rStyle w:val="Strong"/>
        </w:rPr>
        <w:t>Workers’ Compensation - Non Asbestos-Related Claims</w:t>
      </w:r>
    </w:p>
    <w:p w14:paraId="025897EA" w14:textId="2FD522AE" w:rsidR="00783674" w:rsidRDefault="00783674" w:rsidP="00783674">
      <w:r>
        <w:t>The majority of these claims are long tail in nature and the actuarial models rely heavily on the case estimates placed on each claim to determine the total outstanding liabilities.</w:t>
      </w:r>
    </w:p>
    <w:p w14:paraId="1BC8A6E7" w14:textId="77777777" w:rsidR="00783674" w:rsidRPr="00DA1E18" w:rsidRDefault="00783674" w:rsidP="00783674">
      <w:pPr>
        <w:rPr>
          <w:rStyle w:val="Strong"/>
        </w:rPr>
      </w:pPr>
      <w:r w:rsidRPr="00DA1E18">
        <w:rPr>
          <w:rStyle w:val="Strong"/>
        </w:rPr>
        <w:t>Actuarial Assumptions</w:t>
      </w:r>
    </w:p>
    <w:p w14:paraId="0EB1EA31" w14:textId="2C8A8606" w:rsidR="00783674" w:rsidRDefault="00783674" w:rsidP="00783674">
      <w:r>
        <w:t>The following tables provide key actuarial assumptions made in determining the outstanding claims liabilities:</w:t>
      </w:r>
    </w:p>
    <w:p w14:paraId="0E213F6A" w14:textId="2DBF8FB6" w:rsidR="006678AF" w:rsidRDefault="00783674" w:rsidP="00783674">
      <w:pPr>
        <w:keepLines w:val="0"/>
        <w:spacing w:after="0" w:line="240" w:lineRule="auto"/>
      </w:pPr>
      <w:r>
        <w:br w:type="page"/>
      </w:r>
    </w:p>
    <w:p w14:paraId="37308006" w14:textId="77777777" w:rsidR="00783674" w:rsidRPr="00DA1E18" w:rsidRDefault="00783674" w:rsidP="00783674">
      <w:pPr>
        <w:rPr>
          <w:rStyle w:val="Strong"/>
        </w:rPr>
      </w:pPr>
      <w:r w:rsidRPr="00DA1E18">
        <w:rPr>
          <w:rStyle w:val="Strong"/>
        </w:rPr>
        <w:t>EISF Act: Asbestos-Related Claims</w:t>
      </w:r>
      <w:r w:rsidRPr="00DA1E18">
        <w:rPr>
          <w:rStyle w:val="Strong"/>
        </w:rPr>
        <w:br/>
      </w:r>
    </w:p>
    <w:tbl>
      <w:tblPr>
        <w:tblStyle w:val="TableGrid"/>
        <w:tblW w:w="0" w:type="auto"/>
        <w:tblLook w:val="04A0" w:firstRow="1" w:lastRow="0" w:firstColumn="1" w:lastColumn="0" w:noHBand="0" w:noVBand="1"/>
      </w:tblPr>
      <w:tblGrid>
        <w:gridCol w:w="2998"/>
        <w:gridCol w:w="1532"/>
        <w:gridCol w:w="1481"/>
        <w:gridCol w:w="36"/>
        <w:gridCol w:w="1531"/>
        <w:gridCol w:w="1448"/>
      </w:tblGrid>
      <w:tr w:rsidR="00783674" w14:paraId="10CA0273" w14:textId="77777777" w:rsidTr="00D57108">
        <w:tc>
          <w:tcPr>
            <w:tcW w:w="3082" w:type="dxa"/>
            <w:tcBorders>
              <w:top w:val="nil"/>
              <w:left w:val="nil"/>
              <w:bottom w:val="nil"/>
              <w:right w:val="nil"/>
            </w:tcBorders>
          </w:tcPr>
          <w:p w14:paraId="5AAC33BB" w14:textId="77777777" w:rsidR="00783674" w:rsidRDefault="00783674" w:rsidP="00D57108">
            <w:pPr>
              <w:rPr>
                <w:b/>
                <w:color w:val="000000"/>
              </w:rPr>
            </w:pPr>
          </w:p>
        </w:tc>
        <w:tc>
          <w:tcPr>
            <w:tcW w:w="3080" w:type="dxa"/>
            <w:gridSpan w:val="2"/>
            <w:tcBorders>
              <w:top w:val="nil"/>
              <w:left w:val="nil"/>
              <w:bottom w:val="nil"/>
              <w:right w:val="nil"/>
            </w:tcBorders>
          </w:tcPr>
          <w:p w14:paraId="1B4966B3" w14:textId="77777777" w:rsidR="00783674" w:rsidRDefault="00783674" w:rsidP="00D57108">
            <w:pPr>
              <w:jc w:val="center"/>
              <w:rPr>
                <w:b/>
                <w:color w:val="000000"/>
              </w:rPr>
            </w:pPr>
            <w:r>
              <w:rPr>
                <w:b/>
                <w:color w:val="000000"/>
              </w:rPr>
              <w:t>2015</w:t>
            </w:r>
          </w:p>
        </w:tc>
        <w:tc>
          <w:tcPr>
            <w:tcW w:w="3080" w:type="dxa"/>
            <w:gridSpan w:val="3"/>
            <w:tcBorders>
              <w:top w:val="nil"/>
              <w:left w:val="nil"/>
              <w:bottom w:val="nil"/>
              <w:right w:val="nil"/>
            </w:tcBorders>
          </w:tcPr>
          <w:p w14:paraId="69F5ABBB" w14:textId="77777777" w:rsidR="00783674" w:rsidRDefault="00783674" w:rsidP="00D57108">
            <w:pPr>
              <w:jc w:val="center"/>
              <w:rPr>
                <w:b/>
                <w:color w:val="000000"/>
              </w:rPr>
            </w:pPr>
            <w:r>
              <w:rPr>
                <w:b/>
                <w:color w:val="000000"/>
              </w:rPr>
              <w:t>2014</w:t>
            </w:r>
          </w:p>
        </w:tc>
      </w:tr>
      <w:tr w:rsidR="00783674" w:rsidRPr="000B4E3E" w14:paraId="2B48316E" w14:textId="77777777" w:rsidTr="00D57108">
        <w:tc>
          <w:tcPr>
            <w:tcW w:w="3082" w:type="dxa"/>
            <w:tcBorders>
              <w:top w:val="nil"/>
              <w:left w:val="nil"/>
              <w:bottom w:val="nil"/>
              <w:right w:val="nil"/>
            </w:tcBorders>
          </w:tcPr>
          <w:p w14:paraId="30CC9D44" w14:textId="77777777" w:rsidR="00783674" w:rsidRPr="000B4E3E" w:rsidRDefault="00783674" w:rsidP="00D57108">
            <w:pPr>
              <w:rPr>
                <w:color w:val="000000"/>
              </w:rPr>
            </w:pPr>
            <w:r w:rsidRPr="000B4E3E">
              <w:rPr>
                <w:color w:val="000000"/>
              </w:rPr>
              <w:t>Inflation Rate</w:t>
            </w:r>
          </w:p>
        </w:tc>
        <w:tc>
          <w:tcPr>
            <w:tcW w:w="3080" w:type="dxa"/>
            <w:gridSpan w:val="2"/>
            <w:tcBorders>
              <w:top w:val="nil"/>
              <w:left w:val="nil"/>
              <w:bottom w:val="nil"/>
              <w:right w:val="nil"/>
            </w:tcBorders>
            <w:shd w:val="clear" w:color="auto" w:fill="F5EDC1" w:themeFill="accent4"/>
          </w:tcPr>
          <w:p w14:paraId="34BA08FA" w14:textId="77777777" w:rsidR="00783674" w:rsidRPr="000B4E3E" w:rsidRDefault="00783674" w:rsidP="00D57108">
            <w:pPr>
              <w:jc w:val="right"/>
              <w:rPr>
                <w:color w:val="000000"/>
              </w:rPr>
            </w:pPr>
            <w:r>
              <w:rPr>
                <w:color w:val="000000"/>
              </w:rPr>
              <w:t>3.75% for 2016 and later</w:t>
            </w:r>
          </w:p>
        </w:tc>
        <w:tc>
          <w:tcPr>
            <w:tcW w:w="3080" w:type="dxa"/>
            <w:gridSpan w:val="3"/>
            <w:tcBorders>
              <w:top w:val="nil"/>
              <w:left w:val="nil"/>
              <w:bottom w:val="nil"/>
              <w:right w:val="nil"/>
            </w:tcBorders>
            <w:shd w:val="clear" w:color="auto" w:fill="D4E2E0" w:themeFill="accent5"/>
          </w:tcPr>
          <w:p w14:paraId="5FF73F67" w14:textId="77777777" w:rsidR="00783674" w:rsidRPr="000B4E3E" w:rsidRDefault="00783674" w:rsidP="00D57108">
            <w:pPr>
              <w:jc w:val="right"/>
              <w:rPr>
                <w:color w:val="000000"/>
              </w:rPr>
            </w:pPr>
            <w:r>
              <w:rPr>
                <w:color w:val="000000"/>
              </w:rPr>
              <w:t>4.50% for 2015 and later</w:t>
            </w:r>
          </w:p>
        </w:tc>
      </w:tr>
      <w:tr w:rsidR="00783674" w:rsidRPr="000B4E3E" w14:paraId="4CB6C559" w14:textId="77777777" w:rsidTr="00D57108">
        <w:tc>
          <w:tcPr>
            <w:tcW w:w="3082" w:type="dxa"/>
            <w:tcBorders>
              <w:top w:val="nil"/>
              <w:left w:val="nil"/>
              <w:bottom w:val="nil"/>
              <w:right w:val="nil"/>
            </w:tcBorders>
          </w:tcPr>
          <w:p w14:paraId="0B9D08BA" w14:textId="77777777" w:rsidR="00783674" w:rsidRPr="000B4E3E" w:rsidRDefault="00783674" w:rsidP="00D57108">
            <w:pPr>
              <w:rPr>
                <w:color w:val="000000"/>
              </w:rPr>
            </w:pPr>
            <w:r w:rsidRPr="000B4E3E">
              <w:rPr>
                <w:color w:val="000000"/>
              </w:rPr>
              <w:t>Discount Rate</w:t>
            </w:r>
          </w:p>
        </w:tc>
        <w:tc>
          <w:tcPr>
            <w:tcW w:w="1559" w:type="dxa"/>
            <w:tcBorders>
              <w:top w:val="nil"/>
              <w:left w:val="nil"/>
              <w:bottom w:val="nil"/>
              <w:right w:val="nil"/>
            </w:tcBorders>
            <w:shd w:val="clear" w:color="auto" w:fill="F5EDC1" w:themeFill="accent4"/>
          </w:tcPr>
          <w:p w14:paraId="22649127" w14:textId="77777777" w:rsidR="00783674" w:rsidRPr="000B4E3E" w:rsidRDefault="00783674" w:rsidP="00D57108">
            <w:pPr>
              <w:jc w:val="right"/>
              <w:rPr>
                <w:color w:val="000000"/>
              </w:rPr>
            </w:pPr>
            <w:r w:rsidRPr="000B4E3E">
              <w:rPr>
                <w:color w:val="000000"/>
              </w:rPr>
              <w:t>2016</w:t>
            </w:r>
          </w:p>
        </w:tc>
        <w:tc>
          <w:tcPr>
            <w:tcW w:w="1558" w:type="dxa"/>
            <w:gridSpan w:val="2"/>
            <w:tcBorders>
              <w:top w:val="nil"/>
              <w:left w:val="nil"/>
              <w:bottom w:val="nil"/>
              <w:right w:val="nil"/>
            </w:tcBorders>
            <w:shd w:val="clear" w:color="auto" w:fill="F5EDC1" w:themeFill="accent4"/>
          </w:tcPr>
          <w:p w14:paraId="072146E2" w14:textId="77777777" w:rsidR="00783674" w:rsidRPr="000B4E3E" w:rsidRDefault="00783674" w:rsidP="00D57108">
            <w:pPr>
              <w:jc w:val="right"/>
              <w:rPr>
                <w:color w:val="000000"/>
              </w:rPr>
            </w:pPr>
            <w:r>
              <w:rPr>
                <w:color w:val="000000"/>
              </w:rPr>
              <w:t>2.00%</w:t>
            </w:r>
          </w:p>
        </w:tc>
        <w:tc>
          <w:tcPr>
            <w:tcW w:w="1558" w:type="dxa"/>
            <w:tcBorders>
              <w:top w:val="nil"/>
              <w:left w:val="nil"/>
              <w:bottom w:val="nil"/>
              <w:right w:val="nil"/>
            </w:tcBorders>
            <w:shd w:val="clear" w:color="auto" w:fill="D4E2E0" w:themeFill="accent5"/>
          </w:tcPr>
          <w:p w14:paraId="22A90B0B" w14:textId="77777777" w:rsidR="00783674" w:rsidRPr="000B4E3E" w:rsidRDefault="00783674" w:rsidP="00D57108">
            <w:pPr>
              <w:jc w:val="right"/>
              <w:rPr>
                <w:color w:val="000000"/>
              </w:rPr>
            </w:pPr>
            <w:r>
              <w:rPr>
                <w:color w:val="000000"/>
              </w:rPr>
              <w:t>2015</w:t>
            </w:r>
          </w:p>
        </w:tc>
        <w:tc>
          <w:tcPr>
            <w:tcW w:w="1485" w:type="dxa"/>
            <w:tcBorders>
              <w:top w:val="nil"/>
              <w:left w:val="nil"/>
              <w:bottom w:val="nil"/>
              <w:right w:val="nil"/>
            </w:tcBorders>
            <w:shd w:val="clear" w:color="auto" w:fill="D4E2E0" w:themeFill="accent5"/>
          </w:tcPr>
          <w:p w14:paraId="4A196EA6" w14:textId="77777777" w:rsidR="00783674" w:rsidRPr="000B4E3E" w:rsidRDefault="00783674" w:rsidP="00D57108">
            <w:pPr>
              <w:jc w:val="right"/>
              <w:rPr>
                <w:color w:val="000000"/>
              </w:rPr>
            </w:pPr>
            <w:r>
              <w:rPr>
                <w:color w:val="000000"/>
              </w:rPr>
              <w:t>2.50%</w:t>
            </w:r>
          </w:p>
        </w:tc>
      </w:tr>
      <w:tr w:rsidR="00783674" w14:paraId="16382177" w14:textId="77777777" w:rsidTr="00D57108">
        <w:tc>
          <w:tcPr>
            <w:tcW w:w="3082" w:type="dxa"/>
            <w:tcBorders>
              <w:top w:val="nil"/>
              <w:left w:val="nil"/>
              <w:bottom w:val="nil"/>
              <w:right w:val="nil"/>
            </w:tcBorders>
          </w:tcPr>
          <w:p w14:paraId="1ABDC884"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7DC239FB" w14:textId="77777777" w:rsidR="00783674" w:rsidRPr="000B4E3E" w:rsidRDefault="00783674" w:rsidP="00D57108">
            <w:pPr>
              <w:jc w:val="right"/>
              <w:rPr>
                <w:color w:val="000000"/>
              </w:rPr>
            </w:pPr>
            <w:r>
              <w:rPr>
                <w:color w:val="000000"/>
              </w:rPr>
              <w:t>2017</w:t>
            </w:r>
          </w:p>
        </w:tc>
        <w:tc>
          <w:tcPr>
            <w:tcW w:w="1558" w:type="dxa"/>
            <w:gridSpan w:val="2"/>
            <w:tcBorders>
              <w:top w:val="nil"/>
              <w:left w:val="nil"/>
              <w:bottom w:val="nil"/>
              <w:right w:val="nil"/>
            </w:tcBorders>
            <w:shd w:val="clear" w:color="auto" w:fill="F5EDC1" w:themeFill="accent4"/>
          </w:tcPr>
          <w:p w14:paraId="1F373DB5" w14:textId="77777777" w:rsidR="00783674" w:rsidRDefault="00783674" w:rsidP="00D57108">
            <w:pPr>
              <w:jc w:val="right"/>
              <w:rPr>
                <w:color w:val="000000"/>
              </w:rPr>
            </w:pPr>
            <w:r>
              <w:rPr>
                <w:color w:val="000000"/>
              </w:rPr>
              <w:t>2.00%</w:t>
            </w:r>
          </w:p>
        </w:tc>
        <w:tc>
          <w:tcPr>
            <w:tcW w:w="1558" w:type="dxa"/>
            <w:tcBorders>
              <w:top w:val="nil"/>
              <w:left w:val="nil"/>
              <w:bottom w:val="nil"/>
              <w:right w:val="nil"/>
            </w:tcBorders>
            <w:shd w:val="clear" w:color="auto" w:fill="D4E2E0" w:themeFill="accent5"/>
          </w:tcPr>
          <w:p w14:paraId="25471568" w14:textId="77777777" w:rsidR="00783674" w:rsidRDefault="00783674" w:rsidP="00D57108">
            <w:pPr>
              <w:jc w:val="right"/>
              <w:rPr>
                <w:color w:val="000000"/>
              </w:rPr>
            </w:pPr>
            <w:r>
              <w:rPr>
                <w:color w:val="000000"/>
              </w:rPr>
              <w:t>2016</w:t>
            </w:r>
          </w:p>
        </w:tc>
        <w:tc>
          <w:tcPr>
            <w:tcW w:w="1485" w:type="dxa"/>
            <w:tcBorders>
              <w:top w:val="nil"/>
              <w:left w:val="nil"/>
              <w:bottom w:val="nil"/>
              <w:right w:val="nil"/>
            </w:tcBorders>
            <w:shd w:val="clear" w:color="auto" w:fill="D4E2E0" w:themeFill="accent5"/>
          </w:tcPr>
          <w:p w14:paraId="330D09A7" w14:textId="77777777" w:rsidR="00783674" w:rsidRDefault="00783674" w:rsidP="00D57108">
            <w:pPr>
              <w:jc w:val="right"/>
              <w:rPr>
                <w:color w:val="000000"/>
              </w:rPr>
            </w:pPr>
            <w:r>
              <w:rPr>
                <w:color w:val="000000"/>
              </w:rPr>
              <w:t>2.60%</w:t>
            </w:r>
          </w:p>
        </w:tc>
      </w:tr>
      <w:tr w:rsidR="00783674" w14:paraId="641F3C03" w14:textId="77777777" w:rsidTr="00D57108">
        <w:tc>
          <w:tcPr>
            <w:tcW w:w="3082" w:type="dxa"/>
            <w:tcBorders>
              <w:top w:val="nil"/>
              <w:left w:val="nil"/>
              <w:bottom w:val="nil"/>
              <w:right w:val="nil"/>
            </w:tcBorders>
          </w:tcPr>
          <w:p w14:paraId="026884E3"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7EBEA3D8" w14:textId="77777777" w:rsidR="00783674" w:rsidRDefault="00783674" w:rsidP="00D57108">
            <w:pPr>
              <w:jc w:val="right"/>
              <w:rPr>
                <w:color w:val="000000"/>
              </w:rPr>
            </w:pPr>
            <w:r>
              <w:rPr>
                <w:color w:val="000000"/>
              </w:rPr>
              <w:t>2018</w:t>
            </w:r>
          </w:p>
        </w:tc>
        <w:tc>
          <w:tcPr>
            <w:tcW w:w="1558" w:type="dxa"/>
            <w:gridSpan w:val="2"/>
            <w:tcBorders>
              <w:top w:val="nil"/>
              <w:left w:val="nil"/>
              <w:bottom w:val="nil"/>
              <w:right w:val="nil"/>
            </w:tcBorders>
            <w:shd w:val="clear" w:color="auto" w:fill="F5EDC1" w:themeFill="accent4"/>
          </w:tcPr>
          <w:p w14:paraId="72A09C30" w14:textId="77777777" w:rsidR="00783674" w:rsidRDefault="00783674" w:rsidP="00D57108">
            <w:pPr>
              <w:jc w:val="right"/>
              <w:rPr>
                <w:color w:val="000000"/>
              </w:rPr>
            </w:pPr>
            <w:r>
              <w:rPr>
                <w:color w:val="000000"/>
              </w:rPr>
              <w:t>2.20%</w:t>
            </w:r>
          </w:p>
        </w:tc>
        <w:tc>
          <w:tcPr>
            <w:tcW w:w="1558" w:type="dxa"/>
            <w:tcBorders>
              <w:top w:val="nil"/>
              <w:left w:val="nil"/>
              <w:bottom w:val="nil"/>
              <w:right w:val="nil"/>
            </w:tcBorders>
            <w:shd w:val="clear" w:color="auto" w:fill="D4E2E0" w:themeFill="accent5"/>
          </w:tcPr>
          <w:p w14:paraId="1694E4D6" w14:textId="77777777" w:rsidR="00783674" w:rsidRDefault="00783674" w:rsidP="00D57108">
            <w:pPr>
              <w:jc w:val="right"/>
              <w:rPr>
                <w:color w:val="000000"/>
              </w:rPr>
            </w:pPr>
            <w:r>
              <w:rPr>
                <w:color w:val="000000"/>
              </w:rPr>
              <w:t>2017</w:t>
            </w:r>
          </w:p>
        </w:tc>
        <w:tc>
          <w:tcPr>
            <w:tcW w:w="1485" w:type="dxa"/>
            <w:tcBorders>
              <w:top w:val="nil"/>
              <w:left w:val="nil"/>
              <w:bottom w:val="nil"/>
              <w:right w:val="nil"/>
            </w:tcBorders>
            <w:shd w:val="clear" w:color="auto" w:fill="D4E2E0" w:themeFill="accent5"/>
          </w:tcPr>
          <w:p w14:paraId="691BA1E8" w14:textId="77777777" w:rsidR="00783674" w:rsidRDefault="00783674" w:rsidP="00D57108">
            <w:pPr>
              <w:jc w:val="right"/>
              <w:rPr>
                <w:color w:val="000000"/>
              </w:rPr>
            </w:pPr>
            <w:r>
              <w:rPr>
                <w:color w:val="000000"/>
              </w:rPr>
              <w:t>3.00%</w:t>
            </w:r>
          </w:p>
        </w:tc>
      </w:tr>
      <w:tr w:rsidR="00783674" w14:paraId="14966215" w14:textId="77777777" w:rsidTr="00D57108">
        <w:tc>
          <w:tcPr>
            <w:tcW w:w="3082" w:type="dxa"/>
            <w:tcBorders>
              <w:top w:val="nil"/>
              <w:left w:val="nil"/>
              <w:bottom w:val="nil"/>
              <w:right w:val="nil"/>
            </w:tcBorders>
          </w:tcPr>
          <w:p w14:paraId="1D4E2D29"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5B275137" w14:textId="77777777" w:rsidR="00783674" w:rsidRDefault="00783674" w:rsidP="00D57108">
            <w:pPr>
              <w:jc w:val="right"/>
              <w:rPr>
                <w:color w:val="000000"/>
              </w:rPr>
            </w:pPr>
            <w:r>
              <w:rPr>
                <w:color w:val="000000"/>
              </w:rPr>
              <w:t>2019</w:t>
            </w:r>
          </w:p>
        </w:tc>
        <w:tc>
          <w:tcPr>
            <w:tcW w:w="1558" w:type="dxa"/>
            <w:gridSpan w:val="2"/>
            <w:tcBorders>
              <w:top w:val="nil"/>
              <w:left w:val="nil"/>
              <w:bottom w:val="nil"/>
              <w:right w:val="nil"/>
            </w:tcBorders>
            <w:shd w:val="clear" w:color="auto" w:fill="F5EDC1" w:themeFill="accent4"/>
          </w:tcPr>
          <w:p w14:paraId="0E638439" w14:textId="77777777" w:rsidR="00783674" w:rsidRDefault="00783674" w:rsidP="00D57108">
            <w:pPr>
              <w:jc w:val="right"/>
              <w:rPr>
                <w:color w:val="000000"/>
              </w:rPr>
            </w:pPr>
            <w:r>
              <w:rPr>
                <w:color w:val="000000"/>
              </w:rPr>
              <w:t>2.60%</w:t>
            </w:r>
          </w:p>
        </w:tc>
        <w:tc>
          <w:tcPr>
            <w:tcW w:w="1558" w:type="dxa"/>
            <w:tcBorders>
              <w:top w:val="nil"/>
              <w:left w:val="nil"/>
              <w:bottom w:val="nil"/>
              <w:right w:val="nil"/>
            </w:tcBorders>
            <w:shd w:val="clear" w:color="auto" w:fill="D4E2E0" w:themeFill="accent5"/>
          </w:tcPr>
          <w:p w14:paraId="1AD43F00" w14:textId="77777777" w:rsidR="00783674" w:rsidRDefault="00783674" w:rsidP="00D57108">
            <w:pPr>
              <w:jc w:val="right"/>
              <w:rPr>
                <w:color w:val="000000"/>
              </w:rPr>
            </w:pPr>
            <w:r>
              <w:rPr>
                <w:color w:val="000000"/>
              </w:rPr>
              <w:t>2018</w:t>
            </w:r>
          </w:p>
        </w:tc>
        <w:tc>
          <w:tcPr>
            <w:tcW w:w="1485" w:type="dxa"/>
            <w:tcBorders>
              <w:top w:val="nil"/>
              <w:left w:val="nil"/>
              <w:bottom w:val="nil"/>
              <w:right w:val="nil"/>
            </w:tcBorders>
            <w:shd w:val="clear" w:color="auto" w:fill="D4E2E0" w:themeFill="accent5"/>
          </w:tcPr>
          <w:p w14:paraId="5B8190A1" w14:textId="77777777" w:rsidR="00783674" w:rsidRDefault="00783674" w:rsidP="00D57108">
            <w:pPr>
              <w:jc w:val="right"/>
              <w:rPr>
                <w:color w:val="000000"/>
              </w:rPr>
            </w:pPr>
            <w:r>
              <w:rPr>
                <w:color w:val="000000"/>
              </w:rPr>
              <w:t>3.40%</w:t>
            </w:r>
          </w:p>
        </w:tc>
      </w:tr>
      <w:tr w:rsidR="00783674" w14:paraId="413A7B7D" w14:textId="77777777" w:rsidTr="00D57108">
        <w:tc>
          <w:tcPr>
            <w:tcW w:w="3082" w:type="dxa"/>
            <w:tcBorders>
              <w:top w:val="nil"/>
              <w:left w:val="nil"/>
              <w:bottom w:val="nil"/>
              <w:right w:val="nil"/>
            </w:tcBorders>
          </w:tcPr>
          <w:p w14:paraId="683D8130"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1A920C2B" w14:textId="77777777" w:rsidR="00783674" w:rsidRDefault="00783674" w:rsidP="00D57108">
            <w:pPr>
              <w:jc w:val="right"/>
              <w:rPr>
                <w:color w:val="000000"/>
              </w:rPr>
            </w:pPr>
            <w:r>
              <w:rPr>
                <w:color w:val="000000"/>
              </w:rPr>
              <w:t>2020</w:t>
            </w:r>
          </w:p>
        </w:tc>
        <w:tc>
          <w:tcPr>
            <w:tcW w:w="1558" w:type="dxa"/>
            <w:gridSpan w:val="2"/>
            <w:tcBorders>
              <w:top w:val="nil"/>
              <w:left w:val="nil"/>
              <w:bottom w:val="nil"/>
              <w:right w:val="nil"/>
            </w:tcBorders>
            <w:shd w:val="clear" w:color="auto" w:fill="F5EDC1" w:themeFill="accent4"/>
          </w:tcPr>
          <w:p w14:paraId="6FE99F84" w14:textId="77777777" w:rsidR="00783674" w:rsidRDefault="00783674" w:rsidP="00D57108">
            <w:pPr>
              <w:jc w:val="right"/>
              <w:rPr>
                <w:color w:val="000000"/>
              </w:rPr>
            </w:pPr>
            <w:r>
              <w:rPr>
                <w:color w:val="000000"/>
              </w:rPr>
              <w:t>3.10%</w:t>
            </w:r>
          </w:p>
        </w:tc>
        <w:tc>
          <w:tcPr>
            <w:tcW w:w="1558" w:type="dxa"/>
            <w:tcBorders>
              <w:top w:val="nil"/>
              <w:left w:val="nil"/>
              <w:bottom w:val="nil"/>
              <w:right w:val="nil"/>
            </w:tcBorders>
            <w:shd w:val="clear" w:color="auto" w:fill="D4E2E0" w:themeFill="accent5"/>
          </w:tcPr>
          <w:p w14:paraId="7099793F" w14:textId="77777777" w:rsidR="00783674" w:rsidRDefault="00783674" w:rsidP="00D57108">
            <w:pPr>
              <w:jc w:val="right"/>
              <w:rPr>
                <w:color w:val="000000"/>
              </w:rPr>
            </w:pPr>
            <w:r>
              <w:rPr>
                <w:color w:val="000000"/>
              </w:rPr>
              <w:t>2019</w:t>
            </w:r>
          </w:p>
        </w:tc>
        <w:tc>
          <w:tcPr>
            <w:tcW w:w="1485" w:type="dxa"/>
            <w:tcBorders>
              <w:top w:val="nil"/>
              <w:left w:val="nil"/>
              <w:bottom w:val="nil"/>
              <w:right w:val="nil"/>
            </w:tcBorders>
            <w:shd w:val="clear" w:color="auto" w:fill="D4E2E0" w:themeFill="accent5"/>
          </w:tcPr>
          <w:p w14:paraId="4ACD4E1D" w14:textId="77777777" w:rsidR="00783674" w:rsidRDefault="00783674" w:rsidP="00D57108">
            <w:pPr>
              <w:jc w:val="right"/>
              <w:rPr>
                <w:color w:val="000000"/>
              </w:rPr>
            </w:pPr>
            <w:r>
              <w:rPr>
                <w:color w:val="000000"/>
              </w:rPr>
              <w:t>3.70%</w:t>
            </w:r>
          </w:p>
        </w:tc>
      </w:tr>
      <w:tr w:rsidR="00783674" w14:paraId="44938F42" w14:textId="77777777" w:rsidTr="00D57108">
        <w:tc>
          <w:tcPr>
            <w:tcW w:w="3082" w:type="dxa"/>
            <w:tcBorders>
              <w:top w:val="nil"/>
              <w:left w:val="nil"/>
              <w:bottom w:val="nil"/>
              <w:right w:val="nil"/>
            </w:tcBorders>
          </w:tcPr>
          <w:p w14:paraId="7BA032CA"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4BC95B0E" w14:textId="77777777" w:rsidR="00783674" w:rsidRDefault="00783674" w:rsidP="00D57108">
            <w:pPr>
              <w:jc w:val="right"/>
              <w:rPr>
                <w:color w:val="000000"/>
              </w:rPr>
            </w:pPr>
            <w:r>
              <w:rPr>
                <w:color w:val="000000"/>
              </w:rPr>
              <w:t>2021</w:t>
            </w:r>
          </w:p>
        </w:tc>
        <w:tc>
          <w:tcPr>
            <w:tcW w:w="1558" w:type="dxa"/>
            <w:gridSpan w:val="2"/>
            <w:tcBorders>
              <w:top w:val="nil"/>
              <w:left w:val="nil"/>
              <w:bottom w:val="nil"/>
              <w:right w:val="nil"/>
            </w:tcBorders>
            <w:shd w:val="clear" w:color="auto" w:fill="F5EDC1" w:themeFill="accent4"/>
          </w:tcPr>
          <w:p w14:paraId="06B702AE" w14:textId="77777777" w:rsidR="00783674" w:rsidRDefault="00783674" w:rsidP="00D57108">
            <w:pPr>
              <w:jc w:val="right"/>
              <w:rPr>
                <w:color w:val="000000"/>
              </w:rPr>
            </w:pPr>
            <w:r>
              <w:rPr>
                <w:color w:val="000000"/>
              </w:rPr>
              <w:t>3.60%</w:t>
            </w:r>
          </w:p>
        </w:tc>
        <w:tc>
          <w:tcPr>
            <w:tcW w:w="1558" w:type="dxa"/>
            <w:tcBorders>
              <w:top w:val="nil"/>
              <w:left w:val="nil"/>
              <w:bottom w:val="nil"/>
              <w:right w:val="nil"/>
            </w:tcBorders>
            <w:shd w:val="clear" w:color="auto" w:fill="D4E2E0" w:themeFill="accent5"/>
          </w:tcPr>
          <w:p w14:paraId="35EE717A" w14:textId="77777777" w:rsidR="00783674" w:rsidRDefault="00783674" w:rsidP="00D57108">
            <w:pPr>
              <w:jc w:val="right"/>
              <w:rPr>
                <w:color w:val="000000"/>
              </w:rPr>
            </w:pPr>
            <w:r>
              <w:rPr>
                <w:color w:val="000000"/>
              </w:rPr>
              <w:t>2020</w:t>
            </w:r>
          </w:p>
        </w:tc>
        <w:tc>
          <w:tcPr>
            <w:tcW w:w="1485" w:type="dxa"/>
            <w:tcBorders>
              <w:top w:val="nil"/>
              <w:left w:val="nil"/>
              <w:bottom w:val="nil"/>
              <w:right w:val="nil"/>
            </w:tcBorders>
            <w:shd w:val="clear" w:color="auto" w:fill="D4E2E0" w:themeFill="accent5"/>
          </w:tcPr>
          <w:p w14:paraId="17842BDE" w14:textId="77777777" w:rsidR="00783674" w:rsidRDefault="00783674" w:rsidP="00D57108">
            <w:pPr>
              <w:jc w:val="right"/>
              <w:rPr>
                <w:color w:val="000000"/>
              </w:rPr>
            </w:pPr>
            <w:r>
              <w:rPr>
                <w:color w:val="000000"/>
              </w:rPr>
              <w:t>4.00%</w:t>
            </w:r>
          </w:p>
        </w:tc>
      </w:tr>
      <w:tr w:rsidR="00783674" w14:paraId="5123FA27" w14:textId="77777777" w:rsidTr="00D57108">
        <w:tc>
          <w:tcPr>
            <w:tcW w:w="3082" w:type="dxa"/>
            <w:tcBorders>
              <w:top w:val="nil"/>
              <w:left w:val="nil"/>
              <w:bottom w:val="nil"/>
              <w:right w:val="nil"/>
            </w:tcBorders>
          </w:tcPr>
          <w:p w14:paraId="6BEBA5E0"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4A47667B" w14:textId="77777777" w:rsidR="00783674" w:rsidRDefault="00783674" w:rsidP="00D57108">
            <w:pPr>
              <w:jc w:val="right"/>
              <w:rPr>
                <w:color w:val="000000"/>
              </w:rPr>
            </w:pPr>
            <w:r>
              <w:rPr>
                <w:color w:val="000000"/>
              </w:rPr>
              <w:t>2022</w:t>
            </w:r>
          </w:p>
        </w:tc>
        <w:tc>
          <w:tcPr>
            <w:tcW w:w="1558" w:type="dxa"/>
            <w:gridSpan w:val="2"/>
            <w:tcBorders>
              <w:top w:val="nil"/>
              <w:left w:val="nil"/>
              <w:bottom w:val="nil"/>
              <w:right w:val="nil"/>
            </w:tcBorders>
            <w:shd w:val="clear" w:color="auto" w:fill="F5EDC1" w:themeFill="accent4"/>
          </w:tcPr>
          <w:p w14:paraId="303349F0" w14:textId="77777777" w:rsidR="00783674" w:rsidRDefault="00783674" w:rsidP="00D57108">
            <w:pPr>
              <w:jc w:val="right"/>
              <w:rPr>
                <w:color w:val="000000"/>
              </w:rPr>
            </w:pPr>
            <w:r>
              <w:rPr>
                <w:color w:val="000000"/>
              </w:rPr>
              <w:t>3.80%</w:t>
            </w:r>
          </w:p>
        </w:tc>
        <w:tc>
          <w:tcPr>
            <w:tcW w:w="1558" w:type="dxa"/>
            <w:tcBorders>
              <w:top w:val="nil"/>
              <w:left w:val="nil"/>
              <w:bottom w:val="nil"/>
              <w:right w:val="nil"/>
            </w:tcBorders>
            <w:shd w:val="clear" w:color="auto" w:fill="D4E2E0" w:themeFill="accent5"/>
          </w:tcPr>
          <w:p w14:paraId="3AA83A14" w14:textId="77777777" w:rsidR="00783674" w:rsidRDefault="00783674" w:rsidP="00D57108">
            <w:pPr>
              <w:jc w:val="right"/>
              <w:rPr>
                <w:color w:val="000000"/>
              </w:rPr>
            </w:pPr>
            <w:r>
              <w:rPr>
                <w:color w:val="000000"/>
              </w:rPr>
              <w:t>2021</w:t>
            </w:r>
          </w:p>
        </w:tc>
        <w:tc>
          <w:tcPr>
            <w:tcW w:w="1485" w:type="dxa"/>
            <w:tcBorders>
              <w:top w:val="nil"/>
              <w:left w:val="nil"/>
              <w:bottom w:val="nil"/>
              <w:right w:val="nil"/>
            </w:tcBorders>
            <w:shd w:val="clear" w:color="auto" w:fill="D4E2E0" w:themeFill="accent5"/>
          </w:tcPr>
          <w:p w14:paraId="62C8EC74" w14:textId="77777777" w:rsidR="00783674" w:rsidRDefault="00783674" w:rsidP="00D57108">
            <w:pPr>
              <w:jc w:val="right"/>
              <w:rPr>
                <w:color w:val="000000"/>
              </w:rPr>
            </w:pPr>
            <w:r>
              <w:rPr>
                <w:color w:val="000000"/>
              </w:rPr>
              <w:t>4.20%</w:t>
            </w:r>
          </w:p>
        </w:tc>
      </w:tr>
      <w:tr w:rsidR="00783674" w14:paraId="20051090" w14:textId="77777777" w:rsidTr="00D57108">
        <w:tc>
          <w:tcPr>
            <w:tcW w:w="3082" w:type="dxa"/>
            <w:tcBorders>
              <w:top w:val="nil"/>
              <w:left w:val="nil"/>
              <w:bottom w:val="nil"/>
              <w:right w:val="nil"/>
            </w:tcBorders>
          </w:tcPr>
          <w:p w14:paraId="6C40861A"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02658EC8" w14:textId="77777777" w:rsidR="00783674" w:rsidRDefault="00783674" w:rsidP="00D57108">
            <w:pPr>
              <w:jc w:val="right"/>
              <w:rPr>
                <w:color w:val="000000"/>
              </w:rPr>
            </w:pPr>
            <w:r>
              <w:rPr>
                <w:color w:val="000000"/>
              </w:rPr>
              <w:t>2023</w:t>
            </w:r>
          </w:p>
        </w:tc>
        <w:tc>
          <w:tcPr>
            <w:tcW w:w="1558" w:type="dxa"/>
            <w:gridSpan w:val="2"/>
            <w:tcBorders>
              <w:top w:val="nil"/>
              <w:left w:val="nil"/>
              <w:bottom w:val="nil"/>
              <w:right w:val="nil"/>
            </w:tcBorders>
            <w:shd w:val="clear" w:color="auto" w:fill="F5EDC1" w:themeFill="accent4"/>
          </w:tcPr>
          <w:p w14:paraId="0D234163" w14:textId="77777777" w:rsidR="00783674" w:rsidRDefault="00783674" w:rsidP="00D57108">
            <w:pPr>
              <w:jc w:val="right"/>
              <w:rPr>
                <w:color w:val="000000"/>
              </w:rPr>
            </w:pPr>
            <w:r>
              <w:rPr>
                <w:color w:val="000000"/>
              </w:rPr>
              <w:t>3.90%</w:t>
            </w:r>
          </w:p>
        </w:tc>
        <w:tc>
          <w:tcPr>
            <w:tcW w:w="1558" w:type="dxa"/>
            <w:tcBorders>
              <w:top w:val="nil"/>
              <w:left w:val="nil"/>
              <w:bottom w:val="nil"/>
              <w:right w:val="nil"/>
            </w:tcBorders>
            <w:shd w:val="clear" w:color="auto" w:fill="D4E2E0" w:themeFill="accent5"/>
          </w:tcPr>
          <w:p w14:paraId="1C902552" w14:textId="77777777" w:rsidR="00783674" w:rsidRDefault="00783674" w:rsidP="00D57108">
            <w:pPr>
              <w:jc w:val="right"/>
              <w:rPr>
                <w:color w:val="000000"/>
              </w:rPr>
            </w:pPr>
            <w:r>
              <w:rPr>
                <w:color w:val="000000"/>
              </w:rPr>
              <w:t>2022</w:t>
            </w:r>
          </w:p>
        </w:tc>
        <w:tc>
          <w:tcPr>
            <w:tcW w:w="1485" w:type="dxa"/>
            <w:tcBorders>
              <w:top w:val="nil"/>
              <w:left w:val="nil"/>
              <w:bottom w:val="nil"/>
              <w:right w:val="nil"/>
            </w:tcBorders>
            <w:shd w:val="clear" w:color="auto" w:fill="D4E2E0" w:themeFill="accent5"/>
          </w:tcPr>
          <w:p w14:paraId="60F487A8" w14:textId="77777777" w:rsidR="00783674" w:rsidRDefault="00783674" w:rsidP="00D57108">
            <w:pPr>
              <w:jc w:val="right"/>
              <w:rPr>
                <w:color w:val="000000"/>
              </w:rPr>
            </w:pPr>
            <w:r>
              <w:rPr>
                <w:color w:val="000000"/>
              </w:rPr>
              <w:t>4.30%</w:t>
            </w:r>
          </w:p>
        </w:tc>
      </w:tr>
      <w:tr w:rsidR="00783674" w14:paraId="21F9F5C6" w14:textId="77777777" w:rsidTr="00D57108">
        <w:tc>
          <w:tcPr>
            <w:tcW w:w="3082" w:type="dxa"/>
            <w:tcBorders>
              <w:top w:val="nil"/>
              <w:left w:val="nil"/>
              <w:bottom w:val="nil"/>
              <w:right w:val="nil"/>
            </w:tcBorders>
          </w:tcPr>
          <w:p w14:paraId="7D591BFB"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5E936AD0" w14:textId="77777777" w:rsidR="00783674" w:rsidRDefault="00783674" w:rsidP="00D57108">
            <w:pPr>
              <w:jc w:val="right"/>
              <w:rPr>
                <w:color w:val="000000"/>
              </w:rPr>
            </w:pPr>
            <w:r>
              <w:rPr>
                <w:color w:val="000000"/>
              </w:rPr>
              <w:t>2024</w:t>
            </w:r>
          </w:p>
        </w:tc>
        <w:tc>
          <w:tcPr>
            <w:tcW w:w="1558" w:type="dxa"/>
            <w:gridSpan w:val="2"/>
            <w:tcBorders>
              <w:top w:val="nil"/>
              <w:left w:val="nil"/>
              <w:bottom w:val="nil"/>
              <w:right w:val="nil"/>
            </w:tcBorders>
            <w:shd w:val="clear" w:color="auto" w:fill="F5EDC1" w:themeFill="accent4"/>
          </w:tcPr>
          <w:p w14:paraId="5875865A" w14:textId="77777777" w:rsidR="00783674" w:rsidRDefault="00783674" w:rsidP="00D57108">
            <w:pPr>
              <w:jc w:val="right"/>
              <w:rPr>
                <w:color w:val="000000"/>
              </w:rPr>
            </w:pPr>
            <w:r>
              <w:rPr>
                <w:color w:val="000000"/>
              </w:rPr>
              <w:t>4.00%</w:t>
            </w:r>
          </w:p>
        </w:tc>
        <w:tc>
          <w:tcPr>
            <w:tcW w:w="1558" w:type="dxa"/>
            <w:tcBorders>
              <w:top w:val="nil"/>
              <w:left w:val="nil"/>
              <w:bottom w:val="nil"/>
              <w:right w:val="nil"/>
            </w:tcBorders>
            <w:shd w:val="clear" w:color="auto" w:fill="D4E2E0" w:themeFill="accent5"/>
          </w:tcPr>
          <w:p w14:paraId="2FB00DE7" w14:textId="77777777" w:rsidR="00783674" w:rsidRDefault="00783674" w:rsidP="00D57108">
            <w:pPr>
              <w:jc w:val="right"/>
              <w:rPr>
                <w:color w:val="000000"/>
              </w:rPr>
            </w:pPr>
            <w:r>
              <w:rPr>
                <w:color w:val="000000"/>
              </w:rPr>
              <w:t>2023</w:t>
            </w:r>
          </w:p>
        </w:tc>
        <w:tc>
          <w:tcPr>
            <w:tcW w:w="1485" w:type="dxa"/>
            <w:tcBorders>
              <w:top w:val="nil"/>
              <w:left w:val="nil"/>
              <w:bottom w:val="nil"/>
              <w:right w:val="nil"/>
            </w:tcBorders>
            <w:shd w:val="clear" w:color="auto" w:fill="D4E2E0" w:themeFill="accent5"/>
          </w:tcPr>
          <w:p w14:paraId="10121D47" w14:textId="77777777" w:rsidR="00783674" w:rsidRDefault="00783674" w:rsidP="00D57108">
            <w:pPr>
              <w:jc w:val="right"/>
              <w:rPr>
                <w:color w:val="000000"/>
              </w:rPr>
            </w:pPr>
            <w:r>
              <w:rPr>
                <w:color w:val="000000"/>
              </w:rPr>
              <w:t>4.40%</w:t>
            </w:r>
          </w:p>
        </w:tc>
      </w:tr>
      <w:tr w:rsidR="00783674" w14:paraId="7F8E6B62" w14:textId="77777777" w:rsidTr="00D57108">
        <w:tc>
          <w:tcPr>
            <w:tcW w:w="3082" w:type="dxa"/>
            <w:tcBorders>
              <w:top w:val="nil"/>
              <w:left w:val="nil"/>
              <w:bottom w:val="nil"/>
              <w:right w:val="nil"/>
            </w:tcBorders>
          </w:tcPr>
          <w:p w14:paraId="0D5683A0"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4B044AAB" w14:textId="77777777" w:rsidR="00783674" w:rsidRDefault="00783674" w:rsidP="00D57108">
            <w:pPr>
              <w:jc w:val="right"/>
              <w:rPr>
                <w:color w:val="000000"/>
              </w:rPr>
            </w:pPr>
            <w:r>
              <w:rPr>
                <w:color w:val="000000"/>
              </w:rPr>
              <w:t>2025</w:t>
            </w:r>
          </w:p>
        </w:tc>
        <w:tc>
          <w:tcPr>
            <w:tcW w:w="1558" w:type="dxa"/>
            <w:gridSpan w:val="2"/>
            <w:tcBorders>
              <w:top w:val="nil"/>
              <w:left w:val="nil"/>
              <w:bottom w:val="nil"/>
              <w:right w:val="nil"/>
            </w:tcBorders>
            <w:shd w:val="clear" w:color="auto" w:fill="F5EDC1" w:themeFill="accent4"/>
          </w:tcPr>
          <w:p w14:paraId="7EB16F23" w14:textId="77777777" w:rsidR="00783674" w:rsidRDefault="00783674" w:rsidP="00D57108">
            <w:pPr>
              <w:jc w:val="right"/>
              <w:rPr>
                <w:color w:val="000000"/>
              </w:rPr>
            </w:pPr>
            <w:r>
              <w:rPr>
                <w:color w:val="000000"/>
              </w:rPr>
              <w:t>4.10%</w:t>
            </w:r>
          </w:p>
        </w:tc>
        <w:tc>
          <w:tcPr>
            <w:tcW w:w="1558" w:type="dxa"/>
            <w:tcBorders>
              <w:top w:val="nil"/>
              <w:left w:val="nil"/>
              <w:bottom w:val="nil"/>
              <w:right w:val="nil"/>
            </w:tcBorders>
            <w:shd w:val="clear" w:color="auto" w:fill="D4E2E0" w:themeFill="accent5"/>
          </w:tcPr>
          <w:p w14:paraId="78019CEE" w14:textId="77777777" w:rsidR="00783674" w:rsidRDefault="00783674" w:rsidP="00D57108">
            <w:pPr>
              <w:jc w:val="right"/>
              <w:rPr>
                <w:color w:val="000000"/>
              </w:rPr>
            </w:pPr>
            <w:r>
              <w:rPr>
                <w:color w:val="000000"/>
              </w:rPr>
              <w:t>2024</w:t>
            </w:r>
          </w:p>
        </w:tc>
        <w:tc>
          <w:tcPr>
            <w:tcW w:w="1485" w:type="dxa"/>
            <w:tcBorders>
              <w:top w:val="nil"/>
              <w:left w:val="nil"/>
              <w:bottom w:val="nil"/>
              <w:right w:val="nil"/>
            </w:tcBorders>
            <w:shd w:val="clear" w:color="auto" w:fill="D4E2E0" w:themeFill="accent5"/>
          </w:tcPr>
          <w:p w14:paraId="70EE4308" w14:textId="77777777" w:rsidR="00783674" w:rsidRDefault="00783674" w:rsidP="00D57108">
            <w:pPr>
              <w:jc w:val="right"/>
              <w:rPr>
                <w:color w:val="000000"/>
              </w:rPr>
            </w:pPr>
            <w:r>
              <w:rPr>
                <w:color w:val="000000"/>
              </w:rPr>
              <w:t>4.50%</w:t>
            </w:r>
          </w:p>
        </w:tc>
      </w:tr>
      <w:tr w:rsidR="00783674" w14:paraId="314F7FCD" w14:textId="77777777" w:rsidTr="00D57108">
        <w:tc>
          <w:tcPr>
            <w:tcW w:w="3082" w:type="dxa"/>
            <w:tcBorders>
              <w:top w:val="nil"/>
              <w:left w:val="nil"/>
              <w:bottom w:val="nil"/>
              <w:right w:val="nil"/>
            </w:tcBorders>
          </w:tcPr>
          <w:p w14:paraId="15BA9AF2"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32D6F1A2" w14:textId="77777777" w:rsidR="00783674" w:rsidRDefault="00783674" w:rsidP="00D57108">
            <w:pPr>
              <w:jc w:val="right"/>
              <w:rPr>
                <w:color w:val="000000"/>
              </w:rPr>
            </w:pPr>
            <w:r>
              <w:rPr>
                <w:color w:val="000000"/>
              </w:rPr>
              <w:t>2026</w:t>
            </w:r>
          </w:p>
        </w:tc>
        <w:tc>
          <w:tcPr>
            <w:tcW w:w="1558" w:type="dxa"/>
            <w:gridSpan w:val="2"/>
            <w:tcBorders>
              <w:top w:val="nil"/>
              <w:left w:val="nil"/>
              <w:bottom w:val="nil"/>
              <w:right w:val="nil"/>
            </w:tcBorders>
            <w:shd w:val="clear" w:color="auto" w:fill="F5EDC1" w:themeFill="accent4"/>
          </w:tcPr>
          <w:p w14:paraId="7B00A4C5" w14:textId="77777777" w:rsidR="00783674" w:rsidRDefault="00783674" w:rsidP="00D57108">
            <w:pPr>
              <w:jc w:val="right"/>
              <w:rPr>
                <w:color w:val="000000"/>
              </w:rPr>
            </w:pPr>
            <w:r>
              <w:rPr>
                <w:color w:val="000000"/>
              </w:rPr>
              <w:t>4.20%</w:t>
            </w:r>
          </w:p>
        </w:tc>
        <w:tc>
          <w:tcPr>
            <w:tcW w:w="1558" w:type="dxa"/>
            <w:tcBorders>
              <w:top w:val="nil"/>
              <w:left w:val="nil"/>
              <w:bottom w:val="nil"/>
              <w:right w:val="nil"/>
            </w:tcBorders>
            <w:shd w:val="clear" w:color="auto" w:fill="D4E2E0" w:themeFill="accent5"/>
          </w:tcPr>
          <w:p w14:paraId="62BE205C" w14:textId="77777777" w:rsidR="00783674" w:rsidRDefault="00783674" w:rsidP="00D57108">
            <w:pPr>
              <w:jc w:val="right"/>
              <w:rPr>
                <w:color w:val="000000"/>
              </w:rPr>
            </w:pPr>
            <w:r>
              <w:rPr>
                <w:color w:val="000000"/>
              </w:rPr>
              <w:t>2025</w:t>
            </w:r>
          </w:p>
        </w:tc>
        <w:tc>
          <w:tcPr>
            <w:tcW w:w="1485" w:type="dxa"/>
            <w:tcBorders>
              <w:top w:val="nil"/>
              <w:left w:val="nil"/>
              <w:bottom w:val="nil"/>
              <w:right w:val="nil"/>
            </w:tcBorders>
            <w:shd w:val="clear" w:color="auto" w:fill="D4E2E0" w:themeFill="accent5"/>
          </w:tcPr>
          <w:p w14:paraId="32EC60EF" w14:textId="77777777" w:rsidR="00783674" w:rsidRDefault="00783674" w:rsidP="00D57108">
            <w:pPr>
              <w:jc w:val="right"/>
              <w:rPr>
                <w:color w:val="000000"/>
              </w:rPr>
            </w:pPr>
            <w:r>
              <w:rPr>
                <w:color w:val="000000"/>
              </w:rPr>
              <w:t>4.60%</w:t>
            </w:r>
          </w:p>
        </w:tc>
      </w:tr>
      <w:tr w:rsidR="00783674" w14:paraId="68D2DC73" w14:textId="77777777" w:rsidTr="00D57108">
        <w:tc>
          <w:tcPr>
            <w:tcW w:w="3082" w:type="dxa"/>
            <w:tcBorders>
              <w:top w:val="nil"/>
              <w:left w:val="nil"/>
              <w:bottom w:val="nil"/>
              <w:right w:val="nil"/>
            </w:tcBorders>
          </w:tcPr>
          <w:p w14:paraId="51E6A02E"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179BF435" w14:textId="77777777" w:rsidR="00783674" w:rsidRDefault="00783674" w:rsidP="00D57108">
            <w:pPr>
              <w:jc w:val="right"/>
              <w:rPr>
                <w:color w:val="000000"/>
              </w:rPr>
            </w:pPr>
            <w:r>
              <w:rPr>
                <w:color w:val="000000"/>
              </w:rPr>
              <w:t>2027</w:t>
            </w:r>
          </w:p>
        </w:tc>
        <w:tc>
          <w:tcPr>
            <w:tcW w:w="1558" w:type="dxa"/>
            <w:gridSpan w:val="2"/>
            <w:tcBorders>
              <w:top w:val="nil"/>
              <w:left w:val="nil"/>
              <w:bottom w:val="nil"/>
              <w:right w:val="nil"/>
            </w:tcBorders>
            <w:shd w:val="clear" w:color="auto" w:fill="F5EDC1" w:themeFill="accent4"/>
          </w:tcPr>
          <w:p w14:paraId="54F45385" w14:textId="77777777" w:rsidR="00783674" w:rsidRDefault="00783674" w:rsidP="00D57108">
            <w:pPr>
              <w:jc w:val="right"/>
              <w:rPr>
                <w:color w:val="000000"/>
              </w:rPr>
            </w:pPr>
            <w:r>
              <w:rPr>
                <w:color w:val="000000"/>
              </w:rPr>
              <w:t>4.30%</w:t>
            </w:r>
          </w:p>
        </w:tc>
        <w:tc>
          <w:tcPr>
            <w:tcW w:w="1558" w:type="dxa"/>
            <w:tcBorders>
              <w:top w:val="nil"/>
              <w:left w:val="nil"/>
              <w:bottom w:val="nil"/>
              <w:right w:val="nil"/>
            </w:tcBorders>
            <w:shd w:val="clear" w:color="auto" w:fill="D4E2E0" w:themeFill="accent5"/>
          </w:tcPr>
          <w:p w14:paraId="3C34ECFC" w14:textId="77777777" w:rsidR="00783674" w:rsidRDefault="00783674" w:rsidP="00D57108">
            <w:pPr>
              <w:jc w:val="right"/>
              <w:rPr>
                <w:color w:val="000000"/>
              </w:rPr>
            </w:pPr>
            <w:r>
              <w:rPr>
                <w:color w:val="000000"/>
              </w:rPr>
              <w:t>2026</w:t>
            </w:r>
          </w:p>
        </w:tc>
        <w:tc>
          <w:tcPr>
            <w:tcW w:w="1485" w:type="dxa"/>
            <w:tcBorders>
              <w:top w:val="nil"/>
              <w:left w:val="nil"/>
              <w:bottom w:val="nil"/>
              <w:right w:val="nil"/>
            </w:tcBorders>
            <w:shd w:val="clear" w:color="auto" w:fill="D4E2E0" w:themeFill="accent5"/>
          </w:tcPr>
          <w:p w14:paraId="557446F4" w14:textId="77777777" w:rsidR="00783674" w:rsidRDefault="00783674" w:rsidP="00D57108">
            <w:pPr>
              <w:jc w:val="right"/>
              <w:rPr>
                <w:color w:val="000000"/>
              </w:rPr>
            </w:pPr>
            <w:r>
              <w:rPr>
                <w:color w:val="000000"/>
              </w:rPr>
              <w:t>4.70%</w:t>
            </w:r>
          </w:p>
        </w:tc>
      </w:tr>
      <w:tr w:rsidR="00783674" w14:paraId="2F80E472" w14:textId="77777777" w:rsidTr="00D57108">
        <w:tc>
          <w:tcPr>
            <w:tcW w:w="3082" w:type="dxa"/>
            <w:tcBorders>
              <w:top w:val="nil"/>
              <w:left w:val="nil"/>
              <w:bottom w:val="nil"/>
              <w:right w:val="nil"/>
            </w:tcBorders>
          </w:tcPr>
          <w:p w14:paraId="7C60117F"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0C8C40A8" w14:textId="77777777" w:rsidR="00783674" w:rsidRDefault="00783674" w:rsidP="00D57108">
            <w:pPr>
              <w:jc w:val="right"/>
              <w:rPr>
                <w:color w:val="000000"/>
              </w:rPr>
            </w:pPr>
            <w:r>
              <w:rPr>
                <w:color w:val="000000"/>
              </w:rPr>
              <w:t>2028</w:t>
            </w:r>
          </w:p>
        </w:tc>
        <w:tc>
          <w:tcPr>
            <w:tcW w:w="1558" w:type="dxa"/>
            <w:gridSpan w:val="2"/>
            <w:tcBorders>
              <w:top w:val="nil"/>
              <w:left w:val="nil"/>
              <w:bottom w:val="nil"/>
              <w:right w:val="nil"/>
            </w:tcBorders>
            <w:shd w:val="clear" w:color="auto" w:fill="F5EDC1" w:themeFill="accent4"/>
          </w:tcPr>
          <w:p w14:paraId="7B9928BF" w14:textId="1E8D99B0" w:rsidR="00783674" w:rsidRDefault="00783674" w:rsidP="00D57108">
            <w:pPr>
              <w:jc w:val="right"/>
              <w:rPr>
                <w:color w:val="000000"/>
              </w:rPr>
            </w:pPr>
            <w:r>
              <w:rPr>
                <w:color w:val="000000"/>
              </w:rPr>
              <w:t>4.32%</w:t>
            </w:r>
          </w:p>
        </w:tc>
        <w:tc>
          <w:tcPr>
            <w:tcW w:w="1558" w:type="dxa"/>
            <w:tcBorders>
              <w:top w:val="nil"/>
              <w:left w:val="nil"/>
              <w:bottom w:val="nil"/>
              <w:right w:val="nil"/>
            </w:tcBorders>
            <w:shd w:val="clear" w:color="auto" w:fill="D4E2E0" w:themeFill="accent5"/>
          </w:tcPr>
          <w:p w14:paraId="3DBD1EAC" w14:textId="77777777" w:rsidR="00783674" w:rsidRDefault="00783674" w:rsidP="00D57108">
            <w:pPr>
              <w:jc w:val="right"/>
              <w:rPr>
                <w:color w:val="000000"/>
              </w:rPr>
            </w:pPr>
            <w:r>
              <w:rPr>
                <w:color w:val="000000"/>
              </w:rPr>
              <w:t>2027</w:t>
            </w:r>
          </w:p>
        </w:tc>
        <w:tc>
          <w:tcPr>
            <w:tcW w:w="1485" w:type="dxa"/>
            <w:tcBorders>
              <w:top w:val="nil"/>
              <w:left w:val="nil"/>
              <w:bottom w:val="nil"/>
              <w:right w:val="nil"/>
            </w:tcBorders>
            <w:shd w:val="clear" w:color="auto" w:fill="D4E2E0" w:themeFill="accent5"/>
          </w:tcPr>
          <w:p w14:paraId="1B4E8CEB" w14:textId="77777777" w:rsidR="00783674" w:rsidRDefault="00783674" w:rsidP="00D57108">
            <w:pPr>
              <w:jc w:val="right"/>
              <w:rPr>
                <w:color w:val="000000"/>
              </w:rPr>
            </w:pPr>
            <w:r>
              <w:rPr>
                <w:color w:val="000000"/>
              </w:rPr>
              <w:t>4.80%</w:t>
            </w:r>
          </w:p>
        </w:tc>
      </w:tr>
      <w:tr w:rsidR="00783674" w14:paraId="02FEAA58" w14:textId="77777777" w:rsidTr="00D57108">
        <w:tc>
          <w:tcPr>
            <w:tcW w:w="3082" w:type="dxa"/>
            <w:tcBorders>
              <w:top w:val="nil"/>
              <w:left w:val="nil"/>
              <w:bottom w:val="nil"/>
              <w:right w:val="nil"/>
            </w:tcBorders>
          </w:tcPr>
          <w:p w14:paraId="7EC8B16B"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744B4510" w14:textId="77777777" w:rsidR="00783674" w:rsidRDefault="00783674" w:rsidP="00D57108">
            <w:pPr>
              <w:jc w:val="right"/>
              <w:rPr>
                <w:color w:val="000000"/>
              </w:rPr>
            </w:pPr>
            <w:r>
              <w:rPr>
                <w:color w:val="000000"/>
              </w:rPr>
              <w:t>2029</w:t>
            </w:r>
          </w:p>
        </w:tc>
        <w:tc>
          <w:tcPr>
            <w:tcW w:w="1558" w:type="dxa"/>
            <w:gridSpan w:val="2"/>
            <w:tcBorders>
              <w:top w:val="nil"/>
              <w:left w:val="nil"/>
              <w:bottom w:val="nil"/>
              <w:right w:val="nil"/>
            </w:tcBorders>
            <w:shd w:val="clear" w:color="auto" w:fill="F5EDC1" w:themeFill="accent4"/>
          </w:tcPr>
          <w:p w14:paraId="06A565EF" w14:textId="77777777" w:rsidR="00783674" w:rsidRDefault="00783674" w:rsidP="00D57108">
            <w:pPr>
              <w:jc w:val="right"/>
              <w:rPr>
                <w:color w:val="000000"/>
              </w:rPr>
            </w:pPr>
            <w:r>
              <w:rPr>
                <w:color w:val="000000"/>
              </w:rPr>
              <w:t>4.40%</w:t>
            </w:r>
          </w:p>
        </w:tc>
        <w:tc>
          <w:tcPr>
            <w:tcW w:w="1558" w:type="dxa"/>
            <w:tcBorders>
              <w:top w:val="nil"/>
              <w:left w:val="nil"/>
              <w:bottom w:val="nil"/>
              <w:right w:val="nil"/>
            </w:tcBorders>
            <w:shd w:val="clear" w:color="auto" w:fill="D4E2E0" w:themeFill="accent5"/>
          </w:tcPr>
          <w:p w14:paraId="124443B0" w14:textId="77777777" w:rsidR="00783674" w:rsidRDefault="00783674" w:rsidP="00D57108">
            <w:pPr>
              <w:jc w:val="right"/>
              <w:rPr>
                <w:color w:val="000000"/>
              </w:rPr>
            </w:pPr>
            <w:r>
              <w:rPr>
                <w:color w:val="000000"/>
              </w:rPr>
              <w:t>2028</w:t>
            </w:r>
          </w:p>
        </w:tc>
        <w:tc>
          <w:tcPr>
            <w:tcW w:w="1485" w:type="dxa"/>
            <w:tcBorders>
              <w:top w:val="nil"/>
              <w:left w:val="nil"/>
              <w:bottom w:val="nil"/>
              <w:right w:val="nil"/>
            </w:tcBorders>
            <w:shd w:val="clear" w:color="auto" w:fill="D4E2E0" w:themeFill="accent5"/>
          </w:tcPr>
          <w:p w14:paraId="5FE583D0" w14:textId="77777777" w:rsidR="00783674" w:rsidRDefault="00783674" w:rsidP="00D57108">
            <w:pPr>
              <w:jc w:val="right"/>
              <w:rPr>
                <w:color w:val="000000"/>
              </w:rPr>
            </w:pPr>
            <w:r>
              <w:rPr>
                <w:color w:val="000000"/>
              </w:rPr>
              <w:t>4.90%</w:t>
            </w:r>
          </w:p>
        </w:tc>
      </w:tr>
      <w:tr w:rsidR="00783674" w14:paraId="503C6263" w14:textId="77777777" w:rsidTr="00D57108">
        <w:tc>
          <w:tcPr>
            <w:tcW w:w="3082" w:type="dxa"/>
            <w:tcBorders>
              <w:top w:val="nil"/>
              <w:left w:val="nil"/>
              <w:bottom w:val="nil"/>
              <w:right w:val="nil"/>
            </w:tcBorders>
          </w:tcPr>
          <w:p w14:paraId="4B6F6EED" w14:textId="77777777" w:rsidR="00783674" w:rsidRPr="000B4E3E" w:rsidRDefault="00783674" w:rsidP="00D57108">
            <w:pPr>
              <w:rPr>
                <w:color w:val="000000"/>
              </w:rPr>
            </w:pPr>
          </w:p>
        </w:tc>
        <w:tc>
          <w:tcPr>
            <w:tcW w:w="1559" w:type="dxa"/>
            <w:tcBorders>
              <w:top w:val="nil"/>
              <w:left w:val="nil"/>
              <w:bottom w:val="nil"/>
              <w:right w:val="nil"/>
            </w:tcBorders>
            <w:shd w:val="clear" w:color="auto" w:fill="F5EDC1" w:themeFill="accent4"/>
          </w:tcPr>
          <w:p w14:paraId="0CFF6386" w14:textId="0755E02C" w:rsidR="00783674" w:rsidRDefault="00783674" w:rsidP="00D57108">
            <w:pPr>
              <w:jc w:val="right"/>
              <w:rPr>
                <w:color w:val="000000"/>
              </w:rPr>
            </w:pPr>
            <w:r>
              <w:rPr>
                <w:color w:val="000000"/>
              </w:rPr>
              <w:t>2030 onwards</w:t>
            </w:r>
          </w:p>
        </w:tc>
        <w:tc>
          <w:tcPr>
            <w:tcW w:w="1558" w:type="dxa"/>
            <w:gridSpan w:val="2"/>
            <w:tcBorders>
              <w:top w:val="nil"/>
              <w:left w:val="nil"/>
              <w:bottom w:val="nil"/>
              <w:right w:val="nil"/>
            </w:tcBorders>
            <w:shd w:val="clear" w:color="auto" w:fill="F5EDC1" w:themeFill="accent4"/>
          </w:tcPr>
          <w:p w14:paraId="3C99D4F6" w14:textId="77777777" w:rsidR="00783674" w:rsidRDefault="00783674" w:rsidP="00D57108">
            <w:pPr>
              <w:jc w:val="right"/>
              <w:rPr>
                <w:color w:val="000000"/>
              </w:rPr>
            </w:pPr>
            <w:r>
              <w:rPr>
                <w:color w:val="000000"/>
              </w:rPr>
              <w:t>4.50%</w:t>
            </w:r>
          </w:p>
        </w:tc>
        <w:tc>
          <w:tcPr>
            <w:tcW w:w="1558" w:type="dxa"/>
            <w:tcBorders>
              <w:top w:val="nil"/>
              <w:left w:val="nil"/>
              <w:bottom w:val="nil"/>
              <w:right w:val="nil"/>
            </w:tcBorders>
            <w:shd w:val="clear" w:color="auto" w:fill="D4E2E0" w:themeFill="accent5"/>
          </w:tcPr>
          <w:p w14:paraId="748BAD91" w14:textId="4FF352DC" w:rsidR="00783674" w:rsidRDefault="00783674" w:rsidP="00D57108">
            <w:pPr>
              <w:jc w:val="right"/>
              <w:rPr>
                <w:color w:val="000000"/>
              </w:rPr>
            </w:pPr>
            <w:r>
              <w:rPr>
                <w:color w:val="000000"/>
              </w:rPr>
              <w:t>2029 onwards</w:t>
            </w:r>
          </w:p>
        </w:tc>
        <w:tc>
          <w:tcPr>
            <w:tcW w:w="1485" w:type="dxa"/>
            <w:tcBorders>
              <w:top w:val="nil"/>
              <w:left w:val="nil"/>
              <w:bottom w:val="nil"/>
              <w:right w:val="nil"/>
            </w:tcBorders>
            <w:shd w:val="clear" w:color="auto" w:fill="D4E2E0" w:themeFill="accent5"/>
          </w:tcPr>
          <w:p w14:paraId="2D8E8977" w14:textId="77777777" w:rsidR="00783674" w:rsidRDefault="00783674" w:rsidP="00D57108">
            <w:pPr>
              <w:jc w:val="right"/>
              <w:rPr>
                <w:color w:val="000000"/>
              </w:rPr>
            </w:pPr>
            <w:r>
              <w:rPr>
                <w:color w:val="000000"/>
              </w:rPr>
              <w:t>5.00%</w:t>
            </w:r>
          </w:p>
        </w:tc>
      </w:tr>
      <w:tr w:rsidR="00783674" w:rsidRPr="000B4E3E" w14:paraId="135BC450" w14:textId="77777777" w:rsidTr="00D57108">
        <w:tc>
          <w:tcPr>
            <w:tcW w:w="3082" w:type="dxa"/>
            <w:tcBorders>
              <w:top w:val="nil"/>
              <w:left w:val="nil"/>
              <w:bottom w:val="nil"/>
              <w:right w:val="nil"/>
            </w:tcBorders>
          </w:tcPr>
          <w:p w14:paraId="379746BC" w14:textId="77777777" w:rsidR="00783674" w:rsidRPr="000B4E3E" w:rsidRDefault="00783674" w:rsidP="00D57108">
            <w:pPr>
              <w:rPr>
                <w:color w:val="000000"/>
              </w:rPr>
            </w:pPr>
            <w:r>
              <w:rPr>
                <w:color w:val="000000"/>
              </w:rPr>
              <w:t>Claims Management Expenses</w:t>
            </w:r>
          </w:p>
        </w:tc>
        <w:tc>
          <w:tcPr>
            <w:tcW w:w="3080" w:type="dxa"/>
            <w:gridSpan w:val="2"/>
            <w:tcBorders>
              <w:top w:val="nil"/>
              <w:left w:val="nil"/>
              <w:bottom w:val="nil"/>
              <w:right w:val="nil"/>
            </w:tcBorders>
            <w:shd w:val="clear" w:color="auto" w:fill="F5EDC1" w:themeFill="accent4"/>
          </w:tcPr>
          <w:p w14:paraId="41815ACF" w14:textId="44BE98D7" w:rsidR="00783674" w:rsidRPr="000B4E3E" w:rsidRDefault="00783674" w:rsidP="00D57108">
            <w:pPr>
              <w:jc w:val="right"/>
              <w:rPr>
                <w:color w:val="000000"/>
              </w:rPr>
            </w:pPr>
            <w:r>
              <w:rPr>
                <w:color w:val="000000"/>
              </w:rPr>
              <w:t>10.5% for claim payments except for HIH Insurance which is 0%</w:t>
            </w:r>
          </w:p>
        </w:tc>
        <w:tc>
          <w:tcPr>
            <w:tcW w:w="3080" w:type="dxa"/>
            <w:gridSpan w:val="3"/>
            <w:tcBorders>
              <w:top w:val="nil"/>
              <w:left w:val="nil"/>
              <w:bottom w:val="nil"/>
              <w:right w:val="nil"/>
            </w:tcBorders>
            <w:shd w:val="clear" w:color="auto" w:fill="D4E2E0" w:themeFill="accent5"/>
          </w:tcPr>
          <w:p w14:paraId="1A85A01A" w14:textId="5EFA3E8E" w:rsidR="00783674" w:rsidRPr="000B4E3E" w:rsidRDefault="00783674" w:rsidP="00D57108">
            <w:pPr>
              <w:jc w:val="right"/>
              <w:rPr>
                <w:color w:val="000000"/>
              </w:rPr>
            </w:pPr>
            <w:r>
              <w:rPr>
                <w:color w:val="000000"/>
              </w:rPr>
              <w:t>10.5% for claim payments except for HIH Insurance which is 0%</w:t>
            </w:r>
          </w:p>
        </w:tc>
      </w:tr>
      <w:tr w:rsidR="00783674" w:rsidRPr="000B4E3E" w14:paraId="789D1B74" w14:textId="77777777" w:rsidTr="00D57108">
        <w:tc>
          <w:tcPr>
            <w:tcW w:w="3082" w:type="dxa"/>
            <w:tcBorders>
              <w:top w:val="nil"/>
              <w:left w:val="nil"/>
              <w:bottom w:val="nil"/>
              <w:right w:val="nil"/>
            </w:tcBorders>
          </w:tcPr>
          <w:p w14:paraId="4286F3C0" w14:textId="77777777" w:rsidR="00783674" w:rsidRPr="000B4E3E" w:rsidRDefault="00783674" w:rsidP="00D57108">
            <w:pPr>
              <w:rPr>
                <w:color w:val="000000"/>
              </w:rPr>
            </w:pPr>
            <w:r>
              <w:rPr>
                <w:color w:val="000000"/>
              </w:rPr>
              <w:t>Superimposed Inflation</w:t>
            </w:r>
          </w:p>
        </w:tc>
        <w:tc>
          <w:tcPr>
            <w:tcW w:w="3080" w:type="dxa"/>
            <w:gridSpan w:val="2"/>
            <w:tcBorders>
              <w:top w:val="nil"/>
              <w:left w:val="nil"/>
              <w:bottom w:val="nil"/>
              <w:right w:val="nil"/>
            </w:tcBorders>
            <w:shd w:val="clear" w:color="auto" w:fill="F5EDC1" w:themeFill="accent4"/>
          </w:tcPr>
          <w:p w14:paraId="4E41D98D" w14:textId="1CAF6681" w:rsidR="00783674" w:rsidRPr="000B4E3E" w:rsidRDefault="00783674" w:rsidP="00783674">
            <w:pPr>
              <w:jc w:val="right"/>
              <w:rPr>
                <w:color w:val="000000"/>
              </w:rPr>
            </w:pPr>
            <w:r>
              <w:rPr>
                <w:color w:val="000000"/>
              </w:rPr>
              <w:t>2.00%</w:t>
            </w:r>
          </w:p>
        </w:tc>
        <w:tc>
          <w:tcPr>
            <w:tcW w:w="3080" w:type="dxa"/>
            <w:gridSpan w:val="3"/>
            <w:tcBorders>
              <w:top w:val="nil"/>
              <w:left w:val="nil"/>
              <w:bottom w:val="nil"/>
              <w:right w:val="nil"/>
            </w:tcBorders>
            <w:shd w:val="clear" w:color="auto" w:fill="D4E2E0" w:themeFill="accent5"/>
          </w:tcPr>
          <w:p w14:paraId="4F43D708" w14:textId="7CC0C966" w:rsidR="00783674" w:rsidRPr="000B4E3E" w:rsidRDefault="00783674" w:rsidP="00783674">
            <w:pPr>
              <w:jc w:val="right"/>
              <w:rPr>
                <w:color w:val="000000"/>
              </w:rPr>
            </w:pPr>
            <w:r>
              <w:rPr>
                <w:color w:val="000000"/>
              </w:rPr>
              <w:t>2.00%</w:t>
            </w:r>
          </w:p>
        </w:tc>
      </w:tr>
      <w:tr w:rsidR="00783674" w14:paraId="53F5A21D" w14:textId="77777777" w:rsidTr="00D57108">
        <w:tc>
          <w:tcPr>
            <w:tcW w:w="3082" w:type="dxa"/>
            <w:tcBorders>
              <w:top w:val="nil"/>
              <w:left w:val="nil"/>
              <w:bottom w:val="nil"/>
              <w:right w:val="nil"/>
            </w:tcBorders>
          </w:tcPr>
          <w:p w14:paraId="3E333145" w14:textId="77777777" w:rsidR="00783674" w:rsidRDefault="00783674" w:rsidP="00D57108">
            <w:pPr>
              <w:rPr>
                <w:color w:val="000000"/>
              </w:rPr>
            </w:pPr>
            <w:r>
              <w:rPr>
                <w:color w:val="000000"/>
              </w:rPr>
              <w:t>Risk Margin</w:t>
            </w:r>
          </w:p>
        </w:tc>
        <w:tc>
          <w:tcPr>
            <w:tcW w:w="3080" w:type="dxa"/>
            <w:gridSpan w:val="2"/>
            <w:tcBorders>
              <w:top w:val="nil"/>
              <w:left w:val="nil"/>
              <w:bottom w:val="nil"/>
              <w:right w:val="nil"/>
            </w:tcBorders>
            <w:shd w:val="clear" w:color="auto" w:fill="F5EDC1" w:themeFill="accent4"/>
          </w:tcPr>
          <w:p w14:paraId="4CF5EEC5" w14:textId="64A0B793" w:rsidR="00783674" w:rsidRDefault="00783674" w:rsidP="00D57108">
            <w:pPr>
              <w:jc w:val="right"/>
              <w:rPr>
                <w:color w:val="000000"/>
              </w:rPr>
            </w:pPr>
            <w:r>
              <w:rPr>
                <w:color w:val="000000"/>
              </w:rPr>
              <w:t>20.4% risk margin at the 75% sufficiency level</w:t>
            </w:r>
          </w:p>
        </w:tc>
        <w:tc>
          <w:tcPr>
            <w:tcW w:w="3080" w:type="dxa"/>
            <w:gridSpan w:val="3"/>
            <w:tcBorders>
              <w:top w:val="nil"/>
              <w:left w:val="nil"/>
              <w:bottom w:val="nil"/>
              <w:right w:val="nil"/>
            </w:tcBorders>
            <w:shd w:val="clear" w:color="auto" w:fill="D4E2E0" w:themeFill="accent5"/>
          </w:tcPr>
          <w:p w14:paraId="11D5D914" w14:textId="04AF7C2A" w:rsidR="00783674" w:rsidRDefault="00783674" w:rsidP="00D57108">
            <w:pPr>
              <w:jc w:val="right"/>
              <w:rPr>
                <w:color w:val="000000"/>
              </w:rPr>
            </w:pPr>
            <w:r>
              <w:rPr>
                <w:color w:val="000000"/>
              </w:rPr>
              <w:t>20.4% risk margin at the 75% sufficiency level</w:t>
            </w:r>
          </w:p>
        </w:tc>
      </w:tr>
    </w:tbl>
    <w:p w14:paraId="04EF799D" w14:textId="72E0DAA2" w:rsidR="00783674" w:rsidRDefault="00783674" w:rsidP="00783674">
      <w:pPr>
        <w:rPr>
          <w:b/>
        </w:rPr>
      </w:pPr>
    </w:p>
    <w:p w14:paraId="1F1B6140" w14:textId="77777777" w:rsidR="00C040A2" w:rsidRPr="00C040A2" w:rsidRDefault="00C040A2" w:rsidP="00C040A2">
      <w:r w:rsidRPr="00C040A2">
        <w:t>The following increases in the average claim size for the removal of age limits as detailed:</w:t>
      </w:r>
    </w:p>
    <w:p w14:paraId="786E8CAB" w14:textId="2C25741A" w:rsidR="00C040A2" w:rsidRPr="00C040A2" w:rsidRDefault="00C040A2" w:rsidP="00C040A2">
      <w:pPr>
        <w:pStyle w:val="BulletListLevel1"/>
      </w:pPr>
      <w:r w:rsidRPr="00C040A2">
        <w:t>8% increase for claimants aged under 65 year olds; and</w:t>
      </w:r>
    </w:p>
    <w:p w14:paraId="441773B5" w14:textId="6EFC9F42" w:rsidR="00C040A2" w:rsidRPr="00C040A2" w:rsidRDefault="00C040A2" w:rsidP="00C040A2">
      <w:pPr>
        <w:pStyle w:val="BulletListLevel1"/>
      </w:pPr>
      <w:r w:rsidRPr="00C040A2">
        <w:t>40% increase for claimants aged over 65.</w:t>
      </w:r>
    </w:p>
    <w:p w14:paraId="38EE53D0" w14:textId="52BEBCB2" w:rsidR="00C040A2" w:rsidRDefault="00C040A2" w:rsidP="00C040A2">
      <w:r w:rsidRPr="00C040A2">
        <w:t>This has decreased from 15% for claimants under 65 and 75% for claimants over 65 as it has been adjusted for the portion of the claims experience that is after the 2011 Amendment Act was implemented so already implicitly allows for the Act change.</w:t>
      </w:r>
    </w:p>
    <w:p w14:paraId="6C76993D" w14:textId="1CE1B984" w:rsidR="00C040A2" w:rsidRPr="00DA1E18" w:rsidRDefault="00C040A2" w:rsidP="00C040A2">
      <w:pPr>
        <w:rPr>
          <w:rStyle w:val="Strong"/>
        </w:rPr>
      </w:pPr>
      <w:r w:rsidRPr="00DA1E18">
        <w:rPr>
          <w:rStyle w:val="Strong"/>
        </w:rPr>
        <w:t>EISF Act: Non-Asbestos-Related Claims</w:t>
      </w:r>
    </w:p>
    <w:tbl>
      <w:tblPr>
        <w:tblStyle w:val="TableGrid"/>
        <w:tblW w:w="0" w:type="auto"/>
        <w:tblLook w:val="04A0" w:firstRow="1" w:lastRow="0" w:firstColumn="1" w:lastColumn="0" w:noHBand="0" w:noVBand="1"/>
      </w:tblPr>
      <w:tblGrid>
        <w:gridCol w:w="2998"/>
        <w:gridCol w:w="1532"/>
        <w:gridCol w:w="1481"/>
        <w:gridCol w:w="36"/>
        <w:gridCol w:w="1531"/>
        <w:gridCol w:w="1448"/>
      </w:tblGrid>
      <w:tr w:rsidR="00C040A2" w14:paraId="71870C77" w14:textId="77777777" w:rsidTr="00D57108">
        <w:tc>
          <w:tcPr>
            <w:tcW w:w="3082" w:type="dxa"/>
            <w:tcBorders>
              <w:top w:val="nil"/>
              <w:left w:val="nil"/>
              <w:bottom w:val="nil"/>
              <w:right w:val="nil"/>
            </w:tcBorders>
          </w:tcPr>
          <w:p w14:paraId="4EDFAF98" w14:textId="77777777" w:rsidR="00C040A2" w:rsidRDefault="00C040A2" w:rsidP="00D57108">
            <w:pPr>
              <w:rPr>
                <w:b/>
                <w:color w:val="000000"/>
              </w:rPr>
            </w:pPr>
          </w:p>
        </w:tc>
        <w:tc>
          <w:tcPr>
            <w:tcW w:w="3080" w:type="dxa"/>
            <w:gridSpan w:val="2"/>
            <w:tcBorders>
              <w:top w:val="nil"/>
              <w:left w:val="nil"/>
              <w:bottom w:val="nil"/>
              <w:right w:val="nil"/>
            </w:tcBorders>
          </w:tcPr>
          <w:p w14:paraId="7660455D" w14:textId="77777777" w:rsidR="00C040A2" w:rsidRDefault="00C040A2" w:rsidP="00D57108">
            <w:pPr>
              <w:jc w:val="center"/>
              <w:rPr>
                <w:b/>
                <w:color w:val="000000"/>
              </w:rPr>
            </w:pPr>
            <w:r>
              <w:rPr>
                <w:b/>
                <w:color w:val="000000"/>
              </w:rPr>
              <w:t>2015</w:t>
            </w:r>
          </w:p>
        </w:tc>
        <w:tc>
          <w:tcPr>
            <w:tcW w:w="3080" w:type="dxa"/>
            <w:gridSpan w:val="3"/>
            <w:tcBorders>
              <w:top w:val="nil"/>
              <w:left w:val="nil"/>
              <w:bottom w:val="nil"/>
              <w:right w:val="nil"/>
            </w:tcBorders>
          </w:tcPr>
          <w:p w14:paraId="6651F73F" w14:textId="77777777" w:rsidR="00C040A2" w:rsidRDefault="00C040A2" w:rsidP="00D57108">
            <w:pPr>
              <w:jc w:val="center"/>
              <w:rPr>
                <w:b/>
                <w:color w:val="000000"/>
              </w:rPr>
            </w:pPr>
            <w:r>
              <w:rPr>
                <w:b/>
                <w:color w:val="000000"/>
              </w:rPr>
              <w:t>2014</w:t>
            </w:r>
          </w:p>
        </w:tc>
      </w:tr>
      <w:tr w:rsidR="00C040A2" w:rsidRPr="000B4E3E" w14:paraId="7BA988C1" w14:textId="77777777" w:rsidTr="00D57108">
        <w:tc>
          <w:tcPr>
            <w:tcW w:w="3082" w:type="dxa"/>
            <w:tcBorders>
              <w:top w:val="nil"/>
              <w:left w:val="nil"/>
              <w:bottom w:val="nil"/>
              <w:right w:val="nil"/>
            </w:tcBorders>
          </w:tcPr>
          <w:p w14:paraId="64F6369A" w14:textId="77777777" w:rsidR="00C040A2" w:rsidRPr="000B4E3E" w:rsidRDefault="00C040A2" w:rsidP="00D57108">
            <w:pPr>
              <w:rPr>
                <w:color w:val="000000"/>
              </w:rPr>
            </w:pPr>
            <w:r w:rsidRPr="000B4E3E">
              <w:rPr>
                <w:color w:val="000000"/>
              </w:rPr>
              <w:t>Inflation Rate</w:t>
            </w:r>
          </w:p>
        </w:tc>
        <w:tc>
          <w:tcPr>
            <w:tcW w:w="3080" w:type="dxa"/>
            <w:gridSpan w:val="2"/>
            <w:tcBorders>
              <w:top w:val="nil"/>
              <w:left w:val="nil"/>
              <w:bottom w:val="nil"/>
              <w:right w:val="nil"/>
            </w:tcBorders>
            <w:shd w:val="clear" w:color="auto" w:fill="F5EDC1" w:themeFill="accent4"/>
          </w:tcPr>
          <w:p w14:paraId="54999812" w14:textId="77777777" w:rsidR="00C040A2" w:rsidRPr="000B4E3E" w:rsidRDefault="00C040A2" w:rsidP="00D57108">
            <w:pPr>
              <w:jc w:val="right"/>
              <w:rPr>
                <w:color w:val="000000"/>
              </w:rPr>
            </w:pPr>
            <w:r>
              <w:rPr>
                <w:color w:val="000000"/>
              </w:rPr>
              <w:t>3.75% for 2016 and later</w:t>
            </w:r>
          </w:p>
        </w:tc>
        <w:tc>
          <w:tcPr>
            <w:tcW w:w="3080" w:type="dxa"/>
            <w:gridSpan w:val="3"/>
            <w:tcBorders>
              <w:top w:val="nil"/>
              <w:left w:val="nil"/>
              <w:bottom w:val="nil"/>
              <w:right w:val="nil"/>
            </w:tcBorders>
            <w:shd w:val="clear" w:color="auto" w:fill="D4E2E0" w:themeFill="accent5"/>
          </w:tcPr>
          <w:p w14:paraId="236BDA7C" w14:textId="77777777" w:rsidR="00C040A2" w:rsidRPr="000B4E3E" w:rsidRDefault="00C040A2" w:rsidP="00D57108">
            <w:pPr>
              <w:jc w:val="right"/>
              <w:rPr>
                <w:color w:val="000000"/>
              </w:rPr>
            </w:pPr>
            <w:r>
              <w:rPr>
                <w:color w:val="000000"/>
              </w:rPr>
              <w:t>4.50% for 2015 and later</w:t>
            </w:r>
          </w:p>
        </w:tc>
      </w:tr>
      <w:tr w:rsidR="00C040A2" w:rsidRPr="000B4E3E" w14:paraId="3BF17CAE" w14:textId="77777777" w:rsidTr="00D57108">
        <w:tc>
          <w:tcPr>
            <w:tcW w:w="3082" w:type="dxa"/>
            <w:tcBorders>
              <w:top w:val="nil"/>
              <w:left w:val="nil"/>
              <w:bottom w:val="nil"/>
              <w:right w:val="nil"/>
            </w:tcBorders>
          </w:tcPr>
          <w:p w14:paraId="31F05FC8" w14:textId="77777777" w:rsidR="00C040A2" w:rsidRPr="000B4E3E" w:rsidRDefault="00C040A2" w:rsidP="00D57108">
            <w:pPr>
              <w:rPr>
                <w:color w:val="000000"/>
              </w:rPr>
            </w:pPr>
            <w:r w:rsidRPr="000B4E3E">
              <w:rPr>
                <w:color w:val="000000"/>
              </w:rPr>
              <w:t>Discount Rate</w:t>
            </w:r>
          </w:p>
        </w:tc>
        <w:tc>
          <w:tcPr>
            <w:tcW w:w="1559" w:type="dxa"/>
            <w:tcBorders>
              <w:top w:val="nil"/>
              <w:left w:val="nil"/>
              <w:bottom w:val="nil"/>
              <w:right w:val="nil"/>
            </w:tcBorders>
            <w:shd w:val="clear" w:color="auto" w:fill="F5EDC1" w:themeFill="accent4"/>
          </w:tcPr>
          <w:p w14:paraId="6D97454F" w14:textId="77777777" w:rsidR="00C040A2" w:rsidRPr="000B4E3E" w:rsidRDefault="00C040A2" w:rsidP="00D57108">
            <w:pPr>
              <w:jc w:val="right"/>
              <w:rPr>
                <w:color w:val="000000"/>
              </w:rPr>
            </w:pPr>
            <w:r w:rsidRPr="000B4E3E">
              <w:rPr>
                <w:color w:val="000000"/>
              </w:rPr>
              <w:t>2016</w:t>
            </w:r>
          </w:p>
        </w:tc>
        <w:tc>
          <w:tcPr>
            <w:tcW w:w="1558" w:type="dxa"/>
            <w:gridSpan w:val="2"/>
            <w:tcBorders>
              <w:top w:val="nil"/>
              <w:left w:val="nil"/>
              <w:bottom w:val="nil"/>
              <w:right w:val="nil"/>
            </w:tcBorders>
            <w:shd w:val="clear" w:color="auto" w:fill="F5EDC1" w:themeFill="accent4"/>
          </w:tcPr>
          <w:p w14:paraId="5F4AD6BE" w14:textId="77777777" w:rsidR="00C040A2" w:rsidRPr="000B4E3E" w:rsidRDefault="00C040A2" w:rsidP="00D57108">
            <w:pPr>
              <w:jc w:val="right"/>
              <w:rPr>
                <w:color w:val="000000"/>
              </w:rPr>
            </w:pPr>
            <w:r>
              <w:rPr>
                <w:color w:val="000000"/>
              </w:rPr>
              <w:t>2.00%</w:t>
            </w:r>
          </w:p>
        </w:tc>
        <w:tc>
          <w:tcPr>
            <w:tcW w:w="1558" w:type="dxa"/>
            <w:tcBorders>
              <w:top w:val="nil"/>
              <w:left w:val="nil"/>
              <w:bottom w:val="nil"/>
              <w:right w:val="nil"/>
            </w:tcBorders>
            <w:shd w:val="clear" w:color="auto" w:fill="D4E2E0" w:themeFill="accent5"/>
          </w:tcPr>
          <w:p w14:paraId="551D1834" w14:textId="77777777" w:rsidR="00C040A2" w:rsidRPr="000B4E3E" w:rsidRDefault="00C040A2" w:rsidP="00D57108">
            <w:pPr>
              <w:jc w:val="right"/>
              <w:rPr>
                <w:color w:val="000000"/>
              </w:rPr>
            </w:pPr>
            <w:r>
              <w:rPr>
                <w:color w:val="000000"/>
              </w:rPr>
              <w:t>2015</w:t>
            </w:r>
          </w:p>
        </w:tc>
        <w:tc>
          <w:tcPr>
            <w:tcW w:w="1485" w:type="dxa"/>
            <w:tcBorders>
              <w:top w:val="nil"/>
              <w:left w:val="nil"/>
              <w:bottom w:val="nil"/>
              <w:right w:val="nil"/>
            </w:tcBorders>
            <w:shd w:val="clear" w:color="auto" w:fill="D4E2E0" w:themeFill="accent5"/>
          </w:tcPr>
          <w:p w14:paraId="58367348" w14:textId="77777777" w:rsidR="00C040A2" w:rsidRPr="000B4E3E" w:rsidRDefault="00C040A2" w:rsidP="00D57108">
            <w:pPr>
              <w:jc w:val="right"/>
              <w:rPr>
                <w:color w:val="000000"/>
              </w:rPr>
            </w:pPr>
            <w:r>
              <w:rPr>
                <w:color w:val="000000"/>
              </w:rPr>
              <w:t>2.50%</w:t>
            </w:r>
          </w:p>
        </w:tc>
      </w:tr>
      <w:tr w:rsidR="00C040A2" w14:paraId="6EF1CF99" w14:textId="77777777" w:rsidTr="00D57108">
        <w:tc>
          <w:tcPr>
            <w:tcW w:w="3082" w:type="dxa"/>
            <w:tcBorders>
              <w:top w:val="nil"/>
              <w:left w:val="nil"/>
              <w:bottom w:val="nil"/>
              <w:right w:val="nil"/>
            </w:tcBorders>
          </w:tcPr>
          <w:p w14:paraId="3A48EBCA"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1A8A704A" w14:textId="77777777" w:rsidR="00C040A2" w:rsidRPr="000B4E3E" w:rsidRDefault="00C040A2" w:rsidP="00D57108">
            <w:pPr>
              <w:jc w:val="right"/>
              <w:rPr>
                <w:color w:val="000000"/>
              </w:rPr>
            </w:pPr>
            <w:r>
              <w:rPr>
                <w:color w:val="000000"/>
              </w:rPr>
              <w:t>2017</w:t>
            </w:r>
          </w:p>
        </w:tc>
        <w:tc>
          <w:tcPr>
            <w:tcW w:w="1558" w:type="dxa"/>
            <w:gridSpan w:val="2"/>
            <w:tcBorders>
              <w:top w:val="nil"/>
              <w:left w:val="nil"/>
              <w:bottom w:val="nil"/>
              <w:right w:val="nil"/>
            </w:tcBorders>
            <w:shd w:val="clear" w:color="auto" w:fill="F5EDC1" w:themeFill="accent4"/>
          </w:tcPr>
          <w:p w14:paraId="4C027A6F" w14:textId="77777777" w:rsidR="00C040A2" w:rsidRDefault="00C040A2" w:rsidP="00D57108">
            <w:pPr>
              <w:jc w:val="right"/>
              <w:rPr>
                <w:color w:val="000000"/>
              </w:rPr>
            </w:pPr>
            <w:r>
              <w:rPr>
                <w:color w:val="000000"/>
              </w:rPr>
              <w:t>2.00%</w:t>
            </w:r>
          </w:p>
        </w:tc>
        <w:tc>
          <w:tcPr>
            <w:tcW w:w="1558" w:type="dxa"/>
            <w:tcBorders>
              <w:top w:val="nil"/>
              <w:left w:val="nil"/>
              <w:bottom w:val="nil"/>
              <w:right w:val="nil"/>
            </w:tcBorders>
            <w:shd w:val="clear" w:color="auto" w:fill="D4E2E0" w:themeFill="accent5"/>
          </w:tcPr>
          <w:p w14:paraId="161FCCF8" w14:textId="77777777" w:rsidR="00C040A2" w:rsidRDefault="00C040A2" w:rsidP="00D57108">
            <w:pPr>
              <w:jc w:val="right"/>
              <w:rPr>
                <w:color w:val="000000"/>
              </w:rPr>
            </w:pPr>
            <w:r>
              <w:rPr>
                <w:color w:val="000000"/>
              </w:rPr>
              <w:t>2016</w:t>
            </w:r>
          </w:p>
        </w:tc>
        <w:tc>
          <w:tcPr>
            <w:tcW w:w="1485" w:type="dxa"/>
            <w:tcBorders>
              <w:top w:val="nil"/>
              <w:left w:val="nil"/>
              <w:bottom w:val="nil"/>
              <w:right w:val="nil"/>
            </w:tcBorders>
            <w:shd w:val="clear" w:color="auto" w:fill="D4E2E0" w:themeFill="accent5"/>
          </w:tcPr>
          <w:p w14:paraId="5D06F4FF" w14:textId="77777777" w:rsidR="00C040A2" w:rsidRDefault="00C040A2" w:rsidP="00D57108">
            <w:pPr>
              <w:jc w:val="right"/>
              <w:rPr>
                <w:color w:val="000000"/>
              </w:rPr>
            </w:pPr>
            <w:r>
              <w:rPr>
                <w:color w:val="000000"/>
              </w:rPr>
              <w:t>2.60%</w:t>
            </w:r>
          </w:p>
        </w:tc>
      </w:tr>
      <w:tr w:rsidR="00C040A2" w14:paraId="6ACD5FF1" w14:textId="77777777" w:rsidTr="00D57108">
        <w:tc>
          <w:tcPr>
            <w:tcW w:w="3082" w:type="dxa"/>
            <w:tcBorders>
              <w:top w:val="nil"/>
              <w:left w:val="nil"/>
              <w:bottom w:val="nil"/>
              <w:right w:val="nil"/>
            </w:tcBorders>
          </w:tcPr>
          <w:p w14:paraId="4DB60F2D"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5C710F15" w14:textId="77777777" w:rsidR="00C040A2" w:rsidRDefault="00C040A2" w:rsidP="00D57108">
            <w:pPr>
              <w:jc w:val="right"/>
              <w:rPr>
                <w:color w:val="000000"/>
              </w:rPr>
            </w:pPr>
            <w:r>
              <w:rPr>
                <w:color w:val="000000"/>
              </w:rPr>
              <w:t>2018</w:t>
            </w:r>
          </w:p>
        </w:tc>
        <w:tc>
          <w:tcPr>
            <w:tcW w:w="1558" w:type="dxa"/>
            <w:gridSpan w:val="2"/>
            <w:tcBorders>
              <w:top w:val="nil"/>
              <w:left w:val="nil"/>
              <w:bottom w:val="nil"/>
              <w:right w:val="nil"/>
            </w:tcBorders>
            <w:shd w:val="clear" w:color="auto" w:fill="F5EDC1" w:themeFill="accent4"/>
          </w:tcPr>
          <w:p w14:paraId="785C7B62" w14:textId="77777777" w:rsidR="00C040A2" w:rsidRDefault="00C040A2" w:rsidP="00D57108">
            <w:pPr>
              <w:jc w:val="right"/>
              <w:rPr>
                <w:color w:val="000000"/>
              </w:rPr>
            </w:pPr>
            <w:r>
              <w:rPr>
                <w:color w:val="000000"/>
              </w:rPr>
              <w:t>2.20%</w:t>
            </w:r>
          </w:p>
        </w:tc>
        <w:tc>
          <w:tcPr>
            <w:tcW w:w="1558" w:type="dxa"/>
            <w:tcBorders>
              <w:top w:val="nil"/>
              <w:left w:val="nil"/>
              <w:bottom w:val="nil"/>
              <w:right w:val="nil"/>
            </w:tcBorders>
            <w:shd w:val="clear" w:color="auto" w:fill="D4E2E0" w:themeFill="accent5"/>
          </w:tcPr>
          <w:p w14:paraId="0EF647E1" w14:textId="77777777" w:rsidR="00C040A2" w:rsidRDefault="00C040A2" w:rsidP="00D57108">
            <w:pPr>
              <w:jc w:val="right"/>
              <w:rPr>
                <w:color w:val="000000"/>
              </w:rPr>
            </w:pPr>
            <w:r>
              <w:rPr>
                <w:color w:val="000000"/>
              </w:rPr>
              <w:t>2017</w:t>
            </w:r>
          </w:p>
        </w:tc>
        <w:tc>
          <w:tcPr>
            <w:tcW w:w="1485" w:type="dxa"/>
            <w:tcBorders>
              <w:top w:val="nil"/>
              <w:left w:val="nil"/>
              <w:bottom w:val="nil"/>
              <w:right w:val="nil"/>
            </w:tcBorders>
            <w:shd w:val="clear" w:color="auto" w:fill="D4E2E0" w:themeFill="accent5"/>
          </w:tcPr>
          <w:p w14:paraId="19303E29" w14:textId="77777777" w:rsidR="00C040A2" w:rsidRDefault="00C040A2" w:rsidP="00D57108">
            <w:pPr>
              <w:jc w:val="right"/>
              <w:rPr>
                <w:color w:val="000000"/>
              </w:rPr>
            </w:pPr>
            <w:r>
              <w:rPr>
                <w:color w:val="000000"/>
              </w:rPr>
              <w:t>3.00%</w:t>
            </w:r>
          </w:p>
        </w:tc>
      </w:tr>
      <w:tr w:rsidR="00C040A2" w14:paraId="513E0A23" w14:textId="77777777" w:rsidTr="00D57108">
        <w:tc>
          <w:tcPr>
            <w:tcW w:w="3082" w:type="dxa"/>
            <w:tcBorders>
              <w:top w:val="nil"/>
              <w:left w:val="nil"/>
              <w:bottom w:val="nil"/>
              <w:right w:val="nil"/>
            </w:tcBorders>
          </w:tcPr>
          <w:p w14:paraId="63E69177"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1F67783F" w14:textId="77777777" w:rsidR="00C040A2" w:rsidRDefault="00C040A2" w:rsidP="00D57108">
            <w:pPr>
              <w:jc w:val="right"/>
              <w:rPr>
                <w:color w:val="000000"/>
              </w:rPr>
            </w:pPr>
            <w:r>
              <w:rPr>
                <w:color w:val="000000"/>
              </w:rPr>
              <w:t>2019</w:t>
            </w:r>
          </w:p>
        </w:tc>
        <w:tc>
          <w:tcPr>
            <w:tcW w:w="1558" w:type="dxa"/>
            <w:gridSpan w:val="2"/>
            <w:tcBorders>
              <w:top w:val="nil"/>
              <w:left w:val="nil"/>
              <w:bottom w:val="nil"/>
              <w:right w:val="nil"/>
            </w:tcBorders>
            <w:shd w:val="clear" w:color="auto" w:fill="F5EDC1" w:themeFill="accent4"/>
          </w:tcPr>
          <w:p w14:paraId="5F7CBF95" w14:textId="77777777" w:rsidR="00C040A2" w:rsidRDefault="00C040A2" w:rsidP="00D57108">
            <w:pPr>
              <w:jc w:val="right"/>
              <w:rPr>
                <w:color w:val="000000"/>
              </w:rPr>
            </w:pPr>
            <w:r>
              <w:rPr>
                <w:color w:val="000000"/>
              </w:rPr>
              <w:t>2.60%</w:t>
            </w:r>
          </w:p>
        </w:tc>
        <w:tc>
          <w:tcPr>
            <w:tcW w:w="1558" w:type="dxa"/>
            <w:tcBorders>
              <w:top w:val="nil"/>
              <w:left w:val="nil"/>
              <w:bottom w:val="nil"/>
              <w:right w:val="nil"/>
            </w:tcBorders>
            <w:shd w:val="clear" w:color="auto" w:fill="D4E2E0" w:themeFill="accent5"/>
          </w:tcPr>
          <w:p w14:paraId="4FCEA7E5" w14:textId="77777777" w:rsidR="00C040A2" w:rsidRDefault="00C040A2" w:rsidP="00D57108">
            <w:pPr>
              <w:jc w:val="right"/>
              <w:rPr>
                <w:color w:val="000000"/>
              </w:rPr>
            </w:pPr>
            <w:r>
              <w:rPr>
                <w:color w:val="000000"/>
              </w:rPr>
              <w:t>2018</w:t>
            </w:r>
          </w:p>
        </w:tc>
        <w:tc>
          <w:tcPr>
            <w:tcW w:w="1485" w:type="dxa"/>
            <w:tcBorders>
              <w:top w:val="nil"/>
              <w:left w:val="nil"/>
              <w:bottom w:val="nil"/>
              <w:right w:val="nil"/>
            </w:tcBorders>
            <w:shd w:val="clear" w:color="auto" w:fill="D4E2E0" w:themeFill="accent5"/>
          </w:tcPr>
          <w:p w14:paraId="460BE431" w14:textId="77777777" w:rsidR="00C040A2" w:rsidRDefault="00C040A2" w:rsidP="00D57108">
            <w:pPr>
              <w:jc w:val="right"/>
              <w:rPr>
                <w:color w:val="000000"/>
              </w:rPr>
            </w:pPr>
            <w:r>
              <w:rPr>
                <w:color w:val="000000"/>
              </w:rPr>
              <w:t>3.40%</w:t>
            </w:r>
          </w:p>
        </w:tc>
      </w:tr>
      <w:tr w:rsidR="00C040A2" w14:paraId="768ABE65" w14:textId="77777777" w:rsidTr="00D57108">
        <w:tc>
          <w:tcPr>
            <w:tcW w:w="3082" w:type="dxa"/>
            <w:tcBorders>
              <w:top w:val="nil"/>
              <w:left w:val="nil"/>
              <w:bottom w:val="nil"/>
              <w:right w:val="nil"/>
            </w:tcBorders>
          </w:tcPr>
          <w:p w14:paraId="5417AE7D"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2B8DE015" w14:textId="77777777" w:rsidR="00C040A2" w:rsidRDefault="00C040A2" w:rsidP="00D57108">
            <w:pPr>
              <w:jc w:val="right"/>
              <w:rPr>
                <w:color w:val="000000"/>
              </w:rPr>
            </w:pPr>
            <w:r>
              <w:rPr>
                <w:color w:val="000000"/>
              </w:rPr>
              <w:t>2020</w:t>
            </w:r>
          </w:p>
        </w:tc>
        <w:tc>
          <w:tcPr>
            <w:tcW w:w="1558" w:type="dxa"/>
            <w:gridSpan w:val="2"/>
            <w:tcBorders>
              <w:top w:val="nil"/>
              <w:left w:val="nil"/>
              <w:bottom w:val="nil"/>
              <w:right w:val="nil"/>
            </w:tcBorders>
            <w:shd w:val="clear" w:color="auto" w:fill="F5EDC1" w:themeFill="accent4"/>
          </w:tcPr>
          <w:p w14:paraId="7CDA43F7" w14:textId="77777777" w:rsidR="00C040A2" w:rsidRDefault="00C040A2" w:rsidP="00D57108">
            <w:pPr>
              <w:jc w:val="right"/>
              <w:rPr>
                <w:color w:val="000000"/>
              </w:rPr>
            </w:pPr>
            <w:r>
              <w:rPr>
                <w:color w:val="000000"/>
              </w:rPr>
              <w:t>3.10%</w:t>
            </w:r>
          </w:p>
        </w:tc>
        <w:tc>
          <w:tcPr>
            <w:tcW w:w="1558" w:type="dxa"/>
            <w:tcBorders>
              <w:top w:val="nil"/>
              <w:left w:val="nil"/>
              <w:bottom w:val="nil"/>
              <w:right w:val="nil"/>
            </w:tcBorders>
            <w:shd w:val="clear" w:color="auto" w:fill="D4E2E0" w:themeFill="accent5"/>
          </w:tcPr>
          <w:p w14:paraId="5C6E5FBA" w14:textId="77777777" w:rsidR="00C040A2" w:rsidRDefault="00C040A2" w:rsidP="00D57108">
            <w:pPr>
              <w:jc w:val="right"/>
              <w:rPr>
                <w:color w:val="000000"/>
              </w:rPr>
            </w:pPr>
            <w:r>
              <w:rPr>
                <w:color w:val="000000"/>
              </w:rPr>
              <w:t>2019</w:t>
            </w:r>
          </w:p>
        </w:tc>
        <w:tc>
          <w:tcPr>
            <w:tcW w:w="1485" w:type="dxa"/>
            <w:tcBorders>
              <w:top w:val="nil"/>
              <w:left w:val="nil"/>
              <w:bottom w:val="nil"/>
              <w:right w:val="nil"/>
            </w:tcBorders>
            <w:shd w:val="clear" w:color="auto" w:fill="D4E2E0" w:themeFill="accent5"/>
          </w:tcPr>
          <w:p w14:paraId="115B4C4C" w14:textId="77777777" w:rsidR="00C040A2" w:rsidRDefault="00C040A2" w:rsidP="00D57108">
            <w:pPr>
              <w:jc w:val="right"/>
              <w:rPr>
                <w:color w:val="000000"/>
              </w:rPr>
            </w:pPr>
            <w:r>
              <w:rPr>
                <w:color w:val="000000"/>
              </w:rPr>
              <w:t>3.70%</w:t>
            </w:r>
          </w:p>
        </w:tc>
      </w:tr>
      <w:tr w:rsidR="00C040A2" w14:paraId="232C9417" w14:textId="77777777" w:rsidTr="00D57108">
        <w:tc>
          <w:tcPr>
            <w:tcW w:w="3082" w:type="dxa"/>
            <w:tcBorders>
              <w:top w:val="nil"/>
              <w:left w:val="nil"/>
              <w:bottom w:val="nil"/>
              <w:right w:val="nil"/>
            </w:tcBorders>
          </w:tcPr>
          <w:p w14:paraId="43B73123"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65E4DCB6" w14:textId="77777777" w:rsidR="00C040A2" w:rsidRDefault="00C040A2" w:rsidP="00D57108">
            <w:pPr>
              <w:jc w:val="right"/>
              <w:rPr>
                <w:color w:val="000000"/>
              </w:rPr>
            </w:pPr>
            <w:r>
              <w:rPr>
                <w:color w:val="000000"/>
              </w:rPr>
              <w:t>2021</w:t>
            </w:r>
          </w:p>
        </w:tc>
        <w:tc>
          <w:tcPr>
            <w:tcW w:w="1558" w:type="dxa"/>
            <w:gridSpan w:val="2"/>
            <w:tcBorders>
              <w:top w:val="nil"/>
              <w:left w:val="nil"/>
              <w:bottom w:val="nil"/>
              <w:right w:val="nil"/>
            </w:tcBorders>
            <w:shd w:val="clear" w:color="auto" w:fill="F5EDC1" w:themeFill="accent4"/>
          </w:tcPr>
          <w:p w14:paraId="17F41985" w14:textId="77777777" w:rsidR="00C040A2" w:rsidRDefault="00C040A2" w:rsidP="00D57108">
            <w:pPr>
              <w:jc w:val="right"/>
              <w:rPr>
                <w:color w:val="000000"/>
              </w:rPr>
            </w:pPr>
            <w:r>
              <w:rPr>
                <w:color w:val="000000"/>
              </w:rPr>
              <w:t>3.60%</w:t>
            </w:r>
          </w:p>
        </w:tc>
        <w:tc>
          <w:tcPr>
            <w:tcW w:w="1558" w:type="dxa"/>
            <w:tcBorders>
              <w:top w:val="nil"/>
              <w:left w:val="nil"/>
              <w:bottom w:val="nil"/>
              <w:right w:val="nil"/>
            </w:tcBorders>
            <w:shd w:val="clear" w:color="auto" w:fill="D4E2E0" w:themeFill="accent5"/>
          </w:tcPr>
          <w:p w14:paraId="0A83D045" w14:textId="77777777" w:rsidR="00C040A2" w:rsidRDefault="00C040A2" w:rsidP="00D57108">
            <w:pPr>
              <w:jc w:val="right"/>
              <w:rPr>
                <w:color w:val="000000"/>
              </w:rPr>
            </w:pPr>
            <w:r>
              <w:rPr>
                <w:color w:val="000000"/>
              </w:rPr>
              <w:t>2020</w:t>
            </w:r>
          </w:p>
        </w:tc>
        <w:tc>
          <w:tcPr>
            <w:tcW w:w="1485" w:type="dxa"/>
            <w:tcBorders>
              <w:top w:val="nil"/>
              <w:left w:val="nil"/>
              <w:bottom w:val="nil"/>
              <w:right w:val="nil"/>
            </w:tcBorders>
            <w:shd w:val="clear" w:color="auto" w:fill="D4E2E0" w:themeFill="accent5"/>
          </w:tcPr>
          <w:p w14:paraId="7DD9AF72" w14:textId="77777777" w:rsidR="00C040A2" w:rsidRDefault="00C040A2" w:rsidP="00D57108">
            <w:pPr>
              <w:jc w:val="right"/>
              <w:rPr>
                <w:color w:val="000000"/>
              </w:rPr>
            </w:pPr>
            <w:r>
              <w:rPr>
                <w:color w:val="000000"/>
              </w:rPr>
              <w:t>4.00%</w:t>
            </w:r>
          </w:p>
        </w:tc>
      </w:tr>
      <w:tr w:rsidR="00C040A2" w14:paraId="2745E358" w14:textId="77777777" w:rsidTr="00D57108">
        <w:tc>
          <w:tcPr>
            <w:tcW w:w="3082" w:type="dxa"/>
            <w:tcBorders>
              <w:top w:val="nil"/>
              <w:left w:val="nil"/>
              <w:bottom w:val="nil"/>
              <w:right w:val="nil"/>
            </w:tcBorders>
          </w:tcPr>
          <w:p w14:paraId="0039EA96"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48E920C2" w14:textId="77777777" w:rsidR="00C040A2" w:rsidRDefault="00C040A2" w:rsidP="00D57108">
            <w:pPr>
              <w:jc w:val="right"/>
              <w:rPr>
                <w:color w:val="000000"/>
              </w:rPr>
            </w:pPr>
            <w:r>
              <w:rPr>
                <w:color w:val="000000"/>
              </w:rPr>
              <w:t>2022</w:t>
            </w:r>
          </w:p>
        </w:tc>
        <w:tc>
          <w:tcPr>
            <w:tcW w:w="1558" w:type="dxa"/>
            <w:gridSpan w:val="2"/>
            <w:tcBorders>
              <w:top w:val="nil"/>
              <w:left w:val="nil"/>
              <w:bottom w:val="nil"/>
              <w:right w:val="nil"/>
            </w:tcBorders>
            <w:shd w:val="clear" w:color="auto" w:fill="F5EDC1" w:themeFill="accent4"/>
          </w:tcPr>
          <w:p w14:paraId="329A8905" w14:textId="77777777" w:rsidR="00C040A2" w:rsidRDefault="00C040A2" w:rsidP="00D57108">
            <w:pPr>
              <w:jc w:val="right"/>
              <w:rPr>
                <w:color w:val="000000"/>
              </w:rPr>
            </w:pPr>
            <w:r>
              <w:rPr>
                <w:color w:val="000000"/>
              </w:rPr>
              <w:t>3.80%</w:t>
            </w:r>
          </w:p>
        </w:tc>
        <w:tc>
          <w:tcPr>
            <w:tcW w:w="1558" w:type="dxa"/>
            <w:tcBorders>
              <w:top w:val="nil"/>
              <w:left w:val="nil"/>
              <w:bottom w:val="nil"/>
              <w:right w:val="nil"/>
            </w:tcBorders>
            <w:shd w:val="clear" w:color="auto" w:fill="D4E2E0" w:themeFill="accent5"/>
          </w:tcPr>
          <w:p w14:paraId="6D87652C" w14:textId="77777777" w:rsidR="00C040A2" w:rsidRDefault="00C040A2" w:rsidP="00D57108">
            <w:pPr>
              <w:jc w:val="right"/>
              <w:rPr>
                <w:color w:val="000000"/>
              </w:rPr>
            </w:pPr>
            <w:r>
              <w:rPr>
                <w:color w:val="000000"/>
              </w:rPr>
              <w:t>2021</w:t>
            </w:r>
          </w:p>
        </w:tc>
        <w:tc>
          <w:tcPr>
            <w:tcW w:w="1485" w:type="dxa"/>
            <w:tcBorders>
              <w:top w:val="nil"/>
              <w:left w:val="nil"/>
              <w:bottom w:val="nil"/>
              <w:right w:val="nil"/>
            </w:tcBorders>
            <w:shd w:val="clear" w:color="auto" w:fill="D4E2E0" w:themeFill="accent5"/>
          </w:tcPr>
          <w:p w14:paraId="7E413973" w14:textId="77777777" w:rsidR="00C040A2" w:rsidRDefault="00C040A2" w:rsidP="00D57108">
            <w:pPr>
              <w:jc w:val="right"/>
              <w:rPr>
                <w:color w:val="000000"/>
              </w:rPr>
            </w:pPr>
            <w:r>
              <w:rPr>
                <w:color w:val="000000"/>
              </w:rPr>
              <w:t>4.20%</w:t>
            </w:r>
          </w:p>
        </w:tc>
      </w:tr>
      <w:tr w:rsidR="00C040A2" w14:paraId="5380278D" w14:textId="77777777" w:rsidTr="00D57108">
        <w:tc>
          <w:tcPr>
            <w:tcW w:w="3082" w:type="dxa"/>
            <w:tcBorders>
              <w:top w:val="nil"/>
              <w:left w:val="nil"/>
              <w:bottom w:val="nil"/>
              <w:right w:val="nil"/>
            </w:tcBorders>
          </w:tcPr>
          <w:p w14:paraId="3F2F7678"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1AE0A8B8" w14:textId="77777777" w:rsidR="00C040A2" w:rsidRDefault="00C040A2" w:rsidP="00D57108">
            <w:pPr>
              <w:jc w:val="right"/>
              <w:rPr>
                <w:color w:val="000000"/>
              </w:rPr>
            </w:pPr>
            <w:r>
              <w:rPr>
                <w:color w:val="000000"/>
              </w:rPr>
              <w:t>2023</w:t>
            </w:r>
          </w:p>
        </w:tc>
        <w:tc>
          <w:tcPr>
            <w:tcW w:w="1558" w:type="dxa"/>
            <w:gridSpan w:val="2"/>
            <w:tcBorders>
              <w:top w:val="nil"/>
              <w:left w:val="nil"/>
              <w:bottom w:val="nil"/>
              <w:right w:val="nil"/>
            </w:tcBorders>
            <w:shd w:val="clear" w:color="auto" w:fill="F5EDC1" w:themeFill="accent4"/>
          </w:tcPr>
          <w:p w14:paraId="37B56D7E" w14:textId="77777777" w:rsidR="00C040A2" w:rsidRDefault="00C040A2" w:rsidP="00D57108">
            <w:pPr>
              <w:jc w:val="right"/>
              <w:rPr>
                <w:color w:val="000000"/>
              </w:rPr>
            </w:pPr>
            <w:r>
              <w:rPr>
                <w:color w:val="000000"/>
              </w:rPr>
              <w:t>3.90%</w:t>
            </w:r>
          </w:p>
        </w:tc>
        <w:tc>
          <w:tcPr>
            <w:tcW w:w="1558" w:type="dxa"/>
            <w:tcBorders>
              <w:top w:val="nil"/>
              <w:left w:val="nil"/>
              <w:bottom w:val="nil"/>
              <w:right w:val="nil"/>
            </w:tcBorders>
            <w:shd w:val="clear" w:color="auto" w:fill="D4E2E0" w:themeFill="accent5"/>
          </w:tcPr>
          <w:p w14:paraId="46363BA9" w14:textId="77777777" w:rsidR="00C040A2" w:rsidRDefault="00C040A2" w:rsidP="00D57108">
            <w:pPr>
              <w:jc w:val="right"/>
              <w:rPr>
                <w:color w:val="000000"/>
              </w:rPr>
            </w:pPr>
            <w:r>
              <w:rPr>
                <w:color w:val="000000"/>
              </w:rPr>
              <w:t>2022</w:t>
            </w:r>
          </w:p>
        </w:tc>
        <w:tc>
          <w:tcPr>
            <w:tcW w:w="1485" w:type="dxa"/>
            <w:tcBorders>
              <w:top w:val="nil"/>
              <w:left w:val="nil"/>
              <w:bottom w:val="nil"/>
              <w:right w:val="nil"/>
            </w:tcBorders>
            <w:shd w:val="clear" w:color="auto" w:fill="D4E2E0" w:themeFill="accent5"/>
          </w:tcPr>
          <w:p w14:paraId="299BA7C6" w14:textId="77777777" w:rsidR="00C040A2" w:rsidRDefault="00C040A2" w:rsidP="00D57108">
            <w:pPr>
              <w:jc w:val="right"/>
              <w:rPr>
                <w:color w:val="000000"/>
              </w:rPr>
            </w:pPr>
            <w:r>
              <w:rPr>
                <w:color w:val="000000"/>
              </w:rPr>
              <w:t>4.30%</w:t>
            </w:r>
          </w:p>
        </w:tc>
      </w:tr>
      <w:tr w:rsidR="00C040A2" w14:paraId="2A58887D" w14:textId="77777777" w:rsidTr="00D57108">
        <w:tc>
          <w:tcPr>
            <w:tcW w:w="3082" w:type="dxa"/>
            <w:tcBorders>
              <w:top w:val="nil"/>
              <w:left w:val="nil"/>
              <w:bottom w:val="nil"/>
              <w:right w:val="nil"/>
            </w:tcBorders>
          </w:tcPr>
          <w:p w14:paraId="767A3724"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49A267FF" w14:textId="77777777" w:rsidR="00C040A2" w:rsidRDefault="00C040A2" w:rsidP="00D57108">
            <w:pPr>
              <w:jc w:val="right"/>
              <w:rPr>
                <w:color w:val="000000"/>
              </w:rPr>
            </w:pPr>
            <w:r>
              <w:rPr>
                <w:color w:val="000000"/>
              </w:rPr>
              <w:t>2024</w:t>
            </w:r>
          </w:p>
        </w:tc>
        <w:tc>
          <w:tcPr>
            <w:tcW w:w="1558" w:type="dxa"/>
            <w:gridSpan w:val="2"/>
            <w:tcBorders>
              <w:top w:val="nil"/>
              <w:left w:val="nil"/>
              <w:bottom w:val="nil"/>
              <w:right w:val="nil"/>
            </w:tcBorders>
            <w:shd w:val="clear" w:color="auto" w:fill="F5EDC1" w:themeFill="accent4"/>
          </w:tcPr>
          <w:p w14:paraId="767C8E81" w14:textId="77777777" w:rsidR="00C040A2" w:rsidRDefault="00C040A2" w:rsidP="00D57108">
            <w:pPr>
              <w:jc w:val="right"/>
              <w:rPr>
                <w:color w:val="000000"/>
              </w:rPr>
            </w:pPr>
            <w:r>
              <w:rPr>
                <w:color w:val="000000"/>
              </w:rPr>
              <w:t>4.00%</w:t>
            </w:r>
          </w:p>
        </w:tc>
        <w:tc>
          <w:tcPr>
            <w:tcW w:w="1558" w:type="dxa"/>
            <w:tcBorders>
              <w:top w:val="nil"/>
              <w:left w:val="nil"/>
              <w:bottom w:val="nil"/>
              <w:right w:val="nil"/>
            </w:tcBorders>
            <w:shd w:val="clear" w:color="auto" w:fill="D4E2E0" w:themeFill="accent5"/>
          </w:tcPr>
          <w:p w14:paraId="2373E825" w14:textId="77777777" w:rsidR="00C040A2" w:rsidRDefault="00C040A2" w:rsidP="00D57108">
            <w:pPr>
              <w:jc w:val="right"/>
              <w:rPr>
                <w:color w:val="000000"/>
              </w:rPr>
            </w:pPr>
            <w:r>
              <w:rPr>
                <w:color w:val="000000"/>
              </w:rPr>
              <w:t>2023</w:t>
            </w:r>
          </w:p>
        </w:tc>
        <w:tc>
          <w:tcPr>
            <w:tcW w:w="1485" w:type="dxa"/>
            <w:tcBorders>
              <w:top w:val="nil"/>
              <w:left w:val="nil"/>
              <w:bottom w:val="nil"/>
              <w:right w:val="nil"/>
            </w:tcBorders>
            <w:shd w:val="clear" w:color="auto" w:fill="D4E2E0" w:themeFill="accent5"/>
          </w:tcPr>
          <w:p w14:paraId="309DA1E5" w14:textId="77777777" w:rsidR="00C040A2" w:rsidRDefault="00C040A2" w:rsidP="00D57108">
            <w:pPr>
              <w:jc w:val="right"/>
              <w:rPr>
                <w:color w:val="000000"/>
              </w:rPr>
            </w:pPr>
            <w:r>
              <w:rPr>
                <w:color w:val="000000"/>
              </w:rPr>
              <w:t>4.40%</w:t>
            </w:r>
          </w:p>
        </w:tc>
      </w:tr>
      <w:tr w:rsidR="00C040A2" w14:paraId="1A09F001" w14:textId="77777777" w:rsidTr="00D57108">
        <w:tc>
          <w:tcPr>
            <w:tcW w:w="3082" w:type="dxa"/>
            <w:tcBorders>
              <w:top w:val="nil"/>
              <w:left w:val="nil"/>
              <w:bottom w:val="nil"/>
              <w:right w:val="nil"/>
            </w:tcBorders>
          </w:tcPr>
          <w:p w14:paraId="2178E307"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35AA3F30" w14:textId="77777777" w:rsidR="00C040A2" w:rsidRDefault="00C040A2" w:rsidP="00D57108">
            <w:pPr>
              <w:jc w:val="right"/>
              <w:rPr>
                <w:color w:val="000000"/>
              </w:rPr>
            </w:pPr>
            <w:r>
              <w:rPr>
                <w:color w:val="000000"/>
              </w:rPr>
              <w:t>2025</w:t>
            </w:r>
          </w:p>
        </w:tc>
        <w:tc>
          <w:tcPr>
            <w:tcW w:w="1558" w:type="dxa"/>
            <w:gridSpan w:val="2"/>
            <w:tcBorders>
              <w:top w:val="nil"/>
              <w:left w:val="nil"/>
              <w:bottom w:val="nil"/>
              <w:right w:val="nil"/>
            </w:tcBorders>
            <w:shd w:val="clear" w:color="auto" w:fill="F5EDC1" w:themeFill="accent4"/>
          </w:tcPr>
          <w:p w14:paraId="5F46DE64" w14:textId="77777777" w:rsidR="00C040A2" w:rsidRDefault="00C040A2" w:rsidP="00D57108">
            <w:pPr>
              <w:jc w:val="right"/>
              <w:rPr>
                <w:color w:val="000000"/>
              </w:rPr>
            </w:pPr>
            <w:r>
              <w:rPr>
                <w:color w:val="000000"/>
              </w:rPr>
              <w:t>4.10%</w:t>
            </w:r>
          </w:p>
        </w:tc>
        <w:tc>
          <w:tcPr>
            <w:tcW w:w="1558" w:type="dxa"/>
            <w:tcBorders>
              <w:top w:val="nil"/>
              <w:left w:val="nil"/>
              <w:bottom w:val="nil"/>
              <w:right w:val="nil"/>
            </w:tcBorders>
            <w:shd w:val="clear" w:color="auto" w:fill="D4E2E0" w:themeFill="accent5"/>
          </w:tcPr>
          <w:p w14:paraId="3CCE86E2" w14:textId="77777777" w:rsidR="00C040A2" w:rsidRDefault="00C040A2" w:rsidP="00D57108">
            <w:pPr>
              <w:jc w:val="right"/>
              <w:rPr>
                <w:color w:val="000000"/>
              </w:rPr>
            </w:pPr>
            <w:r>
              <w:rPr>
                <w:color w:val="000000"/>
              </w:rPr>
              <w:t>2024</w:t>
            </w:r>
          </w:p>
        </w:tc>
        <w:tc>
          <w:tcPr>
            <w:tcW w:w="1485" w:type="dxa"/>
            <w:tcBorders>
              <w:top w:val="nil"/>
              <w:left w:val="nil"/>
              <w:bottom w:val="nil"/>
              <w:right w:val="nil"/>
            </w:tcBorders>
            <w:shd w:val="clear" w:color="auto" w:fill="D4E2E0" w:themeFill="accent5"/>
          </w:tcPr>
          <w:p w14:paraId="5A195CCC" w14:textId="77777777" w:rsidR="00C040A2" w:rsidRDefault="00C040A2" w:rsidP="00D57108">
            <w:pPr>
              <w:jc w:val="right"/>
              <w:rPr>
                <w:color w:val="000000"/>
              </w:rPr>
            </w:pPr>
            <w:r>
              <w:rPr>
                <w:color w:val="000000"/>
              </w:rPr>
              <w:t>4.50%</w:t>
            </w:r>
          </w:p>
        </w:tc>
      </w:tr>
      <w:tr w:rsidR="00C040A2" w14:paraId="6082808E" w14:textId="77777777" w:rsidTr="00D57108">
        <w:tc>
          <w:tcPr>
            <w:tcW w:w="3082" w:type="dxa"/>
            <w:tcBorders>
              <w:top w:val="nil"/>
              <w:left w:val="nil"/>
              <w:bottom w:val="nil"/>
              <w:right w:val="nil"/>
            </w:tcBorders>
          </w:tcPr>
          <w:p w14:paraId="0A490D70"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2F954892" w14:textId="77777777" w:rsidR="00C040A2" w:rsidRDefault="00C040A2" w:rsidP="00D57108">
            <w:pPr>
              <w:jc w:val="right"/>
              <w:rPr>
                <w:color w:val="000000"/>
              </w:rPr>
            </w:pPr>
            <w:r>
              <w:rPr>
                <w:color w:val="000000"/>
              </w:rPr>
              <w:t>2026</w:t>
            </w:r>
          </w:p>
        </w:tc>
        <w:tc>
          <w:tcPr>
            <w:tcW w:w="1558" w:type="dxa"/>
            <w:gridSpan w:val="2"/>
            <w:tcBorders>
              <w:top w:val="nil"/>
              <w:left w:val="nil"/>
              <w:bottom w:val="nil"/>
              <w:right w:val="nil"/>
            </w:tcBorders>
            <w:shd w:val="clear" w:color="auto" w:fill="F5EDC1" w:themeFill="accent4"/>
          </w:tcPr>
          <w:p w14:paraId="0D0DDC70" w14:textId="77777777" w:rsidR="00C040A2" w:rsidRDefault="00C040A2" w:rsidP="00D57108">
            <w:pPr>
              <w:jc w:val="right"/>
              <w:rPr>
                <w:color w:val="000000"/>
              </w:rPr>
            </w:pPr>
            <w:r>
              <w:rPr>
                <w:color w:val="000000"/>
              </w:rPr>
              <w:t>4.20%</w:t>
            </w:r>
          </w:p>
        </w:tc>
        <w:tc>
          <w:tcPr>
            <w:tcW w:w="1558" w:type="dxa"/>
            <w:tcBorders>
              <w:top w:val="nil"/>
              <w:left w:val="nil"/>
              <w:bottom w:val="nil"/>
              <w:right w:val="nil"/>
            </w:tcBorders>
            <w:shd w:val="clear" w:color="auto" w:fill="D4E2E0" w:themeFill="accent5"/>
          </w:tcPr>
          <w:p w14:paraId="67CE6E88" w14:textId="77777777" w:rsidR="00C040A2" w:rsidRDefault="00C040A2" w:rsidP="00D57108">
            <w:pPr>
              <w:jc w:val="right"/>
              <w:rPr>
                <w:color w:val="000000"/>
              </w:rPr>
            </w:pPr>
            <w:r>
              <w:rPr>
                <w:color w:val="000000"/>
              </w:rPr>
              <w:t>2025</w:t>
            </w:r>
          </w:p>
        </w:tc>
        <w:tc>
          <w:tcPr>
            <w:tcW w:w="1485" w:type="dxa"/>
            <w:tcBorders>
              <w:top w:val="nil"/>
              <w:left w:val="nil"/>
              <w:bottom w:val="nil"/>
              <w:right w:val="nil"/>
            </w:tcBorders>
            <w:shd w:val="clear" w:color="auto" w:fill="D4E2E0" w:themeFill="accent5"/>
          </w:tcPr>
          <w:p w14:paraId="757339EF" w14:textId="77777777" w:rsidR="00C040A2" w:rsidRDefault="00C040A2" w:rsidP="00D57108">
            <w:pPr>
              <w:jc w:val="right"/>
              <w:rPr>
                <w:color w:val="000000"/>
              </w:rPr>
            </w:pPr>
            <w:r>
              <w:rPr>
                <w:color w:val="000000"/>
              </w:rPr>
              <w:t>4.60%</w:t>
            </w:r>
          </w:p>
        </w:tc>
      </w:tr>
      <w:tr w:rsidR="00C040A2" w14:paraId="423003BB" w14:textId="77777777" w:rsidTr="00D57108">
        <w:tc>
          <w:tcPr>
            <w:tcW w:w="3082" w:type="dxa"/>
            <w:tcBorders>
              <w:top w:val="nil"/>
              <w:left w:val="nil"/>
              <w:bottom w:val="nil"/>
              <w:right w:val="nil"/>
            </w:tcBorders>
          </w:tcPr>
          <w:p w14:paraId="098AB5A9"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2967C15A" w14:textId="77777777" w:rsidR="00C040A2" w:rsidRDefault="00C040A2" w:rsidP="00D57108">
            <w:pPr>
              <w:jc w:val="right"/>
              <w:rPr>
                <w:color w:val="000000"/>
              </w:rPr>
            </w:pPr>
            <w:r>
              <w:rPr>
                <w:color w:val="000000"/>
              </w:rPr>
              <w:t>2027</w:t>
            </w:r>
          </w:p>
        </w:tc>
        <w:tc>
          <w:tcPr>
            <w:tcW w:w="1558" w:type="dxa"/>
            <w:gridSpan w:val="2"/>
            <w:tcBorders>
              <w:top w:val="nil"/>
              <w:left w:val="nil"/>
              <w:bottom w:val="nil"/>
              <w:right w:val="nil"/>
            </w:tcBorders>
            <w:shd w:val="clear" w:color="auto" w:fill="F5EDC1" w:themeFill="accent4"/>
          </w:tcPr>
          <w:p w14:paraId="0C7172F0" w14:textId="77777777" w:rsidR="00C040A2" w:rsidRDefault="00C040A2" w:rsidP="00D57108">
            <w:pPr>
              <w:jc w:val="right"/>
              <w:rPr>
                <w:color w:val="000000"/>
              </w:rPr>
            </w:pPr>
            <w:r>
              <w:rPr>
                <w:color w:val="000000"/>
              </w:rPr>
              <w:t>4.30%</w:t>
            </w:r>
          </w:p>
        </w:tc>
        <w:tc>
          <w:tcPr>
            <w:tcW w:w="1558" w:type="dxa"/>
            <w:tcBorders>
              <w:top w:val="nil"/>
              <w:left w:val="nil"/>
              <w:bottom w:val="nil"/>
              <w:right w:val="nil"/>
            </w:tcBorders>
            <w:shd w:val="clear" w:color="auto" w:fill="D4E2E0" w:themeFill="accent5"/>
          </w:tcPr>
          <w:p w14:paraId="77532179" w14:textId="77777777" w:rsidR="00C040A2" w:rsidRDefault="00C040A2" w:rsidP="00D57108">
            <w:pPr>
              <w:jc w:val="right"/>
              <w:rPr>
                <w:color w:val="000000"/>
              </w:rPr>
            </w:pPr>
            <w:r>
              <w:rPr>
                <w:color w:val="000000"/>
              </w:rPr>
              <w:t>2026</w:t>
            </w:r>
          </w:p>
        </w:tc>
        <w:tc>
          <w:tcPr>
            <w:tcW w:w="1485" w:type="dxa"/>
            <w:tcBorders>
              <w:top w:val="nil"/>
              <w:left w:val="nil"/>
              <w:bottom w:val="nil"/>
              <w:right w:val="nil"/>
            </w:tcBorders>
            <w:shd w:val="clear" w:color="auto" w:fill="D4E2E0" w:themeFill="accent5"/>
          </w:tcPr>
          <w:p w14:paraId="4B381951" w14:textId="77777777" w:rsidR="00C040A2" w:rsidRDefault="00C040A2" w:rsidP="00D57108">
            <w:pPr>
              <w:jc w:val="right"/>
              <w:rPr>
                <w:color w:val="000000"/>
              </w:rPr>
            </w:pPr>
            <w:r>
              <w:rPr>
                <w:color w:val="000000"/>
              </w:rPr>
              <w:t>4.70%</w:t>
            </w:r>
          </w:p>
        </w:tc>
      </w:tr>
      <w:tr w:rsidR="00C040A2" w14:paraId="18F952CB" w14:textId="77777777" w:rsidTr="00D57108">
        <w:tc>
          <w:tcPr>
            <w:tcW w:w="3082" w:type="dxa"/>
            <w:tcBorders>
              <w:top w:val="nil"/>
              <w:left w:val="nil"/>
              <w:bottom w:val="nil"/>
              <w:right w:val="nil"/>
            </w:tcBorders>
          </w:tcPr>
          <w:p w14:paraId="470BE577"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2E6ED97A" w14:textId="77777777" w:rsidR="00C040A2" w:rsidRDefault="00C040A2" w:rsidP="00D57108">
            <w:pPr>
              <w:jc w:val="right"/>
              <w:rPr>
                <w:color w:val="000000"/>
              </w:rPr>
            </w:pPr>
            <w:r>
              <w:rPr>
                <w:color w:val="000000"/>
              </w:rPr>
              <w:t>2028</w:t>
            </w:r>
          </w:p>
        </w:tc>
        <w:tc>
          <w:tcPr>
            <w:tcW w:w="1558" w:type="dxa"/>
            <w:gridSpan w:val="2"/>
            <w:tcBorders>
              <w:top w:val="nil"/>
              <w:left w:val="nil"/>
              <w:bottom w:val="nil"/>
              <w:right w:val="nil"/>
            </w:tcBorders>
            <w:shd w:val="clear" w:color="auto" w:fill="F5EDC1" w:themeFill="accent4"/>
          </w:tcPr>
          <w:p w14:paraId="6D99EF97" w14:textId="77777777" w:rsidR="00C040A2" w:rsidRDefault="00C040A2" w:rsidP="00D57108">
            <w:pPr>
              <w:jc w:val="right"/>
              <w:rPr>
                <w:color w:val="000000"/>
              </w:rPr>
            </w:pPr>
            <w:r>
              <w:rPr>
                <w:color w:val="000000"/>
              </w:rPr>
              <w:t>4.30%</w:t>
            </w:r>
          </w:p>
        </w:tc>
        <w:tc>
          <w:tcPr>
            <w:tcW w:w="1558" w:type="dxa"/>
            <w:tcBorders>
              <w:top w:val="nil"/>
              <w:left w:val="nil"/>
              <w:bottom w:val="nil"/>
              <w:right w:val="nil"/>
            </w:tcBorders>
            <w:shd w:val="clear" w:color="auto" w:fill="D4E2E0" w:themeFill="accent5"/>
          </w:tcPr>
          <w:p w14:paraId="45895EA1" w14:textId="77777777" w:rsidR="00C040A2" w:rsidRDefault="00C040A2" w:rsidP="00D57108">
            <w:pPr>
              <w:jc w:val="right"/>
              <w:rPr>
                <w:color w:val="000000"/>
              </w:rPr>
            </w:pPr>
            <w:r>
              <w:rPr>
                <w:color w:val="000000"/>
              </w:rPr>
              <w:t>2027</w:t>
            </w:r>
          </w:p>
        </w:tc>
        <w:tc>
          <w:tcPr>
            <w:tcW w:w="1485" w:type="dxa"/>
            <w:tcBorders>
              <w:top w:val="nil"/>
              <w:left w:val="nil"/>
              <w:bottom w:val="nil"/>
              <w:right w:val="nil"/>
            </w:tcBorders>
            <w:shd w:val="clear" w:color="auto" w:fill="D4E2E0" w:themeFill="accent5"/>
          </w:tcPr>
          <w:p w14:paraId="42001A2F" w14:textId="77777777" w:rsidR="00C040A2" w:rsidRDefault="00C040A2" w:rsidP="00D57108">
            <w:pPr>
              <w:jc w:val="right"/>
              <w:rPr>
                <w:color w:val="000000"/>
              </w:rPr>
            </w:pPr>
            <w:r>
              <w:rPr>
                <w:color w:val="000000"/>
              </w:rPr>
              <w:t>4.80%</w:t>
            </w:r>
          </w:p>
        </w:tc>
      </w:tr>
      <w:tr w:rsidR="00C040A2" w14:paraId="60E75C9A" w14:textId="77777777" w:rsidTr="00D57108">
        <w:tc>
          <w:tcPr>
            <w:tcW w:w="3082" w:type="dxa"/>
            <w:tcBorders>
              <w:top w:val="nil"/>
              <w:left w:val="nil"/>
              <w:bottom w:val="nil"/>
              <w:right w:val="nil"/>
            </w:tcBorders>
          </w:tcPr>
          <w:p w14:paraId="2FEA07CB"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4039CC9D" w14:textId="77777777" w:rsidR="00C040A2" w:rsidRDefault="00C040A2" w:rsidP="00D57108">
            <w:pPr>
              <w:jc w:val="right"/>
              <w:rPr>
                <w:color w:val="000000"/>
              </w:rPr>
            </w:pPr>
            <w:r>
              <w:rPr>
                <w:color w:val="000000"/>
              </w:rPr>
              <w:t>2029</w:t>
            </w:r>
          </w:p>
        </w:tc>
        <w:tc>
          <w:tcPr>
            <w:tcW w:w="1558" w:type="dxa"/>
            <w:gridSpan w:val="2"/>
            <w:tcBorders>
              <w:top w:val="nil"/>
              <w:left w:val="nil"/>
              <w:bottom w:val="nil"/>
              <w:right w:val="nil"/>
            </w:tcBorders>
            <w:shd w:val="clear" w:color="auto" w:fill="F5EDC1" w:themeFill="accent4"/>
          </w:tcPr>
          <w:p w14:paraId="046B8306" w14:textId="77777777" w:rsidR="00C040A2" w:rsidRDefault="00C040A2" w:rsidP="00D57108">
            <w:pPr>
              <w:jc w:val="right"/>
              <w:rPr>
                <w:color w:val="000000"/>
              </w:rPr>
            </w:pPr>
            <w:r>
              <w:rPr>
                <w:color w:val="000000"/>
              </w:rPr>
              <w:t>4.40%</w:t>
            </w:r>
          </w:p>
        </w:tc>
        <w:tc>
          <w:tcPr>
            <w:tcW w:w="1558" w:type="dxa"/>
            <w:tcBorders>
              <w:top w:val="nil"/>
              <w:left w:val="nil"/>
              <w:bottom w:val="nil"/>
              <w:right w:val="nil"/>
            </w:tcBorders>
            <w:shd w:val="clear" w:color="auto" w:fill="D4E2E0" w:themeFill="accent5"/>
          </w:tcPr>
          <w:p w14:paraId="2B8E2472" w14:textId="77777777" w:rsidR="00C040A2" w:rsidRDefault="00C040A2" w:rsidP="00D57108">
            <w:pPr>
              <w:jc w:val="right"/>
              <w:rPr>
                <w:color w:val="000000"/>
              </w:rPr>
            </w:pPr>
            <w:r>
              <w:rPr>
                <w:color w:val="000000"/>
              </w:rPr>
              <w:t>2028</w:t>
            </w:r>
          </w:p>
        </w:tc>
        <w:tc>
          <w:tcPr>
            <w:tcW w:w="1485" w:type="dxa"/>
            <w:tcBorders>
              <w:top w:val="nil"/>
              <w:left w:val="nil"/>
              <w:bottom w:val="nil"/>
              <w:right w:val="nil"/>
            </w:tcBorders>
            <w:shd w:val="clear" w:color="auto" w:fill="D4E2E0" w:themeFill="accent5"/>
          </w:tcPr>
          <w:p w14:paraId="0718E3C9" w14:textId="77777777" w:rsidR="00C040A2" w:rsidRDefault="00C040A2" w:rsidP="00D57108">
            <w:pPr>
              <w:jc w:val="right"/>
              <w:rPr>
                <w:color w:val="000000"/>
              </w:rPr>
            </w:pPr>
            <w:r>
              <w:rPr>
                <w:color w:val="000000"/>
              </w:rPr>
              <w:t>4.90%</w:t>
            </w:r>
          </w:p>
        </w:tc>
      </w:tr>
      <w:tr w:rsidR="00C040A2" w14:paraId="404BCF89" w14:textId="77777777" w:rsidTr="00D57108">
        <w:tc>
          <w:tcPr>
            <w:tcW w:w="3082" w:type="dxa"/>
            <w:tcBorders>
              <w:top w:val="nil"/>
              <w:left w:val="nil"/>
              <w:bottom w:val="nil"/>
              <w:right w:val="nil"/>
            </w:tcBorders>
          </w:tcPr>
          <w:p w14:paraId="07B4A538" w14:textId="77777777" w:rsidR="00C040A2" w:rsidRPr="000B4E3E" w:rsidRDefault="00C040A2" w:rsidP="00D57108">
            <w:pPr>
              <w:rPr>
                <w:color w:val="000000"/>
              </w:rPr>
            </w:pPr>
          </w:p>
        </w:tc>
        <w:tc>
          <w:tcPr>
            <w:tcW w:w="1559" w:type="dxa"/>
            <w:tcBorders>
              <w:top w:val="nil"/>
              <w:left w:val="nil"/>
              <w:bottom w:val="nil"/>
              <w:right w:val="nil"/>
            </w:tcBorders>
            <w:shd w:val="clear" w:color="auto" w:fill="F5EDC1" w:themeFill="accent4"/>
          </w:tcPr>
          <w:p w14:paraId="38330BBE" w14:textId="57EC8CB6" w:rsidR="00C040A2" w:rsidRDefault="00C040A2" w:rsidP="00D57108">
            <w:pPr>
              <w:jc w:val="right"/>
              <w:rPr>
                <w:color w:val="000000"/>
              </w:rPr>
            </w:pPr>
            <w:r>
              <w:rPr>
                <w:color w:val="000000"/>
              </w:rPr>
              <w:t>2030 onwards</w:t>
            </w:r>
          </w:p>
        </w:tc>
        <w:tc>
          <w:tcPr>
            <w:tcW w:w="1558" w:type="dxa"/>
            <w:gridSpan w:val="2"/>
            <w:tcBorders>
              <w:top w:val="nil"/>
              <w:left w:val="nil"/>
              <w:bottom w:val="nil"/>
              <w:right w:val="nil"/>
            </w:tcBorders>
            <w:shd w:val="clear" w:color="auto" w:fill="F5EDC1" w:themeFill="accent4"/>
          </w:tcPr>
          <w:p w14:paraId="19564CEB" w14:textId="77777777" w:rsidR="00C040A2" w:rsidRDefault="00C040A2" w:rsidP="00D57108">
            <w:pPr>
              <w:jc w:val="right"/>
              <w:rPr>
                <w:color w:val="000000"/>
              </w:rPr>
            </w:pPr>
            <w:r>
              <w:rPr>
                <w:color w:val="000000"/>
              </w:rPr>
              <w:t>4.50%</w:t>
            </w:r>
          </w:p>
        </w:tc>
        <w:tc>
          <w:tcPr>
            <w:tcW w:w="1558" w:type="dxa"/>
            <w:tcBorders>
              <w:top w:val="nil"/>
              <w:left w:val="nil"/>
              <w:bottom w:val="nil"/>
              <w:right w:val="nil"/>
            </w:tcBorders>
            <w:shd w:val="clear" w:color="auto" w:fill="D4E2E0" w:themeFill="accent5"/>
          </w:tcPr>
          <w:p w14:paraId="1ED1A57F" w14:textId="3C85486F" w:rsidR="00C040A2" w:rsidRDefault="00C040A2" w:rsidP="00D57108">
            <w:pPr>
              <w:jc w:val="right"/>
              <w:rPr>
                <w:color w:val="000000"/>
              </w:rPr>
            </w:pPr>
            <w:r>
              <w:rPr>
                <w:color w:val="000000"/>
              </w:rPr>
              <w:t>2029 onwards</w:t>
            </w:r>
          </w:p>
        </w:tc>
        <w:tc>
          <w:tcPr>
            <w:tcW w:w="1485" w:type="dxa"/>
            <w:tcBorders>
              <w:top w:val="nil"/>
              <w:left w:val="nil"/>
              <w:bottom w:val="nil"/>
              <w:right w:val="nil"/>
            </w:tcBorders>
            <w:shd w:val="clear" w:color="auto" w:fill="D4E2E0" w:themeFill="accent5"/>
          </w:tcPr>
          <w:p w14:paraId="6BC6AF9B" w14:textId="77777777" w:rsidR="00C040A2" w:rsidRDefault="00C040A2" w:rsidP="00D57108">
            <w:pPr>
              <w:jc w:val="right"/>
              <w:rPr>
                <w:color w:val="000000"/>
              </w:rPr>
            </w:pPr>
            <w:r>
              <w:rPr>
                <w:color w:val="000000"/>
              </w:rPr>
              <w:t>5.00%</w:t>
            </w:r>
          </w:p>
        </w:tc>
      </w:tr>
      <w:tr w:rsidR="00C040A2" w:rsidRPr="000B4E3E" w14:paraId="0ABD829D" w14:textId="77777777" w:rsidTr="00D57108">
        <w:tc>
          <w:tcPr>
            <w:tcW w:w="3082" w:type="dxa"/>
            <w:tcBorders>
              <w:top w:val="nil"/>
              <w:left w:val="nil"/>
              <w:bottom w:val="nil"/>
              <w:right w:val="nil"/>
            </w:tcBorders>
          </w:tcPr>
          <w:p w14:paraId="376588C5" w14:textId="77777777" w:rsidR="00C040A2" w:rsidRPr="000B4E3E" w:rsidRDefault="00C040A2" w:rsidP="00D57108">
            <w:pPr>
              <w:rPr>
                <w:color w:val="000000"/>
              </w:rPr>
            </w:pPr>
            <w:r>
              <w:rPr>
                <w:color w:val="000000"/>
              </w:rPr>
              <w:t>Claims Management Expenses</w:t>
            </w:r>
          </w:p>
        </w:tc>
        <w:tc>
          <w:tcPr>
            <w:tcW w:w="3080" w:type="dxa"/>
            <w:gridSpan w:val="2"/>
            <w:tcBorders>
              <w:top w:val="nil"/>
              <w:left w:val="nil"/>
              <w:bottom w:val="nil"/>
              <w:right w:val="nil"/>
            </w:tcBorders>
            <w:shd w:val="clear" w:color="auto" w:fill="F5EDC1" w:themeFill="accent4"/>
          </w:tcPr>
          <w:p w14:paraId="4D3CCAC7" w14:textId="22DF306F" w:rsidR="00C040A2" w:rsidRPr="000B4E3E" w:rsidRDefault="00C040A2" w:rsidP="00D57108">
            <w:pPr>
              <w:jc w:val="right"/>
              <w:rPr>
                <w:color w:val="000000"/>
              </w:rPr>
            </w:pPr>
            <w:r>
              <w:rPr>
                <w:color w:val="000000"/>
              </w:rPr>
              <w:t>10.5% for claim payments except for HIH Insurance which is 0%</w:t>
            </w:r>
          </w:p>
        </w:tc>
        <w:tc>
          <w:tcPr>
            <w:tcW w:w="3080" w:type="dxa"/>
            <w:gridSpan w:val="3"/>
            <w:tcBorders>
              <w:top w:val="nil"/>
              <w:left w:val="nil"/>
              <w:bottom w:val="nil"/>
              <w:right w:val="nil"/>
            </w:tcBorders>
            <w:shd w:val="clear" w:color="auto" w:fill="D4E2E0" w:themeFill="accent5"/>
          </w:tcPr>
          <w:p w14:paraId="303C0CA2" w14:textId="6751E412" w:rsidR="00C040A2" w:rsidRPr="000B4E3E" w:rsidRDefault="00C040A2" w:rsidP="00D57108">
            <w:pPr>
              <w:jc w:val="right"/>
              <w:rPr>
                <w:color w:val="000000"/>
              </w:rPr>
            </w:pPr>
            <w:r>
              <w:rPr>
                <w:color w:val="000000"/>
              </w:rPr>
              <w:t>10.5% for claim payments except for HIH Insurance which is 0%</w:t>
            </w:r>
          </w:p>
        </w:tc>
      </w:tr>
      <w:tr w:rsidR="00C040A2" w:rsidRPr="000B4E3E" w14:paraId="3474C85A" w14:textId="77777777" w:rsidTr="00D57108">
        <w:tc>
          <w:tcPr>
            <w:tcW w:w="3082" w:type="dxa"/>
            <w:tcBorders>
              <w:top w:val="nil"/>
              <w:left w:val="nil"/>
              <w:bottom w:val="nil"/>
              <w:right w:val="nil"/>
            </w:tcBorders>
          </w:tcPr>
          <w:p w14:paraId="234879C2" w14:textId="77777777" w:rsidR="00C040A2" w:rsidRPr="000B4E3E" w:rsidRDefault="00C040A2" w:rsidP="00D57108">
            <w:pPr>
              <w:rPr>
                <w:color w:val="000000"/>
              </w:rPr>
            </w:pPr>
            <w:r>
              <w:rPr>
                <w:color w:val="000000"/>
              </w:rPr>
              <w:t>Superimposed Inflation</w:t>
            </w:r>
          </w:p>
        </w:tc>
        <w:tc>
          <w:tcPr>
            <w:tcW w:w="3080" w:type="dxa"/>
            <w:gridSpan w:val="2"/>
            <w:tcBorders>
              <w:top w:val="nil"/>
              <w:left w:val="nil"/>
              <w:bottom w:val="nil"/>
              <w:right w:val="nil"/>
            </w:tcBorders>
            <w:shd w:val="clear" w:color="auto" w:fill="F5EDC1" w:themeFill="accent4"/>
          </w:tcPr>
          <w:p w14:paraId="2E73CE36" w14:textId="70234FA8" w:rsidR="00C040A2" w:rsidRPr="000B4E3E" w:rsidRDefault="00C040A2" w:rsidP="00C040A2">
            <w:pPr>
              <w:jc w:val="right"/>
              <w:rPr>
                <w:color w:val="000000"/>
              </w:rPr>
            </w:pPr>
            <w:r>
              <w:rPr>
                <w:color w:val="000000"/>
              </w:rPr>
              <w:t>2.00%</w:t>
            </w:r>
          </w:p>
        </w:tc>
        <w:tc>
          <w:tcPr>
            <w:tcW w:w="3080" w:type="dxa"/>
            <w:gridSpan w:val="3"/>
            <w:tcBorders>
              <w:top w:val="nil"/>
              <w:left w:val="nil"/>
              <w:bottom w:val="nil"/>
              <w:right w:val="nil"/>
            </w:tcBorders>
            <w:shd w:val="clear" w:color="auto" w:fill="D4E2E0" w:themeFill="accent5"/>
          </w:tcPr>
          <w:p w14:paraId="2BBAB314" w14:textId="2EA02723" w:rsidR="00C040A2" w:rsidRPr="000B4E3E" w:rsidRDefault="00C040A2" w:rsidP="00C040A2">
            <w:pPr>
              <w:jc w:val="right"/>
              <w:rPr>
                <w:color w:val="000000"/>
              </w:rPr>
            </w:pPr>
            <w:r>
              <w:rPr>
                <w:color w:val="000000"/>
              </w:rPr>
              <w:t>2.00%</w:t>
            </w:r>
          </w:p>
        </w:tc>
      </w:tr>
      <w:tr w:rsidR="00C040A2" w14:paraId="5D9F71D8" w14:textId="77777777" w:rsidTr="00D57108">
        <w:tc>
          <w:tcPr>
            <w:tcW w:w="3082" w:type="dxa"/>
            <w:tcBorders>
              <w:top w:val="nil"/>
              <w:left w:val="nil"/>
              <w:bottom w:val="nil"/>
              <w:right w:val="nil"/>
            </w:tcBorders>
          </w:tcPr>
          <w:p w14:paraId="7F370679" w14:textId="77777777" w:rsidR="00C040A2" w:rsidRDefault="00C040A2" w:rsidP="00D57108">
            <w:pPr>
              <w:rPr>
                <w:color w:val="000000"/>
              </w:rPr>
            </w:pPr>
            <w:r>
              <w:rPr>
                <w:color w:val="000000"/>
              </w:rPr>
              <w:t>Risk Margin</w:t>
            </w:r>
          </w:p>
        </w:tc>
        <w:tc>
          <w:tcPr>
            <w:tcW w:w="3080" w:type="dxa"/>
            <w:gridSpan w:val="2"/>
            <w:tcBorders>
              <w:top w:val="nil"/>
              <w:left w:val="nil"/>
              <w:bottom w:val="nil"/>
              <w:right w:val="nil"/>
            </w:tcBorders>
            <w:shd w:val="clear" w:color="auto" w:fill="F5EDC1" w:themeFill="accent4"/>
          </w:tcPr>
          <w:p w14:paraId="7D0051BB" w14:textId="77777777" w:rsidR="00C040A2" w:rsidRDefault="00C040A2" w:rsidP="00D57108">
            <w:pPr>
              <w:jc w:val="right"/>
              <w:rPr>
                <w:color w:val="000000"/>
              </w:rPr>
            </w:pPr>
            <w:r>
              <w:rPr>
                <w:color w:val="000000"/>
              </w:rPr>
              <w:t>16.76% risk margin at the 75% sufficiency level</w:t>
            </w:r>
          </w:p>
        </w:tc>
        <w:tc>
          <w:tcPr>
            <w:tcW w:w="3080" w:type="dxa"/>
            <w:gridSpan w:val="3"/>
            <w:tcBorders>
              <w:top w:val="nil"/>
              <w:left w:val="nil"/>
              <w:bottom w:val="nil"/>
              <w:right w:val="nil"/>
            </w:tcBorders>
            <w:shd w:val="clear" w:color="auto" w:fill="D4E2E0" w:themeFill="accent5"/>
          </w:tcPr>
          <w:p w14:paraId="104C63DB" w14:textId="77777777" w:rsidR="00C040A2" w:rsidRDefault="00C040A2" w:rsidP="00D57108">
            <w:pPr>
              <w:jc w:val="right"/>
              <w:rPr>
                <w:color w:val="000000"/>
              </w:rPr>
            </w:pPr>
            <w:r>
              <w:rPr>
                <w:color w:val="000000"/>
              </w:rPr>
              <w:t>16.76% risk margin at the 75% sufficiency level</w:t>
            </w:r>
          </w:p>
        </w:tc>
      </w:tr>
    </w:tbl>
    <w:p w14:paraId="2D700EF7" w14:textId="77777777" w:rsidR="00C040A2" w:rsidRDefault="00C040A2" w:rsidP="00C040A2"/>
    <w:p w14:paraId="28F8FBCE" w14:textId="032E9753" w:rsidR="00783674" w:rsidRDefault="00C040A2" w:rsidP="00C040A2">
      <w:r w:rsidRPr="00C040A2">
        <w:t>(1) Prediction of mesothelioma, lung cancer, and asbestosis in former Wittenoom asbestos workers, British Journal of Industrial Medicine; 48 793-802.</w:t>
      </w:r>
    </w:p>
    <w:p w14:paraId="3EFADBF8" w14:textId="4B286E8A" w:rsidR="00C040A2" w:rsidRDefault="00837FD8" w:rsidP="00837FD8">
      <w:r w:rsidRPr="00837FD8">
        <w:t>The EISF non-ARD valuation no longer includes an explicit allowance for the 2011 Amendment Act. This is because the average claim size uses an average of 2014 and 2015 lodgement years. The removal of age limits is assumed to be fully incorporated into the experience therefore no explicit allowance is required. Last year there was an increase of 37% in the average claim size to allow for the removal of age limits resulting from the 2011 Amendment Act.</w:t>
      </w:r>
    </w:p>
    <w:p w14:paraId="69257102" w14:textId="182DCAD8" w:rsidR="00837FD8" w:rsidRDefault="00FB268D" w:rsidP="00837FD8">
      <w:r>
        <w:t>The actuarial estimates from June 2001 are as follows:</w:t>
      </w:r>
    </w:p>
    <w:tbl>
      <w:tblPr>
        <w:tblStyle w:val="TableGrid"/>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2092"/>
      </w:tblGrid>
      <w:tr w:rsidR="00FB268D" w14:paraId="5BD1B314" w14:textId="77777777" w:rsidTr="005A7C1B">
        <w:tc>
          <w:tcPr>
            <w:tcW w:w="2126" w:type="dxa"/>
            <w:shd w:val="clear" w:color="auto" w:fill="D4E2E0" w:themeFill="accent5"/>
          </w:tcPr>
          <w:p w14:paraId="7151FE9B" w14:textId="14272D4C" w:rsidR="00FB268D" w:rsidRPr="00FB268D" w:rsidRDefault="00FB268D" w:rsidP="00FB268D">
            <w:pPr>
              <w:jc w:val="right"/>
              <w:rPr>
                <w:b/>
              </w:rPr>
            </w:pPr>
            <w:r w:rsidRPr="00FB268D">
              <w:rPr>
                <w:b/>
              </w:rPr>
              <w:t>Year</w:t>
            </w:r>
          </w:p>
        </w:tc>
        <w:tc>
          <w:tcPr>
            <w:tcW w:w="2188" w:type="dxa"/>
          </w:tcPr>
          <w:p w14:paraId="71A180A8" w14:textId="183D4300" w:rsidR="00FB268D" w:rsidRPr="00FB268D" w:rsidRDefault="00FB268D" w:rsidP="00FB268D">
            <w:pPr>
              <w:jc w:val="right"/>
              <w:rPr>
                <w:b/>
              </w:rPr>
            </w:pPr>
            <w:r w:rsidRPr="00FB268D">
              <w:rPr>
                <w:b/>
              </w:rPr>
              <w:t>$’000</w:t>
            </w:r>
          </w:p>
        </w:tc>
      </w:tr>
      <w:tr w:rsidR="00FB268D" w14:paraId="7897577A" w14:textId="77777777" w:rsidTr="005A7C1B">
        <w:tc>
          <w:tcPr>
            <w:tcW w:w="2126" w:type="dxa"/>
            <w:shd w:val="clear" w:color="auto" w:fill="D4E2E0" w:themeFill="accent5"/>
          </w:tcPr>
          <w:p w14:paraId="16CFDE76" w14:textId="23735D83" w:rsidR="00FB268D" w:rsidRDefault="000F3883" w:rsidP="00FB268D">
            <w:pPr>
              <w:jc w:val="right"/>
            </w:pPr>
            <w:r>
              <w:t>2</w:t>
            </w:r>
            <w:r w:rsidR="00FB268D">
              <w:t>001</w:t>
            </w:r>
          </w:p>
        </w:tc>
        <w:tc>
          <w:tcPr>
            <w:tcW w:w="2188" w:type="dxa"/>
          </w:tcPr>
          <w:p w14:paraId="3F960053" w14:textId="4607142D" w:rsidR="00FB268D" w:rsidRDefault="00FB268D" w:rsidP="00FB268D">
            <w:pPr>
              <w:jc w:val="right"/>
            </w:pPr>
            <w:r>
              <w:t>122,312</w:t>
            </w:r>
          </w:p>
        </w:tc>
      </w:tr>
      <w:tr w:rsidR="00FB268D" w14:paraId="18F28210" w14:textId="77777777" w:rsidTr="005A7C1B">
        <w:tc>
          <w:tcPr>
            <w:tcW w:w="2126" w:type="dxa"/>
            <w:shd w:val="clear" w:color="auto" w:fill="D4E2E0" w:themeFill="accent5"/>
          </w:tcPr>
          <w:p w14:paraId="6103CFAA" w14:textId="27475CBD" w:rsidR="00FB268D" w:rsidRDefault="000F3883" w:rsidP="00FB268D">
            <w:pPr>
              <w:jc w:val="right"/>
            </w:pPr>
            <w:r>
              <w:t>2</w:t>
            </w:r>
            <w:r w:rsidR="00FB268D">
              <w:t>002</w:t>
            </w:r>
          </w:p>
        </w:tc>
        <w:tc>
          <w:tcPr>
            <w:tcW w:w="2188" w:type="dxa"/>
          </w:tcPr>
          <w:p w14:paraId="6A429F9F" w14:textId="0423072D" w:rsidR="00FB268D" w:rsidRDefault="00FB268D" w:rsidP="00FB268D">
            <w:pPr>
              <w:jc w:val="right"/>
            </w:pPr>
            <w:r>
              <w:t>49,923</w:t>
            </w:r>
          </w:p>
        </w:tc>
      </w:tr>
      <w:tr w:rsidR="00FB268D" w14:paraId="4244BDDA" w14:textId="77777777" w:rsidTr="005A7C1B">
        <w:tc>
          <w:tcPr>
            <w:tcW w:w="2126" w:type="dxa"/>
            <w:shd w:val="clear" w:color="auto" w:fill="D4E2E0" w:themeFill="accent5"/>
          </w:tcPr>
          <w:p w14:paraId="2A74577C" w14:textId="3A465516" w:rsidR="00FB268D" w:rsidRDefault="000F3883" w:rsidP="00FB268D">
            <w:pPr>
              <w:jc w:val="right"/>
            </w:pPr>
            <w:r>
              <w:t>2</w:t>
            </w:r>
            <w:r w:rsidR="00FB268D">
              <w:t>003</w:t>
            </w:r>
          </w:p>
        </w:tc>
        <w:tc>
          <w:tcPr>
            <w:tcW w:w="2188" w:type="dxa"/>
          </w:tcPr>
          <w:p w14:paraId="4C4D0850" w14:textId="4ED6ED03" w:rsidR="00FB268D" w:rsidRDefault="00FB268D" w:rsidP="00FB268D">
            <w:pPr>
              <w:jc w:val="right"/>
            </w:pPr>
            <w:r>
              <w:t>31,717</w:t>
            </w:r>
          </w:p>
        </w:tc>
      </w:tr>
      <w:tr w:rsidR="00FB268D" w14:paraId="54E20B46" w14:textId="77777777" w:rsidTr="005A7C1B">
        <w:tc>
          <w:tcPr>
            <w:tcW w:w="2126" w:type="dxa"/>
            <w:shd w:val="clear" w:color="auto" w:fill="D4E2E0" w:themeFill="accent5"/>
          </w:tcPr>
          <w:p w14:paraId="62343766" w14:textId="6C208677" w:rsidR="00FB268D" w:rsidRDefault="000F3883" w:rsidP="00FB268D">
            <w:pPr>
              <w:jc w:val="right"/>
            </w:pPr>
            <w:r>
              <w:t>2</w:t>
            </w:r>
            <w:r w:rsidR="00FB268D">
              <w:t>004</w:t>
            </w:r>
          </w:p>
        </w:tc>
        <w:tc>
          <w:tcPr>
            <w:tcW w:w="2188" w:type="dxa"/>
          </w:tcPr>
          <w:p w14:paraId="083E30C8" w14:textId="51AC8E9C" w:rsidR="00FB268D" w:rsidRDefault="00FB268D" w:rsidP="00FB268D">
            <w:pPr>
              <w:jc w:val="right"/>
            </w:pPr>
            <w:r>
              <w:t>24,090</w:t>
            </w:r>
          </w:p>
        </w:tc>
      </w:tr>
      <w:tr w:rsidR="00FB268D" w14:paraId="0685DAA5" w14:textId="77777777" w:rsidTr="005A7C1B">
        <w:tc>
          <w:tcPr>
            <w:tcW w:w="2126" w:type="dxa"/>
            <w:shd w:val="clear" w:color="auto" w:fill="D4E2E0" w:themeFill="accent5"/>
          </w:tcPr>
          <w:p w14:paraId="7ED7531E" w14:textId="6A075AD9" w:rsidR="00FB268D" w:rsidRDefault="000F3883" w:rsidP="00FB268D">
            <w:pPr>
              <w:jc w:val="right"/>
            </w:pPr>
            <w:r>
              <w:t>2</w:t>
            </w:r>
            <w:r w:rsidR="00FB268D">
              <w:t>005</w:t>
            </w:r>
          </w:p>
        </w:tc>
        <w:tc>
          <w:tcPr>
            <w:tcW w:w="2188" w:type="dxa"/>
          </w:tcPr>
          <w:p w14:paraId="259CAC2C" w14:textId="63E7E8F0" w:rsidR="00FB268D" w:rsidRDefault="00FB268D" w:rsidP="00FB268D">
            <w:pPr>
              <w:jc w:val="right"/>
            </w:pPr>
            <w:r>
              <w:t>23,421</w:t>
            </w:r>
          </w:p>
        </w:tc>
      </w:tr>
      <w:tr w:rsidR="00FB268D" w14:paraId="5E024E10" w14:textId="77777777" w:rsidTr="005A7C1B">
        <w:tc>
          <w:tcPr>
            <w:tcW w:w="2126" w:type="dxa"/>
            <w:shd w:val="clear" w:color="auto" w:fill="D4E2E0" w:themeFill="accent5"/>
          </w:tcPr>
          <w:p w14:paraId="5F5040D1" w14:textId="0B62B5ED" w:rsidR="00FB268D" w:rsidRDefault="000F3883" w:rsidP="00FB268D">
            <w:pPr>
              <w:jc w:val="right"/>
            </w:pPr>
            <w:r>
              <w:t>2</w:t>
            </w:r>
            <w:r w:rsidR="00FB268D">
              <w:t>006</w:t>
            </w:r>
          </w:p>
        </w:tc>
        <w:tc>
          <w:tcPr>
            <w:tcW w:w="2188" w:type="dxa"/>
          </w:tcPr>
          <w:p w14:paraId="24D36CD1" w14:textId="52E0191A" w:rsidR="00FB268D" w:rsidRDefault="00FB268D" w:rsidP="00FB268D">
            <w:pPr>
              <w:jc w:val="right"/>
            </w:pPr>
            <w:r>
              <w:t>17,239</w:t>
            </w:r>
          </w:p>
        </w:tc>
      </w:tr>
      <w:tr w:rsidR="00FB268D" w14:paraId="7401306B" w14:textId="77777777" w:rsidTr="005A7C1B">
        <w:tc>
          <w:tcPr>
            <w:tcW w:w="2126" w:type="dxa"/>
            <w:shd w:val="clear" w:color="auto" w:fill="D4E2E0" w:themeFill="accent5"/>
          </w:tcPr>
          <w:p w14:paraId="5896ECE1" w14:textId="7E091B8C" w:rsidR="00FB268D" w:rsidRDefault="000F3883" w:rsidP="00FB268D">
            <w:pPr>
              <w:jc w:val="right"/>
            </w:pPr>
            <w:r>
              <w:t>2</w:t>
            </w:r>
            <w:r w:rsidR="00FB268D">
              <w:t>007</w:t>
            </w:r>
          </w:p>
        </w:tc>
        <w:tc>
          <w:tcPr>
            <w:tcW w:w="2188" w:type="dxa"/>
          </w:tcPr>
          <w:p w14:paraId="310A5239" w14:textId="7A2FD315" w:rsidR="00FB268D" w:rsidRDefault="00FB268D" w:rsidP="00FB268D">
            <w:pPr>
              <w:jc w:val="right"/>
            </w:pPr>
            <w:r>
              <w:t>15,883</w:t>
            </w:r>
          </w:p>
        </w:tc>
      </w:tr>
      <w:tr w:rsidR="00FB268D" w14:paraId="535A1F5E" w14:textId="77777777" w:rsidTr="005A7C1B">
        <w:tc>
          <w:tcPr>
            <w:tcW w:w="2126" w:type="dxa"/>
            <w:shd w:val="clear" w:color="auto" w:fill="D4E2E0" w:themeFill="accent5"/>
          </w:tcPr>
          <w:p w14:paraId="466B3959" w14:textId="52F58E0C" w:rsidR="00FB268D" w:rsidRDefault="000F3883" w:rsidP="00FB268D">
            <w:pPr>
              <w:jc w:val="right"/>
            </w:pPr>
            <w:r>
              <w:t>2</w:t>
            </w:r>
            <w:r w:rsidR="00FB268D">
              <w:t>008</w:t>
            </w:r>
          </w:p>
        </w:tc>
        <w:tc>
          <w:tcPr>
            <w:tcW w:w="2188" w:type="dxa"/>
          </w:tcPr>
          <w:p w14:paraId="1A83F4FC" w14:textId="17C1C843" w:rsidR="00FB268D" w:rsidRDefault="00FB268D" w:rsidP="00FB268D">
            <w:pPr>
              <w:jc w:val="right"/>
            </w:pPr>
            <w:r>
              <w:t>16,647</w:t>
            </w:r>
          </w:p>
        </w:tc>
      </w:tr>
      <w:tr w:rsidR="00FB268D" w14:paraId="7EDE8A21" w14:textId="77777777" w:rsidTr="005A7C1B">
        <w:tc>
          <w:tcPr>
            <w:tcW w:w="2126" w:type="dxa"/>
            <w:shd w:val="clear" w:color="auto" w:fill="D4E2E0" w:themeFill="accent5"/>
          </w:tcPr>
          <w:p w14:paraId="29489E7B" w14:textId="7B11DDAB" w:rsidR="00FB268D" w:rsidRDefault="000F3883" w:rsidP="00FB268D">
            <w:pPr>
              <w:jc w:val="right"/>
            </w:pPr>
            <w:r>
              <w:t>2</w:t>
            </w:r>
            <w:r w:rsidR="00FB268D">
              <w:t>009</w:t>
            </w:r>
          </w:p>
        </w:tc>
        <w:tc>
          <w:tcPr>
            <w:tcW w:w="2188" w:type="dxa"/>
          </w:tcPr>
          <w:p w14:paraId="61F493FF" w14:textId="002C80F2" w:rsidR="00FB268D" w:rsidRDefault="00FB268D" w:rsidP="00FB268D">
            <w:pPr>
              <w:jc w:val="right"/>
            </w:pPr>
            <w:r>
              <w:t>29,419</w:t>
            </w:r>
          </w:p>
        </w:tc>
      </w:tr>
      <w:tr w:rsidR="00FB268D" w14:paraId="4EBD8CDB" w14:textId="77777777" w:rsidTr="005A7C1B">
        <w:tc>
          <w:tcPr>
            <w:tcW w:w="2126" w:type="dxa"/>
            <w:shd w:val="clear" w:color="auto" w:fill="D4E2E0" w:themeFill="accent5"/>
          </w:tcPr>
          <w:p w14:paraId="04A7C359" w14:textId="696137B1" w:rsidR="00FB268D" w:rsidRDefault="000F3883" w:rsidP="00FB268D">
            <w:pPr>
              <w:jc w:val="right"/>
            </w:pPr>
            <w:r>
              <w:t>2</w:t>
            </w:r>
            <w:r w:rsidR="00FB268D">
              <w:t>010</w:t>
            </w:r>
          </w:p>
        </w:tc>
        <w:tc>
          <w:tcPr>
            <w:tcW w:w="2188" w:type="dxa"/>
          </w:tcPr>
          <w:p w14:paraId="32FDD412" w14:textId="465B65C8" w:rsidR="00FB268D" w:rsidRDefault="00FB268D" w:rsidP="00FB268D">
            <w:pPr>
              <w:jc w:val="right"/>
            </w:pPr>
            <w:r>
              <w:t>23,866</w:t>
            </w:r>
          </w:p>
        </w:tc>
      </w:tr>
      <w:tr w:rsidR="00FB268D" w14:paraId="710C7212" w14:textId="77777777" w:rsidTr="005A7C1B">
        <w:tc>
          <w:tcPr>
            <w:tcW w:w="2126" w:type="dxa"/>
            <w:shd w:val="clear" w:color="auto" w:fill="D4E2E0" w:themeFill="accent5"/>
          </w:tcPr>
          <w:p w14:paraId="699D1BF6" w14:textId="5EFC29D0" w:rsidR="00FB268D" w:rsidRDefault="000F3883" w:rsidP="00FB268D">
            <w:pPr>
              <w:jc w:val="right"/>
            </w:pPr>
            <w:r>
              <w:t>2</w:t>
            </w:r>
            <w:r w:rsidR="00FB268D">
              <w:t>011</w:t>
            </w:r>
          </w:p>
        </w:tc>
        <w:tc>
          <w:tcPr>
            <w:tcW w:w="2188" w:type="dxa"/>
          </w:tcPr>
          <w:p w14:paraId="4B46AA9F" w14:textId="3B5C8765" w:rsidR="00FB268D" w:rsidRDefault="00FB268D" w:rsidP="00FB268D">
            <w:pPr>
              <w:jc w:val="right"/>
            </w:pPr>
            <w:r>
              <w:t>20,871</w:t>
            </w:r>
          </w:p>
        </w:tc>
      </w:tr>
      <w:tr w:rsidR="00FB268D" w14:paraId="74FB4EB0" w14:textId="77777777" w:rsidTr="005A7C1B">
        <w:tc>
          <w:tcPr>
            <w:tcW w:w="2126" w:type="dxa"/>
            <w:shd w:val="clear" w:color="auto" w:fill="D4E2E0" w:themeFill="accent5"/>
          </w:tcPr>
          <w:p w14:paraId="6362F02B" w14:textId="5C9CCF19" w:rsidR="00FB268D" w:rsidRDefault="000F3883" w:rsidP="00FB268D">
            <w:pPr>
              <w:jc w:val="right"/>
            </w:pPr>
            <w:r>
              <w:t>2</w:t>
            </w:r>
            <w:r w:rsidR="00FB268D">
              <w:t>012</w:t>
            </w:r>
          </w:p>
        </w:tc>
        <w:tc>
          <w:tcPr>
            <w:tcW w:w="2188" w:type="dxa"/>
          </w:tcPr>
          <w:p w14:paraId="65A48E7D" w14:textId="67C2F878" w:rsidR="00FB268D" w:rsidRDefault="00FB268D" w:rsidP="00FB268D">
            <w:pPr>
              <w:jc w:val="right"/>
            </w:pPr>
            <w:r>
              <w:t>18,526</w:t>
            </w:r>
          </w:p>
        </w:tc>
      </w:tr>
      <w:tr w:rsidR="00FB268D" w14:paraId="0B63EE35" w14:textId="77777777" w:rsidTr="005A7C1B">
        <w:tc>
          <w:tcPr>
            <w:tcW w:w="2126" w:type="dxa"/>
            <w:shd w:val="clear" w:color="auto" w:fill="D4E2E0" w:themeFill="accent5"/>
          </w:tcPr>
          <w:p w14:paraId="16A223A2" w14:textId="5859391F" w:rsidR="00FB268D" w:rsidRDefault="000F3883" w:rsidP="00FB268D">
            <w:pPr>
              <w:jc w:val="right"/>
            </w:pPr>
            <w:r>
              <w:t>2</w:t>
            </w:r>
            <w:r w:rsidR="00FB268D">
              <w:t>013</w:t>
            </w:r>
          </w:p>
        </w:tc>
        <w:tc>
          <w:tcPr>
            <w:tcW w:w="2188" w:type="dxa"/>
          </w:tcPr>
          <w:p w14:paraId="653DB55F" w14:textId="3DC2F813" w:rsidR="00FB268D" w:rsidRDefault="00FB268D" w:rsidP="00FB268D">
            <w:pPr>
              <w:jc w:val="right"/>
            </w:pPr>
            <w:r>
              <w:t>16,724</w:t>
            </w:r>
          </w:p>
        </w:tc>
      </w:tr>
      <w:tr w:rsidR="00FB268D" w14:paraId="421E6D15" w14:textId="77777777" w:rsidTr="005A7C1B">
        <w:tc>
          <w:tcPr>
            <w:tcW w:w="2126" w:type="dxa"/>
            <w:shd w:val="clear" w:color="auto" w:fill="D4E2E0" w:themeFill="accent5"/>
          </w:tcPr>
          <w:p w14:paraId="0CFD2321" w14:textId="519BAAC0" w:rsidR="00FB268D" w:rsidRDefault="000F3883" w:rsidP="00FB268D">
            <w:pPr>
              <w:jc w:val="right"/>
            </w:pPr>
            <w:r>
              <w:t>2</w:t>
            </w:r>
            <w:r w:rsidR="00FB268D">
              <w:t>014</w:t>
            </w:r>
          </w:p>
        </w:tc>
        <w:tc>
          <w:tcPr>
            <w:tcW w:w="2188" w:type="dxa"/>
          </w:tcPr>
          <w:p w14:paraId="66395FD5" w14:textId="7BB3BAA1" w:rsidR="00FB268D" w:rsidRDefault="00FB268D" w:rsidP="00FB268D">
            <w:pPr>
              <w:jc w:val="right"/>
            </w:pPr>
            <w:r>
              <w:t>21,274</w:t>
            </w:r>
          </w:p>
        </w:tc>
      </w:tr>
      <w:tr w:rsidR="00FB268D" w14:paraId="6C6EE1B4" w14:textId="77777777" w:rsidTr="005A7C1B">
        <w:tc>
          <w:tcPr>
            <w:tcW w:w="2126" w:type="dxa"/>
            <w:shd w:val="clear" w:color="auto" w:fill="D4E2E0" w:themeFill="accent5"/>
          </w:tcPr>
          <w:p w14:paraId="6A39B5F6" w14:textId="7B82BBF0" w:rsidR="00FB268D" w:rsidRDefault="000F3883" w:rsidP="00FB268D">
            <w:pPr>
              <w:jc w:val="right"/>
            </w:pPr>
            <w:r>
              <w:t>2</w:t>
            </w:r>
            <w:r w:rsidR="00FB268D">
              <w:t>015</w:t>
            </w:r>
          </w:p>
        </w:tc>
        <w:tc>
          <w:tcPr>
            <w:tcW w:w="2188" w:type="dxa"/>
          </w:tcPr>
          <w:p w14:paraId="430686D1" w14:textId="390BA880" w:rsidR="00FB268D" w:rsidRDefault="00FB268D" w:rsidP="00FB268D">
            <w:pPr>
              <w:jc w:val="right"/>
            </w:pPr>
            <w:r>
              <w:t>18,002</w:t>
            </w:r>
          </w:p>
        </w:tc>
      </w:tr>
    </w:tbl>
    <w:p w14:paraId="1477EF3D" w14:textId="780B556E" w:rsidR="00FB268D" w:rsidRDefault="00FB268D" w:rsidP="00FB268D">
      <w:r>
        <w:br/>
        <w:t>The actuarial estimates from 2001 to 2005 provide for current known asbestos related claims.</w:t>
      </w:r>
    </w:p>
    <w:p w14:paraId="5821AA69" w14:textId="77777777" w:rsidR="00FB268D" w:rsidRDefault="00FB268D" w:rsidP="00FB268D">
      <w:r>
        <w:t>From 2005 the actuarial assessment makes allowance for current known asbestos related claims and for claims incurred but not reported claims. Prior to 2007 the estimates did not include provision for Non-HIH liabilities.</w:t>
      </w:r>
    </w:p>
    <w:p w14:paraId="1707A02F" w14:textId="5E39CD0B" w:rsidR="00FB268D" w:rsidRDefault="00FB268D" w:rsidP="00FB268D">
      <w:r>
        <w:t xml:space="preserve">In accordance with Accounting Standard </w:t>
      </w:r>
      <w:r w:rsidRPr="000F3883">
        <w:rPr>
          <w:i/>
        </w:rPr>
        <w:t>AASB 1023 General Insurance Contracts</w:t>
      </w:r>
      <w:r>
        <w:t xml:space="preserve"> the outstanding claims liability at 30 June 2015 was assessed at $18.002 million and a provision for this amount has been included in the financial statements (see note 27).</w:t>
      </w:r>
    </w:p>
    <w:p w14:paraId="7975ACA9" w14:textId="306DA245" w:rsidR="00FB268D" w:rsidRDefault="00FB268D" w:rsidP="00FB268D">
      <w:r>
        <w:t>The actuary's assessment of outstanding claims liability does not recognise that money may be recovered from HIH's liquidator.</w:t>
      </w:r>
    </w:p>
    <w:p w14:paraId="28B739B6" w14:textId="326DD930" w:rsidR="00FB268D" w:rsidRDefault="00FB268D" w:rsidP="00FB268D">
      <w:r>
        <w:t>For the purpose of addressing the outstanding claims liability, a surcharge was imposed on employers' insurance policies on previous years. From the 25 June 2008 the surcharge was discontinued. The revenue collected previously from the surcharge will be used to pay this liability.</w:t>
      </w:r>
    </w:p>
    <w:p w14:paraId="67C4F6F6" w14:textId="1CE66F07" w:rsidR="004401F3" w:rsidRDefault="004401F3" w:rsidP="004401F3">
      <w:pPr>
        <w:pStyle w:val="Heading2nonumber"/>
        <w:numPr>
          <w:ilvl w:val="0"/>
          <w:numId w:val="15"/>
        </w:numPr>
      </w:pPr>
      <w:bookmarkStart w:id="710" w:name="_Toc430091388"/>
      <w:r>
        <w:t>Commitments</w:t>
      </w:r>
      <w:bookmarkEnd w:id="7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1799"/>
        <w:gridCol w:w="283"/>
        <w:gridCol w:w="2003"/>
      </w:tblGrid>
      <w:tr w:rsidR="00F94EF0" w14:paraId="0CD7EBC8" w14:textId="77777777" w:rsidTr="00D57108">
        <w:tc>
          <w:tcPr>
            <w:tcW w:w="5070" w:type="dxa"/>
          </w:tcPr>
          <w:p w14:paraId="26F37DF7" w14:textId="77777777" w:rsidR="00F94EF0" w:rsidRDefault="00F94EF0" w:rsidP="00D57108"/>
        </w:tc>
        <w:tc>
          <w:tcPr>
            <w:tcW w:w="2126" w:type="dxa"/>
            <w:gridSpan w:val="2"/>
          </w:tcPr>
          <w:p w14:paraId="663435EF" w14:textId="77777777" w:rsidR="00F94EF0" w:rsidRDefault="00F94EF0" w:rsidP="00D57108">
            <w:pPr>
              <w:jc w:val="right"/>
            </w:pPr>
            <w:r>
              <w:t>2015</w:t>
            </w:r>
            <w:r>
              <w:br/>
              <w:t>$000</w:t>
            </w:r>
          </w:p>
        </w:tc>
        <w:tc>
          <w:tcPr>
            <w:tcW w:w="2046" w:type="dxa"/>
          </w:tcPr>
          <w:p w14:paraId="7C05FD6B" w14:textId="77777777" w:rsidR="00F94EF0" w:rsidRDefault="00F94EF0" w:rsidP="00D57108">
            <w:pPr>
              <w:jc w:val="right"/>
            </w:pPr>
            <w:r>
              <w:t>2014</w:t>
            </w:r>
            <w:r>
              <w:br/>
              <w:t>$000</w:t>
            </w:r>
          </w:p>
        </w:tc>
      </w:tr>
      <w:tr w:rsidR="00F94EF0" w14:paraId="696C3A6A" w14:textId="77777777" w:rsidTr="00F94EF0">
        <w:tc>
          <w:tcPr>
            <w:tcW w:w="6912" w:type="dxa"/>
            <w:gridSpan w:val="2"/>
          </w:tcPr>
          <w:p w14:paraId="527D1F83" w14:textId="2AE0B2E6" w:rsidR="00F94EF0" w:rsidRPr="00F94EF0" w:rsidRDefault="00F94EF0" w:rsidP="00F94EF0">
            <w:r w:rsidRPr="00F94EF0">
              <w:rPr>
                <w:b/>
              </w:rPr>
              <w:t>Other expenditure commitments</w:t>
            </w:r>
            <w:r>
              <w:rPr>
                <w:b/>
              </w:rPr>
              <w:br/>
            </w:r>
            <w:r>
              <w:t xml:space="preserve">Other </w:t>
            </w:r>
            <w:r w:rsidRPr="00F94EF0">
              <w:t>expenditure commitments including consultants and contracts for service at the end of the reporting period but not recognised as liabilities, are payable as follows:</w:t>
            </w:r>
          </w:p>
        </w:tc>
        <w:tc>
          <w:tcPr>
            <w:tcW w:w="284" w:type="dxa"/>
            <w:shd w:val="clear" w:color="auto" w:fill="FFFFFF" w:themeFill="background1"/>
          </w:tcPr>
          <w:p w14:paraId="252EC5D9" w14:textId="358F3703" w:rsidR="00F94EF0" w:rsidRDefault="00F94EF0" w:rsidP="00D57108">
            <w:pPr>
              <w:jc w:val="right"/>
            </w:pPr>
          </w:p>
        </w:tc>
        <w:tc>
          <w:tcPr>
            <w:tcW w:w="2046" w:type="dxa"/>
            <w:shd w:val="clear" w:color="auto" w:fill="FFFFFF" w:themeFill="background1"/>
          </w:tcPr>
          <w:p w14:paraId="0E68E6D5" w14:textId="523E4B3A" w:rsidR="00F94EF0" w:rsidRDefault="00F94EF0" w:rsidP="00D57108">
            <w:pPr>
              <w:jc w:val="right"/>
            </w:pPr>
          </w:p>
        </w:tc>
      </w:tr>
      <w:tr w:rsidR="00F94EF0" w14:paraId="78495047" w14:textId="77777777" w:rsidTr="00D57108">
        <w:tc>
          <w:tcPr>
            <w:tcW w:w="5070" w:type="dxa"/>
          </w:tcPr>
          <w:p w14:paraId="7809E7D2" w14:textId="093BEDB0" w:rsidR="00F94EF0" w:rsidRPr="00802B19" w:rsidRDefault="00F94EF0" w:rsidP="00D57108">
            <w:r>
              <w:t>Within 1 year</w:t>
            </w:r>
          </w:p>
        </w:tc>
        <w:tc>
          <w:tcPr>
            <w:tcW w:w="2126" w:type="dxa"/>
            <w:gridSpan w:val="2"/>
            <w:shd w:val="clear" w:color="auto" w:fill="F5EDC1" w:themeFill="accent4"/>
          </w:tcPr>
          <w:p w14:paraId="2F0F5209" w14:textId="5B1A2688" w:rsidR="00F94EF0" w:rsidRDefault="00F94EF0" w:rsidP="00D57108">
            <w:pPr>
              <w:jc w:val="right"/>
            </w:pPr>
            <w:r>
              <w:t>523</w:t>
            </w:r>
          </w:p>
        </w:tc>
        <w:tc>
          <w:tcPr>
            <w:tcW w:w="2046" w:type="dxa"/>
            <w:shd w:val="clear" w:color="auto" w:fill="D4E2E0" w:themeFill="accent5"/>
          </w:tcPr>
          <w:p w14:paraId="79CAE893" w14:textId="15450A56" w:rsidR="00F94EF0" w:rsidRDefault="00F94EF0" w:rsidP="00D57108">
            <w:pPr>
              <w:jc w:val="right"/>
            </w:pPr>
            <w:r>
              <w:t>175</w:t>
            </w:r>
          </w:p>
        </w:tc>
      </w:tr>
      <w:tr w:rsidR="00F94EF0" w:rsidRPr="00802B19" w14:paraId="4603A574" w14:textId="77777777" w:rsidTr="00D57108">
        <w:tc>
          <w:tcPr>
            <w:tcW w:w="5070" w:type="dxa"/>
          </w:tcPr>
          <w:p w14:paraId="2F999DD1" w14:textId="77777777" w:rsidR="00F94EF0" w:rsidRDefault="00F94EF0" w:rsidP="00D57108"/>
        </w:tc>
        <w:tc>
          <w:tcPr>
            <w:tcW w:w="2126" w:type="dxa"/>
            <w:gridSpan w:val="2"/>
            <w:tcBorders>
              <w:bottom w:val="single" w:sz="4" w:space="0" w:color="auto"/>
            </w:tcBorders>
            <w:shd w:val="clear" w:color="auto" w:fill="F5EDC1" w:themeFill="accent4"/>
          </w:tcPr>
          <w:p w14:paraId="334835AA" w14:textId="14AA35B9" w:rsidR="00F94EF0" w:rsidRPr="00F94EF0" w:rsidRDefault="00F94EF0" w:rsidP="00D57108">
            <w:pPr>
              <w:jc w:val="right"/>
              <w:rPr>
                <w:b/>
              </w:rPr>
            </w:pPr>
            <w:r w:rsidRPr="00F94EF0">
              <w:rPr>
                <w:b/>
              </w:rPr>
              <w:t>523</w:t>
            </w:r>
          </w:p>
        </w:tc>
        <w:tc>
          <w:tcPr>
            <w:tcW w:w="2046" w:type="dxa"/>
            <w:tcBorders>
              <w:bottom w:val="single" w:sz="4" w:space="0" w:color="auto"/>
            </w:tcBorders>
            <w:shd w:val="clear" w:color="auto" w:fill="D4E2E0" w:themeFill="accent5"/>
          </w:tcPr>
          <w:p w14:paraId="743F9352" w14:textId="60DBC1B0" w:rsidR="00F94EF0" w:rsidRPr="00F94EF0" w:rsidRDefault="00F94EF0" w:rsidP="00D57108">
            <w:pPr>
              <w:jc w:val="right"/>
              <w:rPr>
                <w:b/>
              </w:rPr>
            </w:pPr>
            <w:r w:rsidRPr="00F94EF0">
              <w:rPr>
                <w:b/>
              </w:rPr>
              <w:t>175</w:t>
            </w:r>
          </w:p>
        </w:tc>
      </w:tr>
    </w:tbl>
    <w:p w14:paraId="7E7656A2" w14:textId="77777777" w:rsidR="004401F3" w:rsidRDefault="004401F3" w:rsidP="004401F3">
      <w:pPr>
        <w:pStyle w:val="Heading2nonumber"/>
        <w:ind w:left="360"/>
      </w:pPr>
    </w:p>
    <w:p w14:paraId="3DFA1D3C" w14:textId="18419CB6" w:rsidR="00F94EF0" w:rsidRDefault="00F94EF0" w:rsidP="00F94EF0">
      <w:pPr>
        <w:pStyle w:val="Heading2nonumber"/>
        <w:numPr>
          <w:ilvl w:val="0"/>
          <w:numId w:val="15"/>
        </w:numPr>
      </w:pPr>
      <w:bookmarkStart w:id="711" w:name="_Toc430091389"/>
      <w:r>
        <w:t>Contingent liabilities and contingent assets</w:t>
      </w:r>
      <w:bookmarkEnd w:id="7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1804"/>
        <w:gridCol w:w="283"/>
        <w:gridCol w:w="2003"/>
      </w:tblGrid>
      <w:tr w:rsidR="00F94EF0" w14:paraId="7AC55C15" w14:textId="77777777" w:rsidTr="00D57108">
        <w:tc>
          <w:tcPr>
            <w:tcW w:w="5070" w:type="dxa"/>
          </w:tcPr>
          <w:p w14:paraId="2825B900" w14:textId="77777777" w:rsidR="00F94EF0" w:rsidRDefault="00F94EF0" w:rsidP="00D57108"/>
        </w:tc>
        <w:tc>
          <w:tcPr>
            <w:tcW w:w="2126" w:type="dxa"/>
            <w:gridSpan w:val="2"/>
          </w:tcPr>
          <w:p w14:paraId="4A370865" w14:textId="77777777" w:rsidR="00F94EF0" w:rsidRDefault="00F94EF0" w:rsidP="00D57108">
            <w:pPr>
              <w:jc w:val="right"/>
            </w:pPr>
            <w:r>
              <w:t>2015</w:t>
            </w:r>
            <w:r>
              <w:br/>
              <w:t>$000</w:t>
            </w:r>
          </w:p>
        </w:tc>
        <w:tc>
          <w:tcPr>
            <w:tcW w:w="2046" w:type="dxa"/>
          </w:tcPr>
          <w:p w14:paraId="3C49EAE6" w14:textId="77777777" w:rsidR="00F94EF0" w:rsidRDefault="00F94EF0" w:rsidP="00D57108">
            <w:pPr>
              <w:jc w:val="right"/>
            </w:pPr>
            <w:r>
              <w:t>2014</w:t>
            </w:r>
            <w:r>
              <w:br/>
              <w:t>$000</w:t>
            </w:r>
          </w:p>
        </w:tc>
      </w:tr>
      <w:tr w:rsidR="00F94EF0" w14:paraId="57FCA975" w14:textId="77777777" w:rsidTr="00D57108">
        <w:tc>
          <w:tcPr>
            <w:tcW w:w="6912" w:type="dxa"/>
            <w:gridSpan w:val="2"/>
          </w:tcPr>
          <w:p w14:paraId="006A8C5E" w14:textId="509D66B8" w:rsidR="00F94EF0" w:rsidRPr="00F94EF0" w:rsidRDefault="00F94EF0" w:rsidP="00F94EF0">
            <w:r>
              <w:rPr>
                <w:b/>
              </w:rPr>
              <w:t>Contingent Liabilities</w:t>
            </w:r>
            <w:r>
              <w:rPr>
                <w:b/>
              </w:rPr>
              <w:br/>
            </w:r>
            <w:r>
              <w:t>At 30 June 2015 there was a ongoing common law workers compensation claim in progress relating to a negligent employer whose insurer declined indemnity. The Act provides for the WorkCover WA General Account to meet the cost of any payment due to the worker if the liable employer cannot pay.  Whilst a final settlement value is unknown, WorkCover WA's insurance excess liability has been provided for in the uninsured claims provision.</w:t>
            </w:r>
          </w:p>
        </w:tc>
        <w:tc>
          <w:tcPr>
            <w:tcW w:w="284" w:type="dxa"/>
            <w:shd w:val="clear" w:color="auto" w:fill="FFFFFF" w:themeFill="background1"/>
          </w:tcPr>
          <w:p w14:paraId="1297937F" w14:textId="77777777" w:rsidR="00F94EF0" w:rsidRDefault="00F94EF0" w:rsidP="00D57108">
            <w:pPr>
              <w:jc w:val="right"/>
            </w:pPr>
          </w:p>
        </w:tc>
        <w:tc>
          <w:tcPr>
            <w:tcW w:w="2046" w:type="dxa"/>
            <w:shd w:val="clear" w:color="auto" w:fill="FFFFFF" w:themeFill="background1"/>
          </w:tcPr>
          <w:p w14:paraId="5C021C18" w14:textId="77777777" w:rsidR="00F94EF0" w:rsidRDefault="00F94EF0" w:rsidP="00D57108">
            <w:pPr>
              <w:jc w:val="right"/>
            </w:pPr>
          </w:p>
        </w:tc>
      </w:tr>
      <w:tr w:rsidR="00F94EF0" w14:paraId="20CDDABD" w14:textId="77777777" w:rsidTr="00D57108">
        <w:tc>
          <w:tcPr>
            <w:tcW w:w="5070" w:type="dxa"/>
          </w:tcPr>
          <w:p w14:paraId="12FDE2D8" w14:textId="417A83F9" w:rsidR="00F94EF0" w:rsidRPr="00802B19" w:rsidRDefault="00F94EF0" w:rsidP="00D57108"/>
        </w:tc>
        <w:tc>
          <w:tcPr>
            <w:tcW w:w="2126" w:type="dxa"/>
            <w:gridSpan w:val="2"/>
            <w:shd w:val="clear" w:color="auto" w:fill="F5EDC1" w:themeFill="accent4"/>
          </w:tcPr>
          <w:p w14:paraId="30F43D2E" w14:textId="093E5DB9" w:rsidR="00F94EF0" w:rsidRDefault="00F94EF0" w:rsidP="00D57108">
            <w:pPr>
              <w:jc w:val="right"/>
            </w:pPr>
            <w:r>
              <w:t>-</w:t>
            </w:r>
          </w:p>
        </w:tc>
        <w:tc>
          <w:tcPr>
            <w:tcW w:w="2046" w:type="dxa"/>
            <w:shd w:val="clear" w:color="auto" w:fill="D4E2E0" w:themeFill="accent5"/>
          </w:tcPr>
          <w:p w14:paraId="24DBD6D8" w14:textId="27F73253" w:rsidR="00F94EF0" w:rsidRDefault="00F94EF0" w:rsidP="00D57108">
            <w:pPr>
              <w:jc w:val="right"/>
            </w:pPr>
            <w:r>
              <w:t>-</w:t>
            </w:r>
          </w:p>
        </w:tc>
      </w:tr>
      <w:tr w:rsidR="00F94EF0" w:rsidRPr="00F94EF0" w14:paraId="18BE9668" w14:textId="77777777" w:rsidTr="00D57108">
        <w:tc>
          <w:tcPr>
            <w:tcW w:w="5070" w:type="dxa"/>
          </w:tcPr>
          <w:p w14:paraId="144D35F7" w14:textId="77777777" w:rsidR="00F94EF0" w:rsidRDefault="00F94EF0" w:rsidP="00D57108"/>
        </w:tc>
        <w:tc>
          <w:tcPr>
            <w:tcW w:w="2126" w:type="dxa"/>
            <w:gridSpan w:val="2"/>
            <w:tcBorders>
              <w:bottom w:val="single" w:sz="4" w:space="0" w:color="auto"/>
            </w:tcBorders>
            <w:shd w:val="clear" w:color="auto" w:fill="F5EDC1" w:themeFill="accent4"/>
          </w:tcPr>
          <w:p w14:paraId="711C0C22" w14:textId="636F467C" w:rsidR="00F94EF0" w:rsidRPr="00F94EF0" w:rsidRDefault="00F94EF0" w:rsidP="00D57108">
            <w:pPr>
              <w:jc w:val="right"/>
              <w:rPr>
                <w:b/>
              </w:rPr>
            </w:pPr>
            <w:r>
              <w:rPr>
                <w:b/>
              </w:rPr>
              <w:t>-</w:t>
            </w:r>
          </w:p>
        </w:tc>
        <w:tc>
          <w:tcPr>
            <w:tcW w:w="2046" w:type="dxa"/>
            <w:tcBorders>
              <w:bottom w:val="single" w:sz="4" w:space="0" w:color="auto"/>
            </w:tcBorders>
            <w:shd w:val="clear" w:color="auto" w:fill="D4E2E0" w:themeFill="accent5"/>
          </w:tcPr>
          <w:p w14:paraId="5C0A7886" w14:textId="186BE36B" w:rsidR="00F94EF0" w:rsidRPr="00F94EF0" w:rsidRDefault="00F94EF0" w:rsidP="00D57108">
            <w:pPr>
              <w:jc w:val="right"/>
              <w:rPr>
                <w:b/>
              </w:rPr>
            </w:pPr>
            <w:r>
              <w:rPr>
                <w:b/>
              </w:rPr>
              <w:t>-</w:t>
            </w:r>
          </w:p>
        </w:tc>
      </w:tr>
      <w:tr w:rsidR="00F94EF0" w14:paraId="26453559" w14:textId="77777777" w:rsidTr="00D57108">
        <w:tc>
          <w:tcPr>
            <w:tcW w:w="5070" w:type="dxa"/>
          </w:tcPr>
          <w:p w14:paraId="6FEA21D5" w14:textId="77777777" w:rsidR="00F94EF0" w:rsidRDefault="00F94EF0" w:rsidP="00D57108"/>
        </w:tc>
        <w:tc>
          <w:tcPr>
            <w:tcW w:w="2126" w:type="dxa"/>
            <w:gridSpan w:val="2"/>
          </w:tcPr>
          <w:p w14:paraId="0420E583" w14:textId="77777777" w:rsidR="00F94EF0" w:rsidRDefault="00F94EF0" w:rsidP="00D57108">
            <w:pPr>
              <w:jc w:val="right"/>
            </w:pPr>
            <w:r>
              <w:t>2015</w:t>
            </w:r>
            <w:r>
              <w:br/>
              <w:t>$000</w:t>
            </w:r>
          </w:p>
        </w:tc>
        <w:tc>
          <w:tcPr>
            <w:tcW w:w="2046" w:type="dxa"/>
          </w:tcPr>
          <w:p w14:paraId="7D11931A" w14:textId="77777777" w:rsidR="00F94EF0" w:rsidRDefault="00F94EF0" w:rsidP="00D57108">
            <w:pPr>
              <w:jc w:val="right"/>
            </w:pPr>
            <w:r>
              <w:t>2014</w:t>
            </w:r>
            <w:r>
              <w:br/>
              <w:t>$000</w:t>
            </w:r>
          </w:p>
        </w:tc>
      </w:tr>
      <w:tr w:rsidR="00F94EF0" w14:paraId="2B190878" w14:textId="77777777" w:rsidTr="00D57108">
        <w:tc>
          <w:tcPr>
            <w:tcW w:w="6912" w:type="dxa"/>
            <w:gridSpan w:val="2"/>
          </w:tcPr>
          <w:p w14:paraId="481C5632" w14:textId="1E37D7E0" w:rsidR="00F94EF0" w:rsidRPr="00F94EF0" w:rsidRDefault="00F94EF0" w:rsidP="00F94EF0">
            <w:r>
              <w:rPr>
                <w:b/>
              </w:rPr>
              <w:t>Contingent Assets</w:t>
            </w:r>
            <w:r>
              <w:rPr>
                <w:b/>
              </w:rPr>
              <w:br/>
            </w:r>
            <w:r>
              <w:t>There were no contingent assets in existence at 30 June 2015 and up to the date of this report.</w:t>
            </w:r>
          </w:p>
        </w:tc>
        <w:tc>
          <w:tcPr>
            <w:tcW w:w="284" w:type="dxa"/>
            <w:shd w:val="clear" w:color="auto" w:fill="FFFFFF" w:themeFill="background1"/>
          </w:tcPr>
          <w:p w14:paraId="0223A538" w14:textId="77777777" w:rsidR="00F94EF0" w:rsidRDefault="00F94EF0" w:rsidP="00D57108">
            <w:pPr>
              <w:jc w:val="right"/>
            </w:pPr>
          </w:p>
        </w:tc>
        <w:tc>
          <w:tcPr>
            <w:tcW w:w="2046" w:type="dxa"/>
            <w:shd w:val="clear" w:color="auto" w:fill="FFFFFF" w:themeFill="background1"/>
          </w:tcPr>
          <w:p w14:paraId="2C85FBC9" w14:textId="77777777" w:rsidR="00F94EF0" w:rsidRDefault="00F94EF0" w:rsidP="00D57108">
            <w:pPr>
              <w:jc w:val="right"/>
            </w:pPr>
          </w:p>
        </w:tc>
      </w:tr>
      <w:tr w:rsidR="00F94EF0" w14:paraId="13ADEBD2" w14:textId="77777777" w:rsidTr="00D57108">
        <w:tc>
          <w:tcPr>
            <w:tcW w:w="5070" w:type="dxa"/>
          </w:tcPr>
          <w:p w14:paraId="7A66A1C8" w14:textId="77777777" w:rsidR="00F94EF0" w:rsidRPr="00802B19" w:rsidRDefault="00F94EF0" w:rsidP="00D57108"/>
        </w:tc>
        <w:tc>
          <w:tcPr>
            <w:tcW w:w="2126" w:type="dxa"/>
            <w:gridSpan w:val="2"/>
            <w:shd w:val="clear" w:color="auto" w:fill="F5EDC1" w:themeFill="accent4"/>
          </w:tcPr>
          <w:p w14:paraId="4E596CB7" w14:textId="77777777" w:rsidR="00F94EF0" w:rsidRDefault="00F94EF0" w:rsidP="00D57108">
            <w:pPr>
              <w:jc w:val="right"/>
            </w:pPr>
            <w:r>
              <w:t>-</w:t>
            </w:r>
          </w:p>
        </w:tc>
        <w:tc>
          <w:tcPr>
            <w:tcW w:w="2046" w:type="dxa"/>
            <w:shd w:val="clear" w:color="auto" w:fill="D4E2E0" w:themeFill="accent5"/>
          </w:tcPr>
          <w:p w14:paraId="57AC9A72" w14:textId="77777777" w:rsidR="00F94EF0" w:rsidRDefault="00F94EF0" w:rsidP="00D57108">
            <w:pPr>
              <w:jc w:val="right"/>
            </w:pPr>
            <w:r>
              <w:t>-</w:t>
            </w:r>
          </w:p>
        </w:tc>
      </w:tr>
      <w:tr w:rsidR="00F94EF0" w:rsidRPr="00F94EF0" w14:paraId="2E20FACB" w14:textId="77777777" w:rsidTr="00D57108">
        <w:tc>
          <w:tcPr>
            <w:tcW w:w="5070" w:type="dxa"/>
          </w:tcPr>
          <w:p w14:paraId="123C9A0E" w14:textId="77777777" w:rsidR="00F94EF0" w:rsidRDefault="00F94EF0" w:rsidP="00D57108"/>
        </w:tc>
        <w:tc>
          <w:tcPr>
            <w:tcW w:w="2126" w:type="dxa"/>
            <w:gridSpan w:val="2"/>
            <w:tcBorders>
              <w:bottom w:val="single" w:sz="4" w:space="0" w:color="auto"/>
            </w:tcBorders>
            <w:shd w:val="clear" w:color="auto" w:fill="F5EDC1" w:themeFill="accent4"/>
          </w:tcPr>
          <w:p w14:paraId="39EEB87E" w14:textId="77777777" w:rsidR="00F94EF0" w:rsidRPr="00F94EF0" w:rsidRDefault="00F94EF0" w:rsidP="00D57108">
            <w:pPr>
              <w:jc w:val="right"/>
              <w:rPr>
                <w:b/>
              </w:rPr>
            </w:pPr>
            <w:r>
              <w:rPr>
                <w:b/>
              </w:rPr>
              <w:t>-</w:t>
            </w:r>
          </w:p>
        </w:tc>
        <w:tc>
          <w:tcPr>
            <w:tcW w:w="2046" w:type="dxa"/>
            <w:tcBorders>
              <w:bottom w:val="single" w:sz="4" w:space="0" w:color="auto"/>
            </w:tcBorders>
            <w:shd w:val="clear" w:color="auto" w:fill="D4E2E0" w:themeFill="accent5"/>
          </w:tcPr>
          <w:p w14:paraId="16289676" w14:textId="77777777" w:rsidR="00F94EF0" w:rsidRPr="00F94EF0" w:rsidRDefault="00F94EF0" w:rsidP="00D57108">
            <w:pPr>
              <w:jc w:val="right"/>
              <w:rPr>
                <w:b/>
              </w:rPr>
            </w:pPr>
            <w:r>
              <w:rPr>
                <w:b/>
              </w:rPr>
              <w:t>-</w:t>
            </w:r>
          </w:p>
        </w:tc>
      </w:tr>
    </w:tbl>
    <w:p w14:paraId="2B207BFF" w14:textId="5D4C9D7E" w:rsidR="00F94EF0" w:rsidRDefault="00F94EF0" w:rsidP="00F94EF0">
      <w:pPr>
        <w:pStyle w:val="Heading2nonumber"/>
        <w:numPr>
          <w:ilvl w:val="0"/>
          <w:numId w:val="15"/>
        </w:numPr>
      </w:pPr>
      <w:bookmarkStart w:id="712" w:name="_Toc430091390"/>
      <w:r>
        <w:t>Events occurring after the end of the reporting period</w:t>
      </w:r>
      <w:bookmarkEnd w:id="712"/>
    </w:p>
    <w:p w14:paraId="5F42DFCF" w14:textId="432360D2" w:rsidR="00F94EF0" w:rsidRDefault="00F94EF0" w:rsidP="00F94EF0">
      <w:r>
        <w:t>There were no known events occurring after the end of the reporting period and up to the date of this report.</w:t>
      </w:r>
    </w:p>
    <w:p w14:paraId="3F462564" w14:textId="77777777" w:rsidR="00F94EF0" w:rsidRDefault="00F94EF0">
      <w:pPr>
        <w:keepLines w:val="0"/>
        <w:spacing w:after="0" w:line="240" w:lineRule="auto"/>
      </w:pPr>
      <w:r>
        <w:br w:type="page"/>
      </w:r>
    </w:p>
    <w:p w14:paraId="72B27445" w14:textId="1CFEA16E" w:rsidR="00F94EF0" w:rsidRDefault="00F94EF0" w:rsidP="00F94EF0">
      <w:pPr>
        <w:pStyle w:val="Heading2nonumber"/>
        <w:numPr>
          <w:ilvl w:val="0"/>
          <w:numId w:val="15"/>
        </w:numPr>
      </w:pPr>
      <w:bookmarkStart w:id="713" w:name="_Toc430091391"/>
      <w:r>
        <w:t>Explanatory statement</w:t>
      </w:r>
      <w:bookmarkEnd w:id="713"/>
    </w:p>
    <w:p w14:paraId="5F67679B" w14:textId="0EE45350" w:rsidR="00F94EF0" w:rsidRDefault="00D1531B" w:rsidP="00D1531B">
      <w:r>
        <w:t xml:space="preserve">Significant variations between estimates and actual results for income and expense as presented in the financial statement titled </w:t>
      </w:r>
      <w:r w:rsidR="009D6D14">
        <w:t>‘</w:t>
      </w:r>
      <w:r>
        <w:t>Statement of Comprehensive Income' are shown below. Significant variations are considered to be those greater than10% and $200,000.</w:t>
      </w:r>
    </w:p>
    <w:p w14:paraId="628E5952" w14:textId="10812F26" w:rsidR="00F94EF0" w:rsidRPr="00D1531B" w:rsidRDefault="00D1531B" w:rsidP="00D1531B">
      <w:pPr>
        <w:rPr>
          <w:b/>
        </w:rPr>
      </w:pPr>
      <w:r w:rsidRPr="00D1531B">
        <w:rPr>
          <w:b/>
        </w:rPr>
        <w:t>Significant variances between estimate and actual for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9"/>
        <w:gridCol w:w="1777"/>
        <w:gridCol w:w="1729"/>
        <w:gridCol w:w="1621"/>
      </w:tblGrid>
      <w:tr w:rsidR="00D1531B" w14:paraId="5C9F7DF7" w14:textId="3882FF57" w:rsidTr="00D1531B">
        <w:tc>
          <w:tcPr>
            <w:tcW w:w="4008" w:type="dxa"/>
          </w:tcPr>
          <w:p w14:paraId="1A61C6AE" w14:textId="77777777" w:rsidR="00D1531B" w:rsidRDefault="00D1531B" w:rsidP="00D57108"/>
        </w:tc>
        <w:tc>
          <w:tcPr>
            <w:tcW w:w="1825" w:type="dxa"/>
          </w:tcPr>
          <w:p w14:paraId="340FB570" w14:textId="35319212" w:rsidR="00D1531B" w:rsidRDefault="00D1531B" w:rsidP="00D57108">
            <w:pPr>
              <w:jc w:val="right"/>
            </w:pPr>
            <w:r>
              <w:t>2015</w:t>
            </w:r>
            <w:r>
              <w:br/>
              <w:t>Actual</w:t>
            </w:r>
            <w:r>
              <w:br/>
              <w:t>$000</w:t>
            </w:r>
          </w:p>
        </w:tc>
        <w:tc>
          <w:tcPr>
            <w:tcW w:w="1762" w:type="dxa"/>
          </w:tcPr>
          <w:p w14:paraId="59B05451" w14:textId="0B3CE1F7" w:rsidR="00D1531B" w:rsidRDefault="00D1531B" w:rsidP="00D1531B">
            <w:pPr>
              <w:jc w:val="right"/>
            </w:pPr>
            <w:r>
              <w:t>2015</w:t>
            </w:r>
            <w:r>
              <w:br/>
              <w:t>Estimate</w:t>
            </w:r>
            <w:r>
              <w:br/>
              <w:t>$000</w:t>
            </w:r>
          </w:p>
        </w:tc>
        <w:tc>
          <w:tcPr>
            <w:tcW w:w="1647" w:type="dxa"/>
            <w:shd w:val="clear" w:color="auto" w:fill="FFFFFF" w:themeFill="background1"/>
          </w:tcPr>
          <w:p w14:paraId="148A8147" w14:textId="1A43BAF1" w:rsidR="00D1531B" w:rsidRDefault="00D1531B" w:rsidP="00D57108">
            <w:pPr>
              <w:jc w:val="right"/>
            </w:pPr>
            <w:r>
              <w:br/>
              <w:t>Variance</w:t>
            </w:r>
            <w:r>
              <w:br/>
              <w:t>$000</w:t>
            </w:r>
          </w:p>
        </w:tc>
      </w:tr>
      <w:tr w:rsidR="00D1531B" w14:paraId="726D0ED8" w14:textId="208E3E03" w:rsidTr="00D1531B">
        <w:tc>
          <w:tcPr>
            <w:tcW w:w="4008" w:type="dxa"/>
            <w:shd w:val="clear" w:color="auto" w:fill="FFFFFF" w:themeFill="background1"/>
          </w:tcPr>
          <w:p w14:paraId="6DB06510" w14:textId="39B5873D" w:rsidR="00D1531B" w:rsidRPr="00D1531B" w:rsidRDefault="00D1531B" w:rsidP="00D57108">
            <w:pPr>
              <w:rPr>
                <w:i/>
              </w:rPr>
            </w:pPr>
            <w:r w:rsidRPr="00D1531B">
              <w:rPr>
                <w:i/>
              </w:rPr>
              <w:t>Income</w:t>
            </w:r>
          </w:p>
        </w:tc>
        <w:tc>
          <w:tcPr>
            <w:tcW w:w="1825" w:type="dxa"/>
            <w:shd w:val="clear" w:color="auto" w:fill="FFFFFF" w:themeFill="background1"/>
          </w:tcPr>
          <w:p w14:paraId="23220C14" w14:textId="77777777" w:rsidR="00D1531B" w:rsidRPr="00D1531B" w:rsidRDefault="00D1531B" w:rsidP="00D57108">
            <w:pPr>
              <w:jc w:val="right"/>
              <w:rPr>
                <w:i/>
              </w:rPr>
            </w:pPr>
          </w:p>
        </w:tc>
        <w:tc>
          <w:tcPr>
            <w:tcW w:w="1762" w:type="dxa"/>
            <w:shd w:val="clear" w:color="auto" w:fill="FFFFFF" w:themeFill="background1"/>
          </w:tcPr>
          <w:p w14:paraId="6C361914" w14:textId="77777777" w:rsidR="00D1531B" w:rsidRPr="00D1531B" w:rsidRDefault="00D1531B" w:rsidP="00D57108">
            <w:pPr>
              <w:jc w:val="right"/>
              <w:rPr>
                <w:i/>
              </w:rPr>
            </w:pPr>
          </w:p>
        </w:tc>
        <w:tc>
          <w:tcPr>
            <w:tcW w:w="1647" w:type="dxa"/>
            <w:shd w:val="clear" w:color="auto" w:fill="FFFFFF" w:themeFill="background1"/>
          </w:tcPr>
          <w:p w14:paraId="0BEDBBEE" w14:textId="77777777" w:rsidR="00D1531B" w:rsidRDefault="00D1531B" w:rsidP="00D57108">
            <w:pPr>
              <w:jc w:val="right"/>
            </w:pPr>
          </w:p>
        </w:tc>
      </w:tr>
      <w:tr w:rsidR="00D1531B" w14:paraId="76C59DE1" w14:textId="3A4F4DD6" w:rsidTr="00D1531B">
        <w:tc>
          <w:tcPr>
            <w:tcW w:w="4008" w:type="dxa"/>
          </w:tcPr>
          <w:p w14:paraId="5CDF7AF7" w14:textId="04120615" w:rsidR="00D1531B" w:rsidRPr="00802B19" w:rsidRDefault="00D1531B" w:rsidP="00D57108">
            <w:r>
              <w:t>Interest revenue</w:t>
            </w:r>
          </w:p>
        </w:tc>
        <w:tc>
          <w:tcPr>
            <w:tcW w:w="1825" w:type="dxa"/>
            <w:shd w:val="clear" w:color="auto" w:fill="F5EDC1" w:themeFill="accent4"/>
          </w:tcPr>
          <w:p w14:paraId="047D315F" w14:textId="427FFBB7" w:rsidR="00D1531B" w:rsidRDefault="00D1531B" w:rsidP="00D57108">
            <w:pPr>
              <w:jc w:val="right"/>
            </w:pPr>
            <w:r>
              <w:t>2,763</w:t>
            </w:r>
          </w:p>
        </w:tc>
        <w:tc>
          <w:tcPr>
            <w:tcW w:w="1762" w:type="dxa"/>
            <w:shd w:val="clear" w:color="auto" w:fill="D4E2E0" w:themeFill="accent5"/>
          </w:tcPr>
          <w:p w14:paraId="51DBC29B" w14:textId="42E87C23" w:rsidR="00D1531B" w:rsidRDefault="00D1531B" w:rsidP="00D57108">
            <w:pPr>
              <w:jc w:val="right"/>
            </w:pPr>
            <w:r>
              <w:t>2,512</w:t>
            </w:r>
          </w:p>
        </w:tc>
        <w:tc>
          <w:tcPr>
            <w:tcW w:w="1647" w:type="dxa"/>
            <w:shd w:val="clear" w:color="auto" w:fill="FFFFFF" w:themeFill="background1"/>
          </w:tcPr>
          <w:p w14:paraId="0F69E350" w14:textId="6BEF30B1" w:rsidR="00D1531B" w:rsidRDefault="00D1531B" w:rsidP="00D57108">
            <w:pPr>
              <w:jc w:val="right"/>
            </w:pPr>
            <w:r>
              <w:t>251</w:t>
            </w:r>
          </w:p>
        </w:tc>
      </w:tr>
      <w:tr w:rsidR="00D1531B" w:rsidRPr="00802B19" w14:paraId="6B7F5135" w14:textId="6C421BFF" w:rsidTr="00D1531B">
        <w:tc>
          <w:tcPr>
            <w:tcW w:w="4008" w:type="dxa"/>
          </w:tcPr>
          <w:p w14:paraId="1646BE52" w14:textId="522BD84E" w:rsidR="00D1531B" w:rsidRDefault="00D1531B" w:rsidP="00D57108">
            <w:r>
              <w:t>Other revenue</w:t>
            </w:r>
          </w:p>
        </w:tc>
        <w:tc>
          <w:tcPr>
            <w:tcW w:w="1825" w:type="dxa"/>
            <w:shd w:val="clear" w:color="auto" w:fill="F5EDC1" w:themeFill="accent4"/>
          </w:tcPr>
          <w:p w14:paraId="330013C0" w14:textId="771618A7" w:rsidR="00D1531B" w:rsidRPr="00D1531B" w:rsidRDefault="00D1531B" w:rsidP="00D57108">
            <w:pPr>
              <w:jc w:val="right"/>
            </w:pPr>
            <w:r w:rsidRPr="00D1531B">
              <w:t>1,104</w:t>
            </w:r>
          </w:p>
        </w:tc>
        <w:tc>
          <w:tcPr>
            <w:tcW w:w="1762" w:type="dxa"/>
            <w:shd w:val="clear" w:color="auto" w:fill="D4E2E0" w:themeFill="accent5"/>
          </w:tcPr>
          <w:p w14:paraId="25027CED" w14:textId="25BCA339" w:rsidR="00D1531B" w:rsidRPr="00D1531B" w:rsidRDefault="00D1531B" w:rsidP="00D57108">
            <w:pPr>
              <w:jc w:val="right"/>
            </w:pPr>
            <w:r>
              <w:t>571</w:t>
            </w:r>
          </w:p>
        </w:tc>
        <w:tc>
          <w:tcPr>
            <w:tcW w:w="1647" w:type="dxa"/>
            <w:shd w:val="clear" w:color="auto" w:fill="FFFFFF" w:themeFill="background1"/>
          </w:tcPr>
          <w:p w14:paraId="3F38FEB9" w14:textId="50CE9267" w:rsidR="00D1531B" w:rsidRPr="00D1531B" w:rsidRDefault="00D1531B" w:rsidP="00D57108">
            <w:pPr>
              <w:jc w:val="right"/>
            </w:pPr>
            <w:r>
              <w:t>533</w:t>
            </w:r>
          </w:p>
        </w:tc>
      </w:tr>
      <w:tr w:rsidR="00D1531B" w:rsidRPr="00802B19" w14:paraId="3C9FF609" w14:textId="77777777" w:rsidTr="00D1531B">
        <w:tc>
          <w:tcPr>
            <w:tcW w:w="4008" w:type="dxa"/>
          </w:tcPr>
          <w:p w14:paraId="2B48E308" w14:textId="65A56F86" w:rsidR="00D1531B" w:rsidRDefault="00D1531B" w:rsidP="00D57108">
            <w:r>
              <w:t>Employers’ Indemnity Supplementation Fund</w:t>
            </w:r>
          </w:p>
        </w:tc>
        <w:tc>
          <w:tcPr>
            <w:tcW w:w="1825" w:type="dxa"/>
            <w:shd w:val="clear" w:color="auto" w:fill="F5EDC1" w:themeFill="accent4"/>
          </w:tcPr>
          <w:p w14:paraId="263A6613" w14:textId="16B44F9C" w:rsidR="00D1531B" w:rsidRPr="00D1531B" w:rsidRDefault="00D1531B" w:rsidP="00D57108">
            <w:pPr>
              <w:jc w:val="right"/>
            </w:pPr>
            <w:r>
              <w:t>9,496</w:t>
            </w:r>
          </w:p>
        </w:tc>
        <w:tc>
          <w:tcPr>
            <w:tcW w:w="1762" w:type="dxa"/>
            <w:shd w:val="clear" w:color="auto" w:fill="D4E2E0" w:themeFill="accent5"/>
          </w:tcPr>
          <w:p w14:paraId="296ABB46" w14:textId="07D195CC" w:rsidR="00D1531B" w:rsidRDefault="00BF0C2F" w:rsidP="00D57108">
            <w:pPr>
              <w:jc w:val="right"/>
            </w:pPr>
            <w:r>
              <w:t>-</w:t>
            </w:r>
          </w:p>
        </w:tc>
        <w:tc>
          <w:tcPr>
            <w:tcW w:w="1647" w:type="dxa"/>
            <w:shd w:val="clear" w:color="auto" w:fill="FFFFFF" w:themeFill="background1"/>
          </w:tcPr>
          <w:p w14:paraId="7E9F3422" w14:textId="34ABF2BF" w:rsidR="00D1531B" w:rsidRDefault="00D1531B" w:rsidP="00D57108">
            <w:pPr>
              <w:jc w:val="right"/>
            </w:pPr>
            <w:r>
              <w:t>9,496</w:t>
            </w:r>
          </w:p>
        </w:tc>
      </w:tr>
      <w:tr w:rsidR="00D1531B" w:rsidRPr="00802B19" w14:paraId="237D9239" w14:textId="77777777" w:rsidTr="00D1531B">
        <w:tc>
          <w:tcPr>
            <w:tcW w:w="4008" w:type="dxa"/>
          </w:tcPr>
          <w:p w14:paraId="05F495DD" w14:textId="235F5260" w:rsidR="00D1531B" w:rsidRPr="00D1531B" w:rsidRDefault="00D1531B" w:rsidP="00D57108">
            <w:pPr>
              <w:rPr>
                <w:i/>
              </w:rPr>
            </w:pPr>
            <w:r w:rsidRPr="00D1531B">
              <w:rPr>
                <w:i/>
              </w:rPr>
              <w:t>Expenses</w:t>
            </w:r>
          </w:p>
        </w:tc>
        <w:tc>
          <w:tcPr>
            <w:tcW w:w="1825" w:type="dxa"/>
            <w:shd w:val="clear" w:color="auto" w:fill="FFFFFF" w:themeFill="background1"/>
          </w:tcPr>
          <w:p w14:paraId="1325F310" w14:textId="77777777" w:rsidR="00D1531B" w:rsidRDefault="00D1531B" w:rsidP="00D57108">
            <w:pPr>
              <w:jc w:val="right"/>
            </w:pPr>
          </w:p>
        </w:tc>
        <w:tc>
          <w:tcPr>
            <w:tcW w:w="1762" w:type="dxa"/>
            <w:shd w:val="clear" w:color="auto" w:fill="FFFFFF" w:themeFill="background1"/>
          </w:tcPr>
          <w:p w14:paraId="31EA73FF" w14:textId="77777777" w:rsidR="00D1531B" w:rsidRDefault="00D1531B" w:rsidP="00D57108">
            <w:pPr>
              <w:jc w:val="right"/>
            </w:pPr>
          </w:p>
        </w:tc>
        <w:tc>
          <w:tcPr>
            <w:tcW w:w="1647" w:type="dxa"/>
            <w:shd w:val="clear" w:color="auto" w:fill="FFFFFF" w:themeFill="background1"/>
          </w:tcPr>
          <w:p w14:paraId="0A70C68C" w14:textId="77777777" w:rsidR="00D1531B" w:rsidRDefault="00D1531B" w:rsidP="00D57108">
            <w:pPr>
              <w:jc w:val="right"/>
            </w:pPr>
          </w:p>
        </w:tc>
      </w:tr>
      <w:tr w:rsidR="00D1531B" w:rsidRPr="00802B19" w14:paraId="478A1C48" w14:textId="77777777" w:rsidTr="00D1531B">
        <w:tc>
          <w:tcPr>
            <w:tcW w:w="4008" w:type="dxa"/>
          </w:tcPr>
          <w:p w14:paraId="0AD9D7CC" w14:textId="186BCBF4" w:rsidR="00D1531B" w:rsidRDefault="00D1531B" w:rsidP="00D57108">
            <w:r>
              <w:t>Employee benefits expenses</w:t>
            </w:r>
          </w:p>
        </w:tc>
        <w:tc>
          <w:tcPr>
            <w:tcW w:w="1825" w:type="dxa"/>
            <w:shd w:val="clear" w:color="auto" w:fill="F5EDC1" w:themeFill="accent4"/>
          </w:tcPr>
          <w:p w14:paraId="623859D7" w14:textId="7A7C024A" w:rsidR="00D1531B" w:rsidRDefault="00D1531B" w:rsidP="00D57108">
            <w:pPr>
              <w:jc w:val="right"/>
            </w:pPr>
            <w:r>
              <w:t>13,959</w:t>
            </w:r>
          </w:p>
        </w:tc>
        <w:tc>
          <w:tcPr>
            <w:tcW w:w="1762" w:type="dxa"/>
            <w:shd w:val="clear" w:color="auto" w:fill="D4E2E0" w:themeFill="accent5"/>
          </w:tcPr>
          <w:p w14:paraId="26DB77CE" w14:textId="0270C8FF" w:rsidR="00D1531B" w:rsidRDefault="00D1531B" w:rsidP="00D57108">
            <w:pPr>
              <w:jc w:val="right"/>
            </w:pPr>
            <w:r>
              <w:t>15,079</w:t>
            </w:r>
          </w:p>
        </w:tc>
        <w:tc>
          <w:tcPr>
            <w:tcW w:w="1647" w:type="dxa"/>
            <w:shd w:val="clear" w:color="auto" w:fill="FFFFFF" w:themeFill="background1"/>
          </w:tcPr>
          <w:p w14:paraId="4C8FE67D" w14:textId="3BDB98B5" w:rsidR="00D1531B" w:rsidRDefault="00D1531B" w:rsidP="00D57108">
            <w:pPr>
              <w:jc w:val="right"/>
            </w:pPr>
            <w:r>
              <w:t>(1,120)</w:t>
            </w:r>
          </w:p>
        </w:tc>
      </w:tr>
      <w:tr w:rsidR="00D1531B" w:rsidRPr="00802B19" w14:paraId="3F76A857" w14:textId="77777777" w:rsidTr="00D1531B">
        <w:tc>
          <w:tcPr>
            <w:tcW w:w="4008" w:type="dxa"/>
          </w:tcPr>
          <w:p w14:paraId="0B5393D1" w14:textId="4624EF44" w:rsidR="00D1531B" w:rsidRDefault="00D1531B" w:rsidP="00D57108">
            <w:r>
              <w:t>Claims expense</w:t>
            </w:r>
          </w:p>
        </w:tc>
        <w:tc>
          <w:tcPr>
            <w:tcW w:w="1825" w:type="dxa"/>
            <w:shd w:val="clear" w:color="auto" w:fill="F5EDC1" w:themeFill="accent4"/>
          </w:tcPr>
          <w:p w14:paraId="205A7AB7" w14:textId="11FBDF7E" w:rsidR="00D1531B" w:rsidRDefault="00D1531B" w:rsidP="00D57108">
            <w:pPr>
              <w:jc w:val="right"/>
            </w:pPr>
            <w:r>
              <w:t>1,263</w:t>
            </w:r>
          </w:p>
        </w:tc>
        <w:tc>
          <w:tcPr>
            <w:tcW w:w="1762" w:type="dxa"/>
            <w:shd w:val="clear" w:color="auto" w:fill="D4E2E0" w:themeFill="accent5"/>
          </w:tcPr>
          <w:p w14:paraId="4A228463" w14:textId="06B9ABCF" w:rsidR="00D1531B" w:rsidRDefault="00D1531B" w:rsidP="00D57108">
            <w:pPr>
              <w:jc w:val="right"/>
            </w:pPr>
            <w:r>
              <w:t>1,800</w:t>
            </w:r>
          </w:p>
        </w:tc>
        <w:tc>
          <w:tcPr>
            <w:tcW w:w="1647" w:type="dxa"/>
            <w:shd w:val="clear" w:color="auto" w:fill="FFFFFF" w:themeFill="background1"/>
          </w:tcPr>
          <w:p w14:paraId="293DB5DD" w14:textId="1C00DF2C" w:rsidR="00D1531B" w:rsidRDefault="00D1531B" w:rsidP="00D57108">
            <w:pPr>
              <w:jc w:val="right"/>
            </w:pPr>
            <w:r>
              <w:t>(537)</w:t>
            </w:r>
          </w:p>
        </w:tc>
      </w:tr>
      <w:tr w:rsidR="00D1531B" w:rsidRPr="00802B19" w14:paraId="67A13BB0" w14:textId="77777777" w:rsidTr="00D1531B">
        <w:tc>
          <w:tcPr>
            <w:tcW w:w="4008" w:type="dxa"/>
          </w:tcPr>
          <w:p w14:paraId="350ECECF" w14:textId="79B3D2B8" w:rsidR="00D1531B" w:rsidRDefault="00D1531B" w:rsidP="00D57108">
            <w:r>
              <w:t>Other expenses</w:t>
            </w:r>
          </w:p>
        </w:tc>
        <w:tc>
          <w:tcPr>
            <w:tcW w:w="1825" w:type="dxa"/>
            <w:shd w:val="clear" w:color="auto" w:fill="F5EDC1" w:themeFill="accent4"/>
          </w:tcPr>
          <w:p w14:paraId="1420B797" w14:textId="02A7DC27" w:rsidR="00D1531B" w:rsidRDefault="00D1531B" w:rsidP="00D57108">
            <w:pPr>
              <w:jc w:val="right"/>
            </w:pPr>
            <w:r>
              <w:t>1,285</w:t>
            </w:r>
          </w:p>
        </w:tc>
        <w:tc>
          <w:tcPr>
            <w:tcW w:w="1762" w:type="dxa"/>
            <w:shd w:val="clear" w:color="auto" w:fill="D4E2E0" w:themeFill="accent5"/>
          </w:tcPr>
          <w:p w14:paraId="462FCDE8" w14:textId="7CB568A8" w:rsidR="00D1531B" w:rsidRDefault="00D1531B" w:rsidP="00D57108">
            <w:pPr>
              <w:jc w:val="right"/>
            </w:pPr>
            <w:r>
              <w:t>1,623</w:t>
            </w:r>
          </w:p>
        </w:tc>
        <w:tc>
          <w:tcPr>
            <w:tcW w:w="1647" w:type="dxa"/>
            <w:shd w:val="clear" w:color="auto" w:fill="FFFFFF" w:themeFill="background1"/>
          </w:tcPr>
          <w:p w14:paraId="32FB2402" w14:textId="567CE07B" w:rsidR="00D1531B" w:rsidRDefault="00D1531B" w:rsidP="00D57108">
            <w:pPr>
              <w:jc w:val="right"/>
            </w:pPr>
            <w:r>
              <w:t>(338)</w:t>
            </w:r>
          </w:p>
        </w:tc>
      </w:tr>
    </w:tbl>
    <w:p w14:paraId="29228929" w14:textId="77777777" w:rsidR="00402DB2" w:rsidRDefault="00402DB2" w:rsidP="00402DB2">
      <w:pPr>
        <w:rPr>
          <w:b/>
        </w:rPr>
      </w:pPr>
    </w:p>
    <w:p w14:paraId="6D24ED90" w14:textId="77777777" w:rsidR="00402DB2" w:rsidRPr="00DA1E18" w:rsidRDefault="00402DB2" w:rsidP="00402DB2">
      <w:pPr>
        <w:rPr>
          <w:rStyle w:val="Strong"/>
        </w:rPr>
      </w:pPr>
      <w:r w:rsidRPr="00DA1E18">
        <w:rPr>
          <w:rStyle w:val="Strong"/>
        </w:rPr>
        <w:t>Interest revenue</w:t>
      </w:r>
    </w:p>
    <w:p w14:paraId="3CBAA7E5" w14:textId="77777777" w:rsidR="00402DB2" w:rsidRDefault="00402DB2" w:rsidP="00402DB2">
      <w:r>
        <w:t>The variance reflects higher interest earned from a larger cash investment base due to budget savings and recoveries from HIH liquidation.</w:t>
      </w:r>
    </w:p>
    <w:p w14:paraId="19D23FF9" w14:textId="77777777" w:rsidR="00402DB2" w:rsidRPr="00DA1E18" w:rsidRDefault="00402DB2" w:rsidP="00402DB2">
      <w:pPr>
        <w:rPr>
          <w:rStyle w:val="Strong"/>
        </w:rPr>
      </w:pPr>
      <w:r w:rsidRPr="00DA1E18">
        <w:rPr>
          <w:rStyle w:val="Strong"/>
        </w:rPr>
        <w:t>Other revenue</w:t>
      </w:r>
    </w:p>
    <w:p w14:paraId="31ECFACA" w14:textId="49AA277F" w:rsidR="00402DB2" w:rsidRDefault="00402DB2" w:rsidP="00402DB2">
      <w:r>
        <w:t>The variance is mainly due to higher than expected recoveries from uninsured claims, as well as fines and penalties issued to businesse</w:t>
      </w:r>
      <w:r w:rsidR="003502E2">
        <w:t>s for failing to have adequate workers c</w:t>
      </w:r>
      <w:r>
        <w:t>ompe</w:t>
      </w:r>
      <w:r w:rsidR="003502E2">
        <w:t>nsation insurance. Other r</w:t>
      </w:r>
      <w:r>
        <w:t>evenue also includes unbudgeted registration monies for the Injury Management Conference 2015.</w:t>
      </w:r>
    </w:p>
    <w:p w14:paraId="6B5DEE39" w14:textId="77777777" w:rsidR="00402DB2" w:rsidRDefault="00402DB2" w:rsidP="00402DB2"/>
    <w:p w14:paraId="0D88EE8E" w14:textId="77777777" w:rsidR="00402DB2" w:rsidRDefault="00402DB2" w:rsidP="00402DB2"/>
    <w:p w14:paraId="59347C00" w14:textId="77777777" w:rsidR="00402DB2" w:rsidRPr="00DA1E18" w:rsidRDefault="00402DB2" w:rsidP="00402DB2">
      <w:pPr>
        <w:rPr>
          <w:rStyle w:val="Strong"/>
        </w:rPr>
      </w:pPr>
      <w:r w:rsidRPr="00DA1E18">
        <w:rPr>
          <w:rStyle w:val="Strong"/>
        </w:rPr>
        <w:t>Employers' Indemnity Supplementation Fund</w:t>
      </w:r>
    </w:p>
    <w:p w14:paraId="2692867A" w14:textId="27409D4C" w:rsidR="00402DB2" w:rsidRDefault="00402DB2" w:rsidP="00402DB2">
      <w:r>
        <w:t>The variance represents unbudgeted recoveries received from the administrator of HIH.</w:t>
      </w:r>
    </w:p>
    <w:p w14:paraId="5E3DAE84" w14:textId="77777777" w:rsidR="00402DB2" w:rsidRPr="00DA1E18" w:rsidRDefault="00402DB2" w:rsidP="00402DB2">
      <w:pPr>
        <w:rPr>
          <w:rStyle w:val="Strong"/>
        </w:rPr>
      </w:pPr>
      <w:r w:rsidRPr="00DA1E18">
        <w:rPr>
          <w:rStyle w:val="Strong"/>
        </w:rPr>
        <w:t>Employee benefits expenses</w:t>
      </w:r>
    </w:p>
    <w:p w14:paraId="0A057B1B" w14:textId="7F5CE0A1" w:rsidR="00F94EF0" w:rsidRDefault="00402DB2" w:rsidP="00402DB2">
      <w:r>
        <w:t>The variance mainly reflects a number of vacant positions that remained unfilled at various stages throughout the year.</w:t>
      </w:r>
    </w:p>
    <w:p w14:paraId="4A49E934" w14:textId="77777777" w:rsidR="00FA5B24" w:rsidRPr="00DA1E18" w:rsidRDefault="00FA5B24" w:rsidP="00FA5B24">
      <w:pPr>
        <w:rPr>
          <w:rStyle w:val="Strong"/>
        </w:rPr>
      </w:pPr>
      <w:r w:rsidRPr="00DA1E18">
        <w:rPr>
          <w:rStyle w:val="Strong"/>
        </w:rPr>
        <w:t>Claims expense</w:t>
      </w:r>
    </w:p>
    <w:p w14:paraId="7491C20D" w14:textId="30EAC3F2" w:rsidR="00FA5B24" w:rsidRDefault="00FA5B24" w:rsidP="00FA5B24">
      <w:r>
        <w:t>The variance is due to lower than expected claims received during the year, combined with a decrease in the actuarially assessed claims liability in the Uninsured and Employer's Indemnity Supplementation Fund.</w:t>
      </w:r>
    </w:p>
    <w:p w14:paraId="16CE5D58" w14:textId="77777777" w:rsidR="00FA5B24" w:rsidRPr="00DA1E18" w:rsidRDefault="00FA5B24" w:rsidP="00FA5B24">
      <w:pPr>
        <w:rPr>
          <w:rStyle w:val="Strong"/>
        </w:rPr>
      </w:pPr>
      <w:r w:rsidRPr="00DA1E18">
        <w:rPr>
          <w:rStyle w:val="Strong"/>
        </w:rPr>
        <w:t>Other expenses</w:t>
      </w:r>
    </w:p>
    <w:p w14:paraId="56B9C278" w14:textId="0962EBB1" w:rsidR="00FA5B24" w:rsidRDefault="00FA5B24" w:rsidP="00402DB2">
      <w:r>
        <w:t>The variance is primarily due to lower cost injury management initiatives, including the injury management conference and GP educational programs as well as a reduction in employment oncosts.</w:t>
      </w:r>
    </w:p>
    <w:p w14:paraId="01DA1452" w14:textId="663F23E9" w:rsidR="00FA5B24" w:rsidRPr="00DA1E18" w:rsidRDefault="00FA5B24" w:rsidP="00FA5B24">
      <w:pPr>
        <w:rPr>
          <w:rStyle w:val="Strong"/>
        </w:rPr>
      </w:pPr>
      <w:r w:rsidRPr="00DA1E18">
        <w:rPr>
          <w:rStyle w:val="Strong"/>
        </w:rPr>
        <w:t>Significant variances between actual results for 2014 and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8"/>
        <w:gridCol w:w="1774"/>
        <w:gridCol w:w="1721"/>
        <w:gridCol w:w="1623"/>
      </w:tblGrid>
      <w:tr w:rsidR="00FA5B24" w14:paraId="5F1DA69C" w14:textId="77777777" w:rsidTr="00D57108">
        <w:tc>
          <w:tcPr>
            <w:tcW w:w="4008" w:type="dxa"/>
          </w:tcPr>
          <w:p w14:paraId="264A434A" w14:textId="77777777" w:rsidR="00FA5B24" w:rsidRDefault="00FA5B24" w:rsidP="00D57108"/>
        </w:tc>
        <w:tc>
          <w:tcPr>
            <w:tcW w:w="1825" w:type="dxa"/>
          </w:tcPr>
          <w:p w14:paraId="0A043BE4" w14:textId="153A275E" w:rsidR="00FA5B24" w:rsidRDefault="00FA5B24" w:rsidP="00FA5B24">
            <w:pPr>
              <w:jc w:val="right"/>
            </w:pPr>
            <w:r>
              <w:t>2015</w:t>
            </w:r>
            <w:r>
              <w:br/>
              <w:t>$000</w:t>
            </w:r>
          </w:p>
        </w:tc>
        <w:tc>
          <w:tcPr>
            <w:tcW w:w="1762" w:type="dxa"/>
          </w:tcPr>
          <w:p w14:paraId="5F7A4150" w14:textId="20884B88" w:rsidR="00FA5B24" w:rsidRDefault="00FA5B24" w:rsidP="00FA5B24">
            <w:pPr>
              <w:jc w:val="right"/>
            </w:pPr>
            <w:r>
              <w:t>2014</w:t>
            </w:r>
            <w:r>
              <w:br/>
              <w:t>$000</w:t>
            </w:r>
          </w:p>
        </w:tc>
        <w:tc>
          <w:tcPr>
            <w:tcW w:w="1647" w:type="dxa"/>
            <w:shd w:val="clear" w:color="auto" w:fill="FFFFFF" w:themeFill="background1"/>
          </w:tcPr>
          <w:p w14:paraId="70288FB3" w14:textId="27C664F8" w:rsidR="00FA5B24" w:rsidRDefault="00FA5B24" w:rsidP="00FA5B24">
            <w:pPr>
              <w:jc w:val="right"/>
            </w:pPr>
            <w:r>
              <w:t>Variance</w:t>
            </w:r>
            <w:r>
              <w:br/>
              <w:t>$000</w:t>
            </w:r>
          </w:p>
        </w:tc>
      </w:tr>
      <w:tr w:rsidR="00FA5B24" w14:paraId="2EA85A7A" w14:textId="77777777" w:rsidTr="00D57108">
        <w:tc>
          <w:tcPr>
            <w:tcW w:w="4008" w:type="dxa"/>
            <w:shd w:val="clear" w:color="auto" w:fill="FFFFFF" w:themeFill="background1"/>
          </w:tcPr>
          <w:p w14:paraId="0F8D8DC2" w14:textId="77777777" w:rsidR="00FA5B24" w:rsidRPr="00D1531B" w:rsidRDefault="00FA5B24" w:rsidP="00D57108">
            <w:pPr>
              <w:rPr>
                <w:i/>
              </w:rPr>
            </w:pPr>
            <w:r w:rsidRPr="00D1531B">
              <w:rPr>
                <w:i/>
              </w:rPr>
              <w:t>Income</w:t>
            </w:r>
          </w:p>
        </w:tc>
        <w:tc>
          <w:tcPr>
            <w:tcW w:w="1825" w:type="dxa"/>
            <w:shd w:val="clear" w:color="auto" w:fill="FFFFFF" w:themeFill="background1"/>
          </w:tcPr>
          <w:p w14:paraId="44841235" w14:textId="77777777" w:rsidR="00FA5B24" w:rsidRPr="00D1531B" w:rsidRDefault="00FA5B24" w:rsidP="00D57108">
            <w:pPr>
              <w:jc w:val="right"/>
              <w:rPr>
                <w:i/>
              </w:rPr>
            </w:pPr>
          </w:p>
        </w:tc>
        <w:tc>
          <w:tcPr>
            <w:tcW w:w="1762" w:type="dxa"/>
            <w:shd w:val="clear" w:color="auto" w:fill="FFFFFF" w:themeFill="background1"/>
          </w:tcPr>
          <w:p w14:paraId="19BB6714" w14:textId="77777777" w:rsidR="00FA5B24" w:rsidRPr="00D1531B" w:rsidRDefault="00FA5B24" w:rsidP="00D57108">
            <w:pPr>
              <w:jc w:val="right"/>
              <w:rPr>
                <w:i/>
              </w:rPr>
            </w:pPr>
          </w:p>
        </w:tc>
        <w:tc>
          <w:tcPr>
            <w:tcW w:w="1647" w:type="dxa"/>
            <w:shd w:val="clear" w:color="auto" w:fill="FFFFFF" w:themeFill="background1"/>
          </w:tcPr>
          <w:p w14:paraId="456E2C5A" w14:textId="77777777" w:rsidR="00FA5B24" w:rsidRDefault="00FA5B24" w:rsidP="00D57108">
            <w:pPr>
              <w:jc w:val="right"/>
            </w:pPr>
          </w:p>
        </w:tc>
      </w:tr>
      <w:tr w:rsidR="00FA5B24" w14:paraId="0842ADEC" w14:textId="77777777" w:rsidTr="00D57108">
        <w:tc>
          <w:tcPr>
            <w:tcW w:w="4008" w:type="dxa"/>
          </w:tcPr>
          <w:p w14:paraId="0BA3D5BD" w14:textId="77777777" w:rsidR="00FA5B24" w:rsidRPr="00802B19" w:rsidRDefault="00FA5B24" w:rsidP="00D57108">
            <w:r>
              <w:t>Interest revenue</w:t>
            </w:r>
          </w:p>
        </w:tc>
        <w:tc>
          <w:tcPr>
            <w:tcW w:w="1825" w:type="dxa"/>
            <w:shd w:val="clear" w:color="auto" w:fill="F5EDC1" w:themeFill="accent4"/>
          </w:tcPr>
          <w:p w14:paraId="274B57DA" w14:textId="48879376" w:rsidR="00FA5B24" w:rsidRDefault="00D2697D" w:rsidP="00D57108">
            <w:pPr>
              <w:jc w:val="right"/>
            </w:pPr>
            <w:r>
              <w:t>2,763</w:t>
            </w:r>
          </w:p>
        </w:tc>
        <w:tc>
          <w:tcPr>
            <w:tcW w:w="1762" w:type="dxa"/>
            <w:shd w:val="clear" w:color="auto" w:fill="D4E2E0" w:themeFill="accent5"/>
          </w:tcPr>
          <w:p w14:paraId="107615C6" w14:textId="1430F361" w:rsidR="00FA5B24" w:rsidRDefault="00D2697D" w:rsidP="00D57108">
            <w:pPr>
              <w:jc w:val="right"/>
            </w:pPr>
            <w:r>
              <w:t>2,427</w:t>
            </w:r>
          </w:p>
        </w:tc>
        <w:tc>
          <w:tcPr>
            <w:tcW w:w="1647" w:type="dxa"/>
            <w:shd w:val="clear" w:color="auto" w:fill="FFFFFF" w:themeFill="background1"/>
          </w:tcPr>
          <w:p w14:paraId="1D2DFCA9" w14:textId="34F59E17" w:rsidR="00FA5B24" w:rsidRDefault="00D2697D" w:rsidP="00D57108">
            <w:pPr>
              <w:jc w:val="right"/>
            </w:pPr>
            <w:r>
              <w:t>336</w:t>
            </w:r>
          </w:p>
        </w:tc>
      </w:tr>
      <w:tr w:rsidR="00FA5B24" w:rsidRPr="00802B19" w14:paraId="7357D6E4" w14:textId="77777777" w:rsidTr="00D57108">
        <w:tc>
          <w:tcPr>
            <w:tcW w:w="4008" w:type="dxa"/>
          </w:tcPr>
          <w:p w14:paraId="0116F800" w14:textId="77777777" w:rsidR="00FA5B24" w:rsidRDefault="00FA5B24" w:rsidP="00D57108">
            <w:r>
              <w:t>Other revenue</w:t>
            </w:r>
          </w:p>
        </w:tc>
        <w:tc>
          <w:tcPr>
            <w:tcW w:w="1825" w:type="dxa"/>
            <w:shd w:val="clear" w:color="auto" w:fill="F5EDC1" w:themeFill="accent4"/>
          </w:tcPr>
          <w:p w14:paraId="6934D37E" w14:textId="4DBEA7A1" w:rsidR="00FA5B24" w:rsidRPr="00D1531B" w:rsidRDefault="00D2697D" w:rsidP="00D57108">
            <w:pPr>
              <w:jc w:val="right"/>
            </w:pPr>
            <w:r>
              <w:t>1,104</w:t>
            </w:r>
          </w:p>
        </w:tc>
        <w:tc>
          <w:tcPr>
            <w:tcW w:w="1762" w:type="dxa"/>
            <w:shd w:val="clear" w:color="auto" w:fill="D4E2E0" w:themeFill="accent5"/>
          </w:tcPr>
          <w:p w14:paraId="2AA26B28" w14:textId="2631AC13" w:rsidR="00FA5B24" w:rsidRPr="00D1531B" w:rsidRDefault="00D2697D" w:rsidP="00D57108">
            <w:pPr>
              <w:jc w:val="right"/>
            </w:pPr>
            <w:r>
              <w:t>780</w:t>
            </w:r>
          </w:p>
        </w:tc>
        <w:tc>
          <w:tcPr>
            <w:tcW w:w="1647" w:type="dxa"/>
            <w:shd w:val="clear" w:color="auto" w:fill="FFFFFF" w:themeFill="background1"/>
          </w:tcPr>
          <w:p w14:paraId="33F5AF6E" w14:textId="5AA30D8C" w:rsidR="00FA5B24" w:rsidRPr="00D1531B" w:rsidRDefault="00D2697D" w:rsidP="00D57108">
            <w:pPr>
              <w:jc w:val="right"/>
            </w:pPr>
            <w:r>
              <w:t>324</w:t>
            </w:r>
          </w:p>
        </w:tc>
      </w:tr>
      <w:tr w:rsidR="00FA5B24" w:rsidRPr="00802B19" w14:paraId="68DEE05A" w14:textId="77777777" w:rsidTr="00D57108">
        <w:tc>
          <w:tcPr>
            <w:tcW w:w="4008" w:type="dxa"/>
          </w:tcPr>
          <w:p w14:paraId="0BDBD10F" w14:textId="77777777" w:rsidR="00FA5B24" w:rsidRDefault="00FA5B24" w:rsidP="00D57108">
            <w:r>
              <w:t>Employers’ Indemnity Supplementation Fund</w:t>
            </w:r>
          </w:p>
        </w:tc>
        <w:tc>
          <w:tcPr>
            <w:tcW w:w="1825" w:type="dxa"/>
            <w:shd w:val="clear" w:color="auto" w:fill="F5EDC1" w:themeFill="accent4"/>
          </w:tcPr>
          <w:p w14:paraId="0AEFD30A" w14:textId="3C4B99FD" w:rsidR="00FA5B24" w:rsidRPr="00D1531B" w:rsidRDefault="00D2697D" w:rsidP="00D57108">
            <w:pPr>
              <w:jc w:val="right"/>
            </w:pPr>
            <w:r>
              <w:t>9,496</w:t>
            </w:r>
          </w:p>
        </w:tc>
        <w:tc>
          <w:tcPr>
            <w:tcW w:w="1762" w:type="dxa"/>
            <w:shd w:val="clear" w:color="auto" w:fill="D4E2E0" w:themeFill="accent5"/>
          </w:tcPr>
          <w:p w14:paraId="2D7FEF04" w14:textId="3B5F487E" w:rsidR="00FA5B24" w:rsidRDefault="00D2697D" w:rsidP="00D57108">
            <w:pPr>
              <w:jc w:val="right"/>
            </w:pPr>
            <w:r>
              <w:t>10,005</w:t>
            </w:r>
          </w:p>
        </w:tc>
        <w:tc>
          <w:tcPr>
            <w:tcW w:w="1647" w:type="dxa"/>
            <w:shd w:val="clear" w:color="auto" w:fill="FFFFFF" w:themeFill="background1"/>
          </w:tcPr>
          <w:p w14:paraId="200131C4" w14:textId="516CCB7C" w:rsidR="00FA5B24" w:rsidRDefault="00D2697D" w:rsidP="00D57108">
            <w:pPr>
              <w:jc w:val="right"/>
            </w:pPr>
            <w:r>
              <w:t>(509)</w:t>
            </w:r>
          </w:p>
        </w:tc>
      </w:tr>
      <w:tr w:rsidR="00D2697D" w:rsidRPr="00802B19" w14:paraId="75411F1D" w14:textId="77777777" w:rsidTr="00D57108">
        <w:tc>
          <w:tcPr>
            <w:tcW w:w="4008" w:type="dxa"/>
          </w:tcPr>
          <w:p w14:paraId="07E3F0A9" w14:textId="5E539BA9" w:rsidR="00D2697D" w:rsidRDefault="00D2697D" w:rsidP="00D57108">
            <w:r>
              <w:t>Decrease in claims liability</w:t>
            </w:r>
          </w:p>
        </w:tc>
        <w:tc>
          <w:tcPr>
            <w:tcW w:w="1825" w:type="dxa"/>
            <w:shd w:val="clear" w:color="auto" w:fill="F5EDC1" w:themeFill="accent4"/>
          </w:tcPr>
          <w:p w14:paraId="4E944615" w14:textId="55C73959" w:rsidR="00D2697D" w:rsidRPr="00D1531B" w:rsidRDefault="00D2697D" w:rsidP="00D57108">
            <w:pPr>
              <w:jc w:val="right"/>
            </w:pPr>
            <w:r>
              <w:t>4,425</w:t>
            </w:r>
          </w:p>
        </w:tc>
        <w:tc>
          <w:tcPr>
            <w:tcW w:w="1762" w:type="dxa"/>
            <w:shd w:val="clear" w:color="auto" w:fill="D4E2E0" w:themeFill="accent5"/>
          </w:tcPr>
          <w:p w14:paraId="2951606F" w14:textId="6E386AB7" w:rsidR="00D2697D" w:rsidRDefault="00BF0C2F" w:rsidP="00D57108">
            <w:pPr>
              <w:jc w:val="right"/>
            </w:pPr>
            <w:r>
              <w:t>-</w:t>
            </w:r>
          </w:p>
        </w:tc>
        <w:tc>
          <w:tcPr>
            <w:tcW w:w="1647" w:type="dxa"/>
            <w:shd w:val="clear" w:color="auto" w:fill="FFFFFF" w:themeFill="background1"/>
          </w:tcPr>
          <w:p w14:paraId="31ED3CC5" w14:textId="4F8A7460" w:rsidR="00D2697D" w:rsidRDefault="00D2697D" w:rsidP="00D57108">
            <w:pPr>
              <w:jc w:val="right"/>
            </w:pPr>
            <w:r>
              <w:t>4,425</w:t>
            </w:r>
          </w:p>
        </w:tc>
      </w:tr>
      <w:tr w:rsidR="00D2697D" w:rsidRPr="00802B19" w14:paraId="18827000" w14:textId="77777777" w:rsidTr="00D2697D">
        <w:tc>
          <w:tcPr>
            <w:tcW w:w="4008" w:type="dxa"/>
            <w:shd w:val="clear" w:color="auto" w:fill="FFFFFF" w:themeFill="background1"/>
          </w:tcPr>
          <w:p w14:paraId="034E5744" w14:textId="5F0F790E" w:rsidR="00D2697D" w:rsidRPr="00D2697D" w:rsidRDefault="00D2697D" w:rsidP="00D57108">
            <w:pPr>
              <w:rPr>
                <w:i/>
              </w:rPr>
            </w:pPr>
            <w:r w:rsidRPr="00D2697D">
              <w:rPr>
                <w:i/>
              </w:rPr>
              <w:t>Expenses</w:t>
            </w:r>
          </w:p>
        </w:tc>
        <w:tc>
          <w:tcPr>
            <w:tcW w:w="1825" w:type="dxa"/>
            <w:shd w:val="clear" w:color="auto" w:fill="FFFFFF" w:themeFill="background1"/>
          </w:tcPr>
          <w:p w14:paraId="6F767F40" w14:textId="77777777" w:rsidR="00D2697D" w:rsidRDefault="00D2697D" w:rsidP="00D57108">
            <w:pPr>
              <w:jc w:val="right"/>
            </w:pPr>
          </w:p>
        </w:tc>
        <w:tc>
          <w:tcPr>
            <w:tcW w:w="1762" w:type="dxa"/>
            <w:shd w:val="clear" w:color="auto" w:fill="FFFFFF" w:themeFill="background1"/>
          </w:tcPr>
          <w:p w14:paraId="2FFCB942" w14:textId="77777777" w:rsidR="00D2697D" w:rsidRDefault="00D2697D" w:rsidP="00D57108">
            <w:pPr>
              <w:jc w:val="right"/>
            </w:pPr>
          </w:p>
        </w:tc>
        <w:tc>
          <w:tcPr>
            <w:tcW w:w="1647" w:type="dxa"/>
            <w:shd w:val="clear" w:color="auto" w:fill="FFFFFF" w:themeFill="background1"/>
          </w:tcPr>
          <w:p w14:paraId="0D5BDEE3" w14:textId="77777777" w:rsidR="00D2697D" w:rsidRDefault="00D2697D" w:rsidP="00D57108">
            <w:pPr>
              <w:jc w:val="right"/>
            </w:pPr>
          </w:p>
        </w:tc>
      </w:tr>
      <w:tr w:rsidR="00D2697D" w:rsidRPr="00802B19" w14:paraId="62316339" w14:textId="77777777" w:rsidTr="00D57108">
        <w:tc>
          <w:tcPr>
            <w:tcW w:w="4008" w:type="dxa"/>
          </w:tcPr>
          <w:p w14:paraId="23E933C5" w14:textId="1BB874B9" w:rsidR="00D2697D" w:rsidRDefault="00D2697D" w:rsidP="00D57108">
            <w:r>
              <w:t>Supplies and services</w:t>
            </w:r>
          </w:p>
        </w:tc>
        <w:tc>
          <w:tcPr>
            <w:tcW w:w="1825" w:type="dxa"/>
            <w:shd w:val="clear" w:color="auto" w:fill="F5EDC1" w:themeFill="accent4"/>
          </w:tcPr>
          <w:p w14:paraId="4473C5BD" w14:textId="0E62B015" w:rsidR="00D2697D" w:rsidRDefault="00D2697D" w:rsidP="00D57108">
            <w:pPr>
              <w:jc w:val="right"/>
            </w:pPr>
            <w:r>
              <w:t>3,315</w:t>
            </w:r>
          </w:p>
        </w:tc>
        <w:tc>
          <w:tcPr>
            <w:tcW w:w="1762" w:type="dxa"/>
            <w:shd w:val="clear" w:color="auto" w:fill="D4E2E0" w:themeFill="accent5"/>
          </w:tcPr>
          <w:p w14:paraId="2875ADD7" w14:textId="7B09C50E" w:rsidR="00D2697D" w:rsidRDefault="00D2697D" w:rsidP="00D57108">
            <w:pPr>
              <w:jc w:val="right"/>
            </w:pPr>
            <w:r>
              <w:t>2,908</w:t>
            </w:r>
          </w:p>
        </w:tc>
        <w:tc>
          <w:tcPr>
            <w:tcW w:w="1647" w:type="dxa"/>
            <w:shd w:val="clear" w:color="auto" w:fill="FFFFFF" w:themeFill="background1"/>
          </w:tcPr>
          <w:p w14:paraId="459AE433" w14:textId="40D9A977" w:rsidR="00D2697D" w:rsidRDefault="00D2697D" w:rsidP="00D57108">
            <w:pPr>
              <w:jc w:val="right"/>
            </w:pPr>
            <w:r>
              <w:t>407</w:t>
            </w:r>
          </w:p>
        </w:tc>
      </w:tr>
      <w:tr w:rsidR="00D2697D" w:rsidRPr="00802B19" w14:paraId="0DBEB896" w14:textId="77777777" w:rsidTr="00D57108">
        <w:tc>
          <w:tcPr>
            <w:tcW w:w="4008" w:type="dxa"/>
          </w:tcPr>
          <w:p w14:paraId="2BD4138B" w14:textId="68BC066A" w:rsidR="00D2697D" w:rsidRDefault="00D2697D" w:rsidP="00D57108">
            <w:r>
              <w:t>Claims expense</w:t>
            </w:r>
          </w:p>
        </w:tc>
        <w:tc>
          <w:tcPr>
            <w:tcW w:w="1825" w:type="dxa"/>
            <w:shd w:val="clear" w:color="auto" w:fill="F5EDC1" w:themeFill="accent4"/>
          </w:tcPr>
          <w:p w14:paraId="01FE87C7" w14:textId="104F0BFE" w:rsidR="00D2697D" w:rsidRDefault="00D2697D" w:rsidP="00D57108">
            <w:pPr>
              <w:jc w:val="right"/>
            </w:pPr>
            <w:r>
              <w:t>1,263</w:t>
            </w:r>
          </w:p>
        </w:tc>
        <w:tc>
          <w:tcPr>
            <w:tcW w:w="1762" w:type="dxa"/>
            <w:shd w:val="clear" w:color="auto" w:fill="D4E2E0" w:themeFill="accent5"/>
          </w:tcPr>
          <w:p w14:paraId="1CAB8D53" w14:textId="438BCFF0" w:rsidR="00D2697D" w:rsidRDefault="00D2697D" w:rsidP="00D57108">
            <w:pPr>
              <w:jc w:val="right"/>
            </w:pPr>
            <w:r>
              <w:t>7,840</w:t>
            </w:r>
          </w:p>
        </w:tc>
        <w:tc>
          <w:tcPr>
            <w:tcW w:w="1647" w:type="dxa"/>
            <w:shd w:val="clear" w:color="auto" w:fill="FFFFFF" w:themeFill="background1"/>
          </w:tcPr>
          <w:p w14:paraId="7C596D30" w14:textId="65B4FAA9" w:rsidR="00D2697D" w:rsidRDefault="00D2697D" w:rsidP="00D57108">
            <w:pPr>
              <w:jc w:val="right"/>
            </w:pPr>
            <w:r>
              <w:t>(6,577)</w:t>
            </w:r>
          </w:p>
        </w:tc>
      </w:tr>
      <w:tr w:rsidR="00D2697D" w:rsidRPr="00802B19" w14:paraId="136BECE0" w14:textId="77777777" w:rsidTr="00D57108">
        <w:tc>
          <w:tcPr>
            <w:tcW w:w="4008" w:type="dxa"/>
          </w:tcPr>
          <w:p w14:paraId="1EB9282F" w14:textId="2E6AF84F" w:rsidR="00D2697D" w:rsidRDefault="00D2697D" w:rsidP="00D57108">
            <w:r>
              <w:t>Other expenses</w:t>
            </w:r>
          </w:p>
        </w:tc>
        <w:tc>
          <w:tcPr>
            <w:tcW w:w="1825" w:type="dxa"/>
            <w:shd w:val="clear" w:color="auto" w:fill="F5EDC1" w:themeFill="accent4"/>
          </w:tcPr>
          <w:p w14:paraId="404749B2" w14:textId="58C4CB9C" w:rsidR="00D2697D" w:rsidRDefault="00D2697D" w:rsidP="00D57108">
            <w:pPr>
              <w:jc w:val="right"/>
            </w:pPr>
            <w:r>
              <w:t>1,285</w:t>
            </w:r>
          </w:p>
        </w:tc>
        <w:tc>
          <w:tcPr>
            <w:tcW w:w="1762" w:type="dxa"/>
            <w:shd w:val="clear" w:color="auto" w:fill="D4E2E0" w:themeFill="accent5"/>
          </w:tcPr>
          <w:p w14:paraId="09E31B77" w14:textId="10C40281" w:rsidR="00D2697D" w:rsidRDefault="00D2697D" w:rsidP="00D57108">
            <w:pPr>
              <w:jc w:val="right"/>
            </w:pPr>
            <w:r>
              <w:t>1,486</w:t>
            </w:r>
          </w:p>
        </w:tc>
        <w:tc>
          <w:tcPr>
            <w:tcW w:w="1647" w:type="dxa"/>
            <w:shd w:val="clear" w:color="auto" w:fill="FFFFFF" w:themeFill="background1"/>
          </w:tcPr>
          <w:p w14:paraId="68A169FD" w14:textId="4AA0D8BE" w:rsidR="00D2697D" w:rsidRDefault="00D2697D" w:rsidP="00D57108">
            <w:pPr>
              <w:jc w:val="right"/>
            </w:pPr>
            <w:r>
              <w:t>(201)</w:t>
            </w:r>
          </w:p>
        </w:tc>
      </w:tr>
    </w:tbl>
    <w:p w14:paraId="2F6647B7" w14:textId="77777777" w:rsidR="00FA5B24" w:rsidRDefault="00FA5B24" w:rsidP="00402DB2"/>
    <w:p w14:paraId="428EC95D" w14:textId="77777777" w:rsidR="00EF70DB" w:rsidRPr="00DA1E18" w:rsidRDefault="00EF70DB" w:rsidP="00EF70DB">
      <w:pPr>
        <w:rPr>
          <w:rStyle w:val="Strong"/>
        </w:rPr>
      </w:pPr>
      <w:r w:rsidRPr="00DA1E18">
        <w:rPr>
          <w:rStyle w:val="Strong"/>
        </w:rPr>
        <w:t>Interest revenue</w:t>
      </w:r>
    </w:p>
    <w:p w14:paraId="1108A3DF" w14:textId="18CB5A5E" w:rsidR="00EF70DB" w:rsidRDefault="00EF70DB" w:rsidP="00EF70DB">
      <w:r>
        <w:t>The variance reflects higher interest earned from a larger cash investment base due to budget savings and recoveries from HIH liquidation.</w:t>
      </w:r>
    </w:p>
    <w:p w14:paraId="13834A40" w14:textId="77777777" w:rsidR="00EF70DB" w:rsidRPr="00DA1E18" w:rsidRDefault="00EF70DB" w:rsidP="00EF70DB">
      <w:pPr>
        <w:rPr>
          <w:rStyle w:val="Strong"/>
        </w:rPr>
      </w:pPr>
      <w:r w:rsidRPr="00DA1E18">
        <w:rPr>
          <w:rStyle w:val="Strong"/>
        </w:rPr>
        <w:t>Other revenue</w:t>
      </w:r>
    </w:p>
    <w:p w14:paraId="3A10E96B" w14:textId="54217A93" w:rsidR="00EF70DB" w:rsidRDefault="00EF70DB" w:rsidP="00EF70DB">
      <w:r>
        <w:t>The variance is mainly due to higher than expected recoveries from uninsured claims, as well as fines and penalties issued to businesse</w:t>
      </w:r>
      <w:r w:rsidR="00F12F60">
        <w:t>s for failing to have adequate w</w:t>
      </w:r>
      <w:r>
        <w:t xml:space="preserve">orkers </w:t>
      </w:r>
      <w:r w:rsidR="00F12F60">
        <w:t>compensation insurance.  Other r</w:t>
      </w:r>
      <w:r>
        <w:t>evenue also includes unbudgeted registration monies for the Injury Management Conference 2015.</w:t>
      </w:r>
    </w:p>
    <w:p w14:paraId="35D790A1" w14:textId="77777777" w:rsidR="00EF70DB" w:rsidRPr="00DA1E18" w:rsidRDefault="00EF70DB" w:rsidP="00EF70DB">
      <w:pPr>
        <w:rPr>
          <w:rStyle w:val="Strong"/>
        </w:rPr>
      </w:pPr>
      <w:r w:rsidRPr="00DA1E18">
        <w:rPr>
          <w:rStyle w:val="Strong"/>
        </w:rPr>
        <w:t>Employers' Indemnity Supplementation Fund</w:t>
      </w:r>
    </w:p>
    <w:p w14:paraId="6EAC8A5B" w14:textId="30E45A49" w:rsidR="00D2697D" w:rsidRDefault="00EF70DB" w:rsidP="00EF70DB">
      <w:r>
        <w:t>The decrease reflects a slight decline in recoveries received from the administrators of HIH in 2014/15 financial year.</w:t>
      </w:r>
    </w:p>
    <w:p w14:paraId="701716A4" w14:textId="77777777" w:rsidR="00EF70DB" w:rsidRPr="00DA1E18" w:rsidRDefault="00EF70DB" w:rsidP="00EF70DB">
      <w:pPr>
        <w:rPr>
          <w:rStyle w:val="Strong"/>
        </w:rPr>
      </w:pPr>
      <w:r w:rsidRPr="00DA1E18">
        <w:rPr>
          <w:rStyle w:val="Strong"/>
        </w:rPr>
        <w:t>Decrease in claims liability</w:t>
      </w:r>
    </w:p>
    <w:p w14:paraId="7E7B0B71" w14:textId="1F057A66" w:rsidR="00EF70DB" w:rsidRDefault="00EF70DB" w:rsidP="00EF70DB">
      <w:r>
        <w:t>The variance is due to lower than expected claims received during the year, combined with a decrease in the actuarially assessed claims liability in the Employer's Indemnity Supplementation Fund.</w:t>
      </w:r>
    </w:p>
    <w:p w14:paraId="5172F8F8" w14:textId="77777777" w:rsidR="00EF70DB" w:rsidRPr="00DA1E18" w:rsidRDefault="00EF70DB" w:rsidP="00EF70DB">
      <w:pPr>
        <w:rPr>
          <w:rStyle w:val="Strong"/>
        </w:rPr>
      </w:pPr>
      <w:r w:rsidRPr="00DA1E18">
        <w:rPr>
          <w:rStyle w:val="Strong"/>
        </w:rPr>
        <w:t>Supplies &amp; services</w:t>
      </w:r>
    </w:p>
    <w:p w14:paraId="43CBC146" w14:textId="0CDB11FD" w:rsidR="00EF70DB" w:rsidRDefault="00EF70DB" w:rsidP="00EF70DB">
      <w:r>
        <w:t>The increase is primarily due to an increase in disputed workers compensation claims, resulting in additional costs associated with sessional arbitrators.</w:t>
      </w:r>
    </w:p>
    <w:p w14:paraId="7AC277DD" w14:textId="77777777" w:rsidR="00EF70DB" w:rsidRPr="00DA1E18" w:rsidRDefault="00EF70DB" w:rsidP="00EF70DB">
      <w:pPr>
        <w:rPr>
          <w:rStyle w:val="Strong"/>
        </w:rPr>
      </w:pPr>
      <w:r w:rsidRPr="00DA1E18">
        <w:rPr>
          <w:rStyle w:val="Strong"/>
        </w:rPr>
        <w:t>Claims expense</w:t>
      </w:r>
    </w:p>
    <w:p w14:paraId="0E07A2CE" w14:textId="03A77AA4" w:rsidR="00EF70DB" w:rsidRPr="00EF70DB" w:rsidRDefault="00EF70DB" w:rsidP="00EF70DB">
      <w:pPr>
        <w:rPr>
          <w:b/>
        </w:rPr>
      </w:pPr>
      <w:r>
        <w:t xml:space="preserve">The variance is due to lower than expected claims received during the year, combined with a decrease in the actuarially assessed claims liability in the Uninsured </w:t>
      </w:r>
      <w:r w:rsidRPr="000535A0">
        <w:t>and Employer's Indemnity Supplementation Fund.</w:t>
      </w:r>
    </w:p>
    <w:p w14:paraId="55FD72AE" w14:textId="77777777" w:rsidR="00EF70DB" w:rsidRPr="00DA1E18" w:rsidRDefault="00EF70DB" w:rsidP="00EF70DB">
      <w:pPr>
        <w:rPr>
          <w:rStyle w:val="Strong"/>
        </w:rPr>
      </w:pPr>
      <w:r w:rsidRPr="00DA1E18">
        <w:rPr>
          <w:rStyle w:val="Strong"/>
        </w:rPr>
        <w:t>Other expenses</w:t>
      </w:r>
    </w:p>
    <w:p w14:paraId="544259C1" w14:textId="77777777" w:rsidR="000535A0" w:rsidRDefault="00EF70DB" w:rsidP="000535A0">
      <w:r>
        <w:t>The variance is primarily due to lower cost injury management initiatives, including the injury management conference and GP educational programs as well as a reduction in employment oncosts.</w:t>
      </w:r>
    </w:p>
    <w:p w14:paraId="1370DF34" w14:textId="3219ED33" w:rsidR="000535A0" w:rsidRDefault="000535A0" w:rsidP="000535A0">
      <w:pPr>
        <w:pStyle w:val="Heading2nonumber"/>
        <w:numPr>
          <w:ilvl w:val="0"/>
          <w:numId w:val="15"/>
        </w:numPr>
      </w:pPr>
      <w:bookmarkStart w:id="714" w:name="_Toc430091392"/>
      <w:r>
        <w:t>Financial instruments</w:t>
      </w:r>
      <w:bookmarkEnd w:id="714"/>
    </w:p>
    <w:p w14:paraId="51E8743F" w14:textId="02ED8269" w:rsidR="000535A0" w:rsidRDefault="000535A0" w:rsidP="000535A0">
      <w:pPr>
        <w:pStyle w:val="Heading3nonumber"/>
      </w:pPr>
      <w:bookmarkStart w:id="715" w:name="_Toc430091393"/>
      <w:r>
        <w:t>(a) Financial risk management objectives and policies</w:t>
      </w:r>
      <w:bookmarkEnd w:id="715"/>
    </w:p>
    <w:p w14:paraId="73B0AC01" w14:textId="5192FCFC" w:rsidR="000535A0" w:rsidRDefault="000535A0" w:rsidP="000535A0">
      <w:r>
        <w:t>Financial instruments held by the Authority are cash and cash equivalents, restricted cash and cash equivalents, receivables, held-to-maturity investments and payables. The Authority has limited exposure to financial risks. The Authority’s overall risk management program focuses on managing the risks identified below.</w:t>
      </w:r>
    </w:p>
    <w:p w14:paraId="5BC39334" w14:textId="77777777" w:rsidR="000535A0" w:rsidRPr="00DA1E18" w:rsidRDefault="000535A0" w:rsidP="000535A0">
      <w:pPr>
        <w:rPr>
          <w:rStyle w:val="Strong"/>
        </w:rPr>
      </w:pPr>
      <w:r w:rsidRPr="00DA1E18">
        <w:rPr>
          <w:rStyle w:val="Strong"/>
        </w:rPr>
        <w:t>Credit risk</w:t>
      </w:r>
    </w:p>
    <w:p w14:paraId="22407223" w14:textId="16A1F139" w:rsidR="000535A0" w:rsidRDefault="000535A0" w:rsidP="000535A0">
      <w:r>
        <w:t>Credit risk arises when there is the possibility of the Authority’s receivables defaulting on their contractual obligations resulting in financial loss to the Authority. The maximum exposure to credit risk at the end of the reporting period in relation to each class of recognised financial assets is the gross carrying amount of those assets inclusive of any provisions for impairment as shown in the table at note 35(c) ‘Financial instruments disclosures’ and note 20 ‘Receivables’.</w:t>
      </w:r>
    </w:p>
    <w:p w14:paraId="52865D6C" w14:textId="3D4ECD85" w:rsidR="000535A0" w:rsidRDefault="000535A0" w:rsidP="000535A0">
      <w:r>
        <w:t>The Authority has policies in place to ensure that services are provided to customers with an appropriate credit history. In addition, receivable balances are monitored on an ongoing basis with the result that the Authority’s exposure to bad debts is minimal. At the end of the reporting period there were no significant concentrations of credit risk.</w:t>
      </w:r>
    </w:p>
    <w:p w14:paraId="07BAD8BF" w14:textId="77777777" w:rsidR="000535A0" w:rsidRPr="00DA1E18" w:rsidRDefault="000535A0" w:rsidP="000535A0">
      <w:pPr>
        <w:rPr>
          <w:rStyle w:val="Strong"/>
        </w:rPr>
      </w:pPr>
      <w:r w:rsidRPr="00DA1E18">
        <w:rPr>
          <w:rStyle w:val="Strong"/>
        </w:rPr>
        <w:t>Liquidity risk</w:t>
      </w:r>
    </w:p>
    <w:p w14:paraId="7C2A550C" w14:textId="5EA7D990" w:rsidR="000535A0" w:rsidRDefault="000535A0" w:rsidP="000535A0">
      <w:r>
        <w:t>Liquidity risk arises when the Authority is unable to meet its financial obligations as they fall due. The Authority is exposed to liquidity risk through its trading in the normal course of business</w:t>
      </w:r>
      <w:r w:rsidR="000E22CA">
        <w:t xml:space="preserve">. The Authority has appropriate </w:t>
      </w:r>
      <w:r>
        <w:t>procedures to manage cash flows by monitoring forecast cash flows to ensure that sufficient funds are available to meet its commitments.</w:t>
      </w:r>
    </w:p>
    <w:p w14:paraId="7F0DA744" w14:textId="77777777" w:rsidR="000535A0" w:rsidRPr="00DA1E18" w:rsidRDefault="000535A0" w:rsidP="000535A0">
      <w:pPr>
        <w:rPr>
          <w:rStyle w:val="Strong"/>
        </w:rPr>
      </w:pPr>
      <w:r w:rsidRPr="00DA1E18">
        <w:rPr>
          <w:rStyle w:val="Strong"/>
        </w:rPr>
        <w:t>Market risk</w:t>
      </w:r>
    </w:p>
    <w:p w14:paraId="09B24DD6" w14:textId="4A40E4EF" w:rsidR="000535A0" w:rsidRDefault="000535A0" w:rsidP="000535A0">
      <w:r>
        <w:t>Market risk is the risk that changes in market prices such as foreign exchange rates and interest rates will affect    the Authority’s income or the value of its holdings of financial instruments. The Authority does not trade in foreign currency and is not materially exposed to other price risks. Other than as detailed i</w:t>
      </w:r>
      <w:r w:rsidR="000E22CA">
        <w:t xml:space="preserve">n the interest rate sensitivity </w:t>
      </w:r>
      <w:r>
        <w:t>analysis table at note 35(c), the Authority is not exposed to any further interest rate risk. The Authority's exposure to market risk for changes in interest rates relates primarily to the cash at bank and term deposit holdings.</w:t>
      </w:r>
    </w:p>
    <w:p w14:paraId="1615A3A9" w14:textId="284BA6CE" w:rsidR="000535A0" w:rsidRDefault="000535A0" w:rsidP="000535A0">
      <w:pPr>
        <w:pStyle w:val="Heading3nonumber"/>
      </w:pPr>
      <w:bookmarkStart w:id="716" w:name="_Toc430091394"/>
      <w:r>
        <w:t>(b) Categories of financial instruments</w:t>
      </w:r>
      <w:bookmarkEnd w:id="716"/>
    </w:p>
    <w:p w14:paraId="19DF2B12" w14:textId="036E174D" w:rsidR="00EF70DB" w:rsidRDefault="000535A0" w:rsidP="001E7D08">
      <w:r>
        <w:t>The carrying amounts of each of the following categories of financial assets and financial liabilities at the end of the reporting period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2081"/>
        <w:gridCol w:w="2004"/>
      </w:tblGrid>
      <w:tr w:rsidR="00F94EF0" w14:paraId="22E00579" w14:textId="77777777" w:rsidTr="00D57108">
        <w:tc>
          <w:tcPr>
            <w:tcW w:w="5070" w:type="dxa"/>
          </w:tcPr>
          <w:p w14:paraId="51A3BBDE" w14:textId="77777777" w:rsidR="00F94EF0" w:rsidRDefault="00F94EF0" w:rsidP="00D57108"/>
        </w:tc>
        <w:tc>
          <w:tcPr>
            <w:tcW w:w="2126" w:type="dxa"/>
          </w:tcPr>
          <w:p w14:paraId="116B0912" w14:textId="77777777" w:rsidR="00F94EF0" w:rsidRDefault="00F94EF0" w:rsidP="00D57108">
            <w:pPr>
              <w:jc w:val="right"/>
            </w:pPr>
            <w:r>
              <w:t>2015</w:t>
            </w:r>
            <w:r>
              <w:br/>
              <w:t>$000</w:t>
            </w:r>
          </w:p>
        </w:tc>
        <w:tc>
          <w:tcPr>
            <w:tcW w:w="2046" w:type="dxa"/>
          </w:tcPr>
          <w:p w14:paraId="5247ADB6" w14:textId="77777777" w:rsidR="00F94EF0" w:rsidRDefault="00F94EF0" w:rsidP="00D57108">
            <w:pPr>
              <w:jc w:val="right"/>
            </w:pPr>
            <w:r>
              <w:t>2014</w:t>
            </w:r>
            <w:r>
              <w:br/>
              <w:t>$000</w:t>
            </w:r>
          </w:p>
        </w:tc>
      </w:tr>
      <w:tr w:rsidR="00F94EF0" w14:paraId="1A65A058" w14:textId="77777777" w:rsidTr="001E7D08">
        <w:tc>
          <w:tcPr>
            <w:tcW w:w="5070" w:type="dxa"/>
          </w:tcPr>
          <w:p w14:paraId="073EAB15" w14:textId="48588FB4" w:rsidR="00F94EF0" w:rsidRPr="001E7D08" w:rsidRDefault="001E7D08" w:rsidP="00D57108">
            <w:pPr>
              <w:rPr>
                <w:i/>
              </w:rPr>
            </w:pPr>
            <w:r w:rsidRPr="001E7D08">
              <w:rPr>
                <w:i/>
              </w:rPr>
              <w:t>Financial Assets</w:t>
            </w:r>
          </w:p>
        </w:tc>
        <w:tc>
          <w:tcPr>
            <w:tcW w:w="2126" w:type="dxa"/>
            <w:shd w:val="clear" w:color="auto" w:fill="FFFFFF" w:themeFill="background1"/>
          </w:tcPr>
          <w:p w14:paraId="0A35F9FB" w14:textId="77777777" w:rsidR="00F94EF0" w:rsidRDefault="00F94EF0" w:rsidP="00D57108">
            <w:pPr>
              <w:jc w:val="right"/>
            </w:pPr>
          </w:p>
        </w:tc>
        <w:tc>
          <w:tcPr>
            <w:tcW w:w="2046" w:type="dxa"/>
            <w:shd w:val="clear" w:color="auto" w:fill="FFFFFF" w:themeFill="background1"/>
          </w:tcPr>
          <w:p w14:paraId="53C3D23F" w14:textId="77777777" w:rsidR="00F94EF0" w:rsidRDefault="00F94EF0" w:rsidP="00D57108">
            <w:pPr>
              <w:jc w:val="right"/>
            </w:pPr>
          </w:p>
        </w:tc>
      </w:tr>
      <w:tr w:rsidR="00F94EF0" w14:paraId="73BBF6D1" w14:textId="77777777" w:rsidTr="001E7D08">
        <w:tc>
          <w:tcPr>
            <w:tcW w:w="5070" w:type="dxa"/>
          </w:tcPr>
          <w:p w14:paraId="47C50132" w14:textId="27980473" w:rsidR="00F94EF0" w:rsidRPr="00802B19" w:rsidRDefault="001E7D08" w:rsidP="00D57108">
            <w:r>
              <w:t xml:space="preserve">Cash and cash equivalents </w:t>
            </w:r>
          </w:p>
        </w:tc>
        <w:tc>
          <w:tcPr>
            <w:tcW w:w="2126" w:type="dxa"/>
            <w:shd w:val="clear" w:color="auto" w:fill="F5EDC1" w:themeFill="accent4"/>
          </w:tcPr>
          <w:p w14:paraId="6BCBC1F7" w14:textId="0DEF69C6" w:rsidR="00F94EF0" w:rsidRDefault="001E7D08" w:rsidP="00D57108">
            <w:pPr>
              <w:jc w:val="right"/>
            </w:pPr>
            <w:r>
              <w:t>9,704</w:t>
            </w:r>
          </w:p>
        </w:tc>
        <w:tc>
          <w:tcPr>
            <w:tcW w:w="2046" w:type="dxa"/>
            <w:shd w:val="clear" w:color="auto" w:fill="D4E2E0" w:themeFill="accent5"/>
          </w:tcPr>
          <w:p w14:paraId="02DD02AA" w14:textId="34B99B09" w:rsidR="00F94EF0" w:rsidRDefault="001E7D08" w:rsidP="00D57108">
            <w:pPr>
              <w:jc w:val="right"/>
            </w:pPr>
            <w:r>
              <w:t>8,917</w:t>
            </w:r>
          </w:p>
        </w:tc>
      </w:tr>
      <w:tr w:rsidR="00F94EF0" w:rsidRPr="00802B19" w14:paraId="0F1EC9FB" w14:textId="77777777" w:rsidTr="001E7D08">
        <w:tc>
          <w:tcPr>
            <w:tcW w:w="5070" w:type="dxa"/>
          </w:tcPr>
          <w:p w14:paraId="0CF89F93" w14:textId="22CD510B" w:rsidR="00F94EF0" w:rsidRDefault="001E7D08" w:rsidP="00D57108">
            <w:r>
              <w:t>Restricted cash</w:t>
            </w:r>
          </w:p>
        </w:tc>
        <w:tc>
          <w:tcPr>
            <w:tcW w:w="2126" w:type="dxa"/>
            <w:shd w:val="clear" w:color="auto" w:fill="F5EDC1" w:themeFill="accent4"/>
          </w:tcPr>
          <w:p w14:paraId="390E872C" w14:textId="39AAD708" w:rsidR="00F94EF0" w:rsidRPr="001E7D08" w:rsidRDefault="001E7D08" w:rsidP="00D57108">
            <w:pPr>
              <w:jc w:val="right"/>
            </w:pPr>
            <w:r w:rsidRPr="001E7D08">
              <w:t>82,678</w:t>
            </w:r>
          </w:p>
        </w:tc>
        <w:tc>
          <w:tcPr>
            <w:tcW w:w="2046" w:type="dxa"/>
            <w:shd w:val="clear" w:color="auto" w:fill="D4E2E0" w:themeFill="accent5"/>
          </w:tcPr>
          <w:p w14:paraId="7D64625F" w14:textId="558220B7" w:rsidR="00F94EF0" w:rsidRPr="001E7D08" w:rsidRDefault="001E7D08" w:rsidP="00D57108">
            <w:pPr>
              <w:jc w:val="right"/>
            </w:pPr>
            <w:r w:rsidRPr="001E7D08">
              <w:t>72,607</w:t>
            </w:r>
          </w:p>
        </w:tc>
      </w:tr>
      <w:tr w:rsidR="001E7D08" w:rsidRPr="00802B19" w14:paraId="040B9AD4" w14:textId="77777777" w:rsidTr="001E7D08">
        <w:tc>
          <w:tcPr>
            <w:tcW w:w="5070" w:type="dxa"/>
          </w:tcPr>
          <w:p w14:paraId="58899C32" w14:textId="4C3F63E6" w:rsidR="001E7D08" w:rsidRDefault="001E7D08" w:rsidP="00D57108">
            <w:r>
              <w:t>Receivables</w:t>
            </w:r>
            <w:r w:rsidRPr="001E7D08">
              <w:rPr>
                <w:vertAlign w:val="superscript"/>
              </w:rPr>
              <w:t>(i)</w:t>
            </w:r>
          </w:p>
        </w:tc>
        <w:tc>
          <w:tcPr>
            <w:tcW w:w="2126" w:type="dxa"/>
            <w:shd w:val="clear" w:color="auto" w:fill="F5EDC1" w:themeFill="accent4"/>
          </w:tcPr>
          <w:p w14:paraId="323A1457" w14:textId="36E840D4" w:rsidR="001E7D08" w:rsidRPr="001E7D08" w:rsidRDefault="001E7D08" w:rsidP="00D57108">
            <w:pPr>
              <w:jc w:val="right"/>
            </w:pPr>
            <w:r>
              <w:t>999</w:t>
            </w:r>
          </w:p>
        </w:tc>
        <w:tc>
          <w:tcPr>
            <w:tcW w:w="2046" w:type="dxa"/>
            <w:shd w:val="clear" w:color="auto" w:fill="D4E2E0" w:themeFill="accent5"/>
          </w:tcPr>
          <w:p w14:paraId="792B0FD7" w14:textId="070BC96E" w:rsidR="001E7D08" w:rsidRPr="001E7D08" w:rsidRDefault="001E7D08" w:rsidP="00D57108">
            <w:pPr>
              <w:jc w:val="right"/>
            </w:pPr>
            <w:r>
              <w:t>1,183</w:t>
            </w:r>
          </w:p>
        </w:tc>
      </w:tr>
      <w:tr w:rsidR="001E7D08" w:rsidRPr="00802B19" w14:paraId="401E52A9" w14:textId="77777777" w:rsidTr="001E7D08">
        <w:tc>
          <w:tcPr>
            <w:tcW w:w="5070" w:type="dxa"/>
          </w:tcPr>
          <w:p w14:paraId="10DEC0F6" w14:textId="712E7D8A" w:rsidR="001E7D08" w:rsidRDefault="001E7D08" w:rsidP="00D57108">
            <w:r>
              <w:t>Held-to-maturity investments</w:t>
            </w:r>
          </w:p>
        </w:tc>
        <w:tc>
          <w:tcPr>
            <w:tcW w:w="2126" w:type="dxa"/>
            <w:shd w:val="clear" w:color="auto" w:fill="F5EDC1" w:themeFill="accent4"/>
          </w:tcPr>
          <w:p w14:paraId="4C9D5A83" w14:textId="1F9309A0" w:rsidR="001E7D08" w:rsidRDefault="001E7D08" w:rsidP="00D57108">
            <w:pPr>
              <w:jc w:val="right"/>
            </w:pPr>
            <w:r>
              <w:t>13,424</w:t>
            </w:r>
          </w:p>
        </w:tc>
        <w:tc>
          <w:tcPr>
            <w:tcW w:w="2046" w:type="dxa"/>
            <w:shd w:val="clear" w:color="auto" w:fill="D4E2E0" w:themeFill="accent5"/>
          </w:tcPr>
          <w:p w14:paraId="4BA62676" w14:textId="66E50794" w:rsidR="001E7D08" w:rsidRDefault="001E7D08" w:rsidP="00D57108">
            <w:pPr>
              <w:jc w:val="right"/>
            </w:pPr>
            <w:r>
              <w:t>9,908</w:t>
            </w:r>
          </w:p>
        </w:tc>
      </w:tr>
      <w:tr w:rsidR="001E7D08" w:rsidRPr="00802B19" w14:paraId="085B93E1" w14:textId="77777777" w:rsidTr="001E7D08">
        <w:tc>
          <w:tcPr>
            <w:tcW w:w="5070" w:type="dxa"/>
            <w:shd w:val="clear" w:color="auto" w:fill="FFFFFF" w:themeFill="background1"/>
          </w:tcPr>
          <w:p w14:paraId="0F08C39E" w14:textId="3C44E193" w:rsidR="001E7D08" w:rsidRPr="001E7D08" w:rsidRDefault="001E7D08" w:rsidP="00D57108">
            <w:pPr>
              <w:rPr>
                <w:i/>
              </w:rPr>
            </w:pPr>
            <w:r w:rsidRPr="001E7D08">
              <w:rPr>
                <w:i/>
              </w:rPr>
              <w:t>Financial Liabilities</w:t>
            </w:r>
          </w:p>
        </w:tc>
        <w:tc>
          <w:tcPr>
            <w:tcW w:w="2126" w:type="dxa"/>
            <w:shd w:val="clear" w:color="auto" w:fill="FFFFFF" w:themeFill="background1"/>
          </w:tcPr>
          <w:p w14:paraId="5E453D44" w14:textId="77777777" w:rsidR="001E7D08" w:rsidRPr="001E7D08" w:rsidRDefault="001E7D08" w:rsidP="00D57108">
            <w:pPr>
              <w:jc w:val="right"/>
              <w:rPr>
                <w:i/>
              </w:rPr>
            </w:pPr>
          </w:p>
        </w:tc>
        <w:tc>
          <w:tcPr>
            <w:tcW w:w="2046" w:type="dxa"/>
            <w:shd w:val="clear" w:color="auto" w:fill="FFFFFF" w:themeFill="background1"/>
          </w:tcPr>
          <w:p w14:paraId="214C54BD" w14:textId="77777777" w:rsidR="001E7D08" w:rsidRPr="001E7D08" w:rsidRDefault="001E7D08" w:rsidP="00D57108">
            <w:pPr>
              <w:jc w:val="right"/>
              <w:rPr>
                <w:i/>
              </w:rPr>
            </w:pPr>
          </w:p>
        </w:tc>
      </w:tr>
      <w:tr w:rsidR="001E7D08" w:rsidRPr="00802B19" w14:paraId="0E81DE28" w14:textId="77777777" w:rsidTr="001E7D08">
        <w:tc>
          <w:tcPr>
            <w:tcW w:w="5070" w:type="dxa"/>
          </w:tcPr>
          <w:p w14:paraId="5E44853E" w14:textId="27346592" w:rsidR="001E7D08" w:rsidRDefault="001E7D08" w:rsidP="00D57108">
            <w:r>
              <w:t>Payables</w:t>
            </w:r>
          </w:p>
        </w:tc>
        <w:tc>
          <w:tcPr>
            <w:tcW w:w="2126" w:type="dxa"/>
            <w:shd w:val="clear" w:color="auto" w:fill="F5EDC1" w:themeFill="accent4"/>
          </w:tcPr>
          <w:p w14:paraId="05B889BF" w14:textId="20295EFE" w:rsidR="001E7D08" w:rsidRDefault="001E7D08" w:rsidP="00D57108">
            <w:pPr>
              <w:jc w:val="right"/>
            </w:pPr>
            <w:r>
              <w:t>1,238</w:t>
            </w:r>
          </w:p>
        </w:tc>
        <w:tc>
          <w:tcPr>
            <w:tcW w:w="2046" w:type="dxa"/>
            <w:shd w:val="clear" w:color="auto" w:fill="D4E2E0" w:themeFill="accent5"/>
          </w:tcPr>
          <w:p w14:paraId="13891F49" w14:textId="6E2DFEA7" w:rsidR="001E7D08" w:rsidRDefault="001E7D08" w:rsidP="00D57108">
            <w:pPr>
              <w:jc w:val="right"/>
            </w:pPr>
            <w:r>
              <w:t>863</w:t>
            </w:r>
          </w:p>
        </w:tc>
      </w:tr>
    </w:tbl>
    <w:p w14:paraId="61606A64" w14:textId="77777777" w:rsidR="00F94EF0" w:rsidRDefault="00F94EF0" w:rsidP="001E7D08"/>
    <w:p w14:paraId="5E0F2921" w14:textId="1D138DEA" w:rsidR="001E7D08" w:rsidRDefault="001E7D08" w:rsidP="001E7D08">
      <w:r>
        <w:t>(i</w:t>
      </w:r>
      <w:r w:rsidRPr="001E7D08">
        <w:t>) The amount of receivables excludes GST recoverable from the ATO (statutory receivable).</w:t>
      </w:r>
    </w:p>
    <w:p w14:paraId="68B6C9CE" w14:textId="77777777" w:rsidR="00BE6919" w:rsidRDefault="00BE6919" w:rsidP="000E22CA">
      <w:pPr>
        <w:keepLines w:val="0"/>
        <w:spacing w:after="0" w:line="240" w:lineRule="auto"/>
        <w:rPr>
          <w:rFonts w:eastAsiaTheme="majorEastAsia" w:cs="Arial"/>
          <w:b/>
          <w:bCs/>
          <w:iCs/>
          <w:color w:val="205352"/>
          <w:sz w:val="30"/>
          <w:szCs w:val="30"/>
        </w:rPr>
        <w:sectPr w:rsidR="00BE6919" w:rsidSect="00184DF0">
          <w:headerReference w:type="default" r:id="rId47"/>
          <w:pgSz w:w="11906" w:h="16838"/>
          <w:pgMar w:top="1440" w:right="1440" w:bottom="1440" w:left="1440" w:header="709" w:footer="0" w:gutter="0"/>
          <w:cols w:space="708"/>
          <w:docGrid w:linePitch="360"/>
        </w:sectPr>
      </w:pPr>
    </w:p>
    <w:p w14:paraId="0DF8373A" w14:textId="5CFF5776" w:rsidR="00D57108" w:rsidRPr="00D57108" w:rsidRDefault="00D57108" w:rsidP="00D57108">
      <w:pPr>
        <w:pStyle w:val="Heading3nonumber"/>
        <w:rPr>
          <w:rFonts w:eastAsiaTheme="majorEastAsia"/>
        </w:rPr>
      </w:pPr>
      <w:bookmarkStart w:id="717" w:name="_Toc430091395"/>
      <w:r w:rsidRPr="00D57108">
        <w:rPr>
          <w:rFonts w:eastAsiaTheme="majorEastAsia"/>
        </w:rPr>
        <w:t>(c)</w:t>
      </w:r>
      <w:r w:rsidRPr="00D57108">
        <w:rPr>
          <w:rFonts w:eastAsiaTheme="majorEastAsia"/>
        </w:rPr>
        <w:tab/>
        <w:t>Financial instrument disclosures</w:t>
      </w:r>
      <w:bookmarkEnd w:id="717"/>
    </w:p>
    <w:p w14:paraId="066B6C70" w14:textId="77777777" w:rsidR="00D57108" w:rsidRPr="00DA1E18" w:rsidRDefault="00D57108" w:rsidP="00D57108">
      <w:pPr>
        <w:rPr>
          <w:rStyle w:val="Strong"/>
          <w:rFonts w:eastAsiaTheme="majorEastAsia"/>
        </w:rPr>
      </w:pPr>
      <w:r w:rsidRPr="00DA1E18">
        <w:rPr>
          <w:rStyle w:val="Strong"/>
          <w:rFonts w:eastAsiaTheme="majorEastAsia"/>
        </w:rPr>
        <w:t>Credit risk</w:t>
      </w:r>
    </w:p>
    <w:p w14:paraId="427012FD" w14:textId="6F9E377B" w:rsidR="00D57108" w:rsidRPr="00D57108" w:rsidRDefault="00D57108" w:rsidP="00D57108">
      <w:pPr>
        <w:rPr>
          <w:rFonts w:eastAsiaTheme="majorEastAsia"/>
        </w:rPr>
      </w:pPr>
      <w:r w:rsidRPr="00D57108">
        <w:rPr>
          <w:rFonts w:eastAsiaTheme="majorEastAsia"/>
        </w:rPr>
        <w:t>The following table discloses the Authority’s maximum exposure to credit risk, interest rate exposures and the ageing analysis of financial assets. The Authority’s maximum exposure to credit risk at the end of the reporting period is the carrying amount of financial assets as shown below. The table discloses the ageing of financial assets that are past due but not impaired and impaired financial assets. The table is based on information provided to seni</w:t>
      </w:r>
      <w:r>
        <w:rPr>
          <w:rFonts w:eastAsiaTheme="majorEastAsia"/>
        </w:rPr>
        <w:t>or management of the Authority.</w:t>
      </w:r>
    </w:p>
    <w:p w14:paraId="0F5065E5" w14:textId="60955C35" w:rsidR="00F94EF0" w:rsidRDefault="00D57108" w:rsidP="00D57108">
      <w:pPr>
        <w:rPr>
          <w:rFonts w:eastAsiaTheme="majorEastAsia"/>
        </w:rPr>
      </w:pPr>
      <w:r w:rsidRPr="00D57108">
        <w:rPr>
          <w:rFonts w:eastAsiaTheme="majorEastAsia"/>
        </w:rPr>
        <w:t>The Authority does not hold any collateral as security or other credit enhancement relating to the financial assets it holds.</w:t>
      </w:r>
    </w:p>
    <w:p w14:paraId="32F5A025" w14:textId="3F8F7DB9" w:rsidR="00D57108" w:rsidRDefault="00D57108" w:rsidP="00D57108">
      <w:pPr>
        <w:rPr>
          <w:rFonts w:eastAsiaTheme="majorEastAsia"/>
          <w:b/>
        </w:rPr>
      </w:pPr>
      <w:r>
        <w:rPr>
          <w:rFonts w:eastAsiaTheme="majorEastAsia"/>
          <w:b/>
        </w:rPr>
        <w:t>Ag</w:t>
      </w:r>
      <w:r w:rsidR="00556CB1">
        <w:rPr>
          <w:rFonts w:eastAsiaTheme="majorEastAsia"/>
          <w:b/>
        </w:rPr>
        <w:t>ed analysis of financial assets</w:t>
      </w:r>
    </w:p>
    <w:tbl>
      <w:tblPr>
        <w:tblStyle w:val="TableGrid"/>
        <w:tblW w:w="0" w:type="auto"/>
        <w:tblLook w:val="04A0" w:firstRow="1" w:lastRow="0" w:firstColumn="1" w:lastColumn="0" w:noHBand="0" w:noVBand="1"/>
      </w:tblPr>
      <w:tblGrid>
        <w:gridCol w:w="1719"/>
        <w:gridCol w:w="1540"/>
        <w:gridCol w:w="1542"/>
        <w:gridCol w:w="86"/>
        <w:gridCol w:w="1432"/>
        <w:gridCol w:w="1530"/>
        <w:gridCol w:w="1530"/>
        <w:gridCol w:w="1530"/>
        <w:gridCol w:w="1503"/>
        <w:gridCol w:w="1546"/>
      </w:tblGrid>
      <w:tr w:rsidR="007449CD" w14:paraId="536FCDE1" w14:textId="77777777" w:rsidTr="00DE6218">
        <w:tc>
          <w:tcPr>
            <w:tcW w:w="4928" w:type="dxa"/>
            <w:gridSpan w:val="4"/>
            <w:tcBorders>
              <w:top w:val="nil"/>
              <w:left w:val="nil"/>
              <w:bottom w:val="nil"/>
              <w:right w:val="nil"/>
            </w:tcBorders>
          </w:tcPr>
          <w:p w14:paraId="3E1219E9" w14:textId="77777777" w:rsidR="007449CD" w:rsidRDefault="007449CD" w:rsidP="00D57108">
            <w:pPr>
              <w:rPr>
                <w:rFonts w:eastAsiaTheme="majorEastAsia"/>
                <w:b/>
              </w:rPr>
            </w:pPr>
          </w:p>
        </w:tc>
        <w:tc>
          <w:tcPr>
            <w:tcW w:w="9246" w:type="dxa"/>
            <w:gridSpan w:val="6"/>
            <w:tcBorders>
              <w:top w:val="nil"/>
              <w:left w:val="nil"/>
              <w:bottom w:val="nil"/>
              <w:right w:val="nil"/>
            </w:tcBorders>
          </w:tcPr>
          <w:p w14:paraId="5778E180" w14:textId="764647F1" w:rsidR="007449CD" w:rsidRDefault="007449CD" w:rsidP="00166572">
            <w:pPr>
              <w:jc w:val="center"/>
              <w:rPr>
                <w:rFonts w:eastAsiaTheme="majorEastAsia"/>
                <w:b/>
              </w:rPr>
            </w:pPr>
            <w:r w:rsidRPr="007449CD">
              <w:rPr>
                <w:rFonts w:eastAsiaTheme="majorEastAsia"/>
                <w:b/>
              </w:rPr>
              <w:t>Past Due But Not Impaired</w:t>
            </w:r>
          </w:p>
        </w:tc>
      </w:tr>
      <w:tr w:rsidR="00556CB1" w14:paraId="6E958B4B" w14:textId="77777777" w:rsidTr="001665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068DCF05" w14:textId="1A4660B3" w:rsidR="00D57108" w:rsidRPr="00D57108" w:rsidRDefault="00D57108" w:rsidP="00D57108">
            <w:pPr>
              <w:rPr>
                <w:rFonts w:eastAsiaTheme="majorEastAsia"/>
              </w:rPr>
            </w:pPr>
            <w:r w:rsidRPr="00D57108">
              <w:rPr>
                <w:rFonts w:eastAsiaTheme="majorEastAsia"/>
                <w:b/>
              </w:rPr>
              <w:t>2015</w:t>
            </w:r>
            <w:r w:rsidRPr="00D57108">
              <w:rPr>
                <w:rFonts w:eastAsiaTheme="majorEastAsia"/>
              </w:rPr>
              <w:br/>
            </w:r>
            <w:r w:rsidRPr="00D57108">
              <w:rPr>
                <w:rFonts w:eastAsiaTheme="majorEastAsia"/>
                <w:i/>
              </w:rPr>
              <w:t>Financial Assets</w:t>
            </w:r>
          </w:p>
        </w:tc>
        <w:tc>
          <w:tcPr>
            <w:tcW w:w="1561" w:type="dxa"/>
          </w:tcPr>
          <w:p w14:paraId="094BA2B3" w14:textId="53659907" w:rsidR="00D57108" w:rsidRPr="00D57108" w:rsidRDefault="00D57108" w:rsidP="00BF0C2F">
            <w:pPr>
              <w:jc w:val="right"/>
              <w:rPr>
                <w:rFonts w:eastAsiaTheme="majorEastAsia"/>
                <w:b/>
              </w:rPr>
            </w:pPr>
            <w:r>
              <w:rPr>
                <w:rFonts w:eastAsiaTheme="majorEastAsia"/>
                <w:b/>
              </w:rPr>
              <w:t>Carrying Amount</w:t>
            </w:r>
            <w:r>
              <w:rPr>
                <w:rFonts w:eastAsiaTheme="majorEastAsia"/>
                <w:b/>
              </w:rPr>
              <w:br/>
            </w:r>
            <w:r w:rsidR="00556CB1">
              <w:rPr>
                <w:rFonts w:eastAsiaTheme="majorEastAsia"/>
                <w:b/>
              </w:rPr>
              <w:br/>
            </w:r>
            <w:r w:rsidR="00556CB1">
              <w:rPr>
                <w:rFonts w:eastAsiaTheme="majorEastAsia"/>
                <w:b/>
              </w:rPr>
              <w:br/>
            </w:r>
          </w:p>
        </w:tc>
        <w:tc>
          <w:tcPr>
            <w:tcW w:w="1562" w:type="dxa"/>
          </w:tcPr>
          <w:p w14:paraId="35AD6320" w14:textId="67A6498E" w:rsidR="00D57108" w:rsidRPr="00D57108" w:rsidRDefault="00D57108" w:rsidP="00BF0C2F">
            <w:pPr>
              <w:jc w:val="right"/>
              <w:rPr>
                <w:rFonts w:eastAsiaTheme="majorEastAsia"/>
                <w:b/>
              </w:rPr>
            </w:pPr>
            <w:r>
              <w:rPr>
                <w:rFonts w:eastAsiaTheme="majorEastAsia"/>
                <w:b/>
              </w:rPr>
              <w:t>Not past due and not impaired</w:t>
            </w:r>
            <w:r>
              <w:rPr>
                <w:rFonts w:eastAsiaTheme="majorEastAsia"/>
                <w:b/>
              </w:rPr>
              <w:br/>
            </w:r>
          </w:p>
        </w:tc>
        <w:tc>
          <w:tcPr>
            <w:tcW w:w="1552" w:type="dxa"/>
            <w:gridSpan w:val="2"/>
            <w:tcBorders>
              <w:top w:val="single" w:sz="4" w:space="0" w:color="auto"/>
            </w:tcBorders>
          </w:tcPr>
          <w:p w14:paraId="57C0A202" w14:textId="3271D0D7" w:rsidR="00D57108" w:rsidRPr="00D57108" w:rsidRDefault="00D57108" w:rsidP="00BF0C2F">
            <w:pPr>
              <w:jc w:val="right"/>
              <w:rPr>
                <w:rFonts w:eastAsiaTheme="majorEastAsia"/>
                <w:b/>
              </w:rPr>
            </w:pPr>
            <w:r>
              <w:rPr>
                <w:rFonts w:eastAsiaTheme="majorEastAsia"/>
                <w:b/>
              </w:rPr>
              <w:t>Up to 1 month</w:t>
            </w:r>
            <w:r>
              <w:rPr>
                <w:rFonts w:eastAsiaTheme="majorEastAsia"/>
                <w:b/>
              </w:rPr>
              <w:br/>
            </w:r>
            <w:r w:rsidR="00556CB1">
              <w:rPr>
                <w:rFonts w:eastAsiaTheme="majorEastAsia"/>
                <w:b/>
              </w:rPr>
              <w:br/>
            </w:r>
            <w:r w:rsidR="00556CB1">
              <w:rPr>
                <w:rFonts w:eastAsiaTheme="majorEastAsia"/>
                <w:b/>
              </w:rPr>
              <w:br/>
            </w:r>
          </w:p>
        </w:tc>
        <w:tc>
          <w:tcPr>
            <w:tcW w:w="1557" w:type="dxa"/>
            <w:tcBorders>
              <w:top w:val="single" w:sz="4" w:space="0" w:color="auto"/>
            </w:tcBorders>
          </w:tcPr>
          <w:p w14:paraId="14140956" w14:textId="4437F9AA" w:rsidR="00D57108" w:rsidRPr="00D57108" w:rsidRDefault="00D57108" w:rsidP="00BF0C2F">
            <w:pPr>
              <w:jc w:val="right"/>
              <w:rPr>
                <w:rFonts w:eastAsiaTheme="majorEastAsia"/>
                <w:b/>
              </w:rPr>
            </w:pPr>
            <w:r>
              <w:rPr>
                <w:rFonts w:eastAsiaTheme="majorEastAsia"/>
                <w:b/>
              </w:rPr>
              <w:t>1 to 3 months</w:t>
            </w:r>
            <w:r>
              <w:rPr>
                <w:rFonts w:eastAsiaTheme="majorEastAsia"/>
                <w:b/>
              </w:rPr>
              <w:br/>
            </w:r>
            <w:r w:rsidR="00556CB1">
              <w:rPr>
                <w:rFonts w:eastAsiaTheme="majorEastAsia"/>
                <w:b/>
              </w:rPr>
              <w:br/>
            </w:r>
            <w:r w:rsidR="00556CB1">
              <w:rPr>
                <w:rFonts w:eastAsiaTheme="majorEastAsia"/>
                <w:b/>
              </w:rPr>
              <w:br/>
            </w:r>
          </w:p>
        </w:tc>
        <w:tc>
          <w:tcPr>
            <w:tcW w:w="1557" w:type="dxa"/>
            <w:tcBorders>
              <w:top w:val="single" w:sz="4" w:space="0" w:color="auto"/>
            </w:tcBorders>
          </w:tcPr>
          <w:p w14:paraId="5FB6DD37" w14:textId="1CE7737D" w:rsidR="00D57108" w:rsidRPr="00D57108" w:rsidRDefault="00D57108" w:rsidP="00BF0C2F">
            <w:pPr>
              <w:jc w:val="right"/>
              <w:rPr>
                <w:rFonts w:eastAsiaTheme="majorEastAsia"/>
                <w:b/>
              </w:rPr>
            </w:pPr>
            <w:r>
              <w:rPr>
                <w:rFonts w:eastAsiaTheme="majorEastAsia"/>
                <w:b/>
              </w:rPr>
              <w:br/>
              <w:t>3 to 6 months</w:t>
            </w:r>
          </w:p>
        </w:tc>
        <w:tc>
          <w:tcPr>
            <w:tcW w:w="1557" w:type="dxa"/>
            <w:tcBorders>
              <w:top w:val="single" w:sz="4" w:space="0" w:color="auto"/>
            </w:tcBorders>
          </w:tcPr>
          <w:p w14:paraId="055170EF" w14:textId="1712B860" w:rsidR="00D57108" w:rsidRPr="00D57108" w:rsidRDefault="00556CB1" w:rsidP="00BF0C2F">
            <w:pPr>
              <w:jc w:val="right"/>
              <w:rPr>
                <w:rFonts w:eastAsiaTheme="majorEastAsia"/>
                <w:b/>
              </w:rPr>
            </w:pPr>
            <w:r>
              <w:rPr>
                <w:rFonts w:eastAsiaTheme="majorEastAsia"/>
                <w:b/>
              </w:rPr>
              <w:t>6 to 12 months</w:t>
            </w:r>
            <w:r>
              <w:rPr>
                <w:rFonts w:eastAsiaTheme="majorEastAsia"/>
                <w:b/>
              </w:rPr>
              <w:br/>
            </w:r>
            <w:r>
              <w:rPr>
                <w:rFonts w:eastAsiaTheme="majorEastAsia"/>
                <w:b/>
              </w:rPr>
              <w:br/>
            </w:r>
          </w:p>
        </w:tc>
        <w:tc>
          <w:tcPr>
            <w:tcW w:w="1546" w:type="dxa"/>
            <w:tcBorders>
              <w:top w:val="single" w:sz="4" w:space="0" w:color="auto"/>
            </w:tcBorders>
          </w:tcPr>
          <w:p w14:paraId="20662E28" w14:textId="06BC8F69" w:rsidR="00D57108" w:rsidRPr="00D57108" w:rsidRDefault="00556CB1" w:rsidP="00BF0C2F">
            <w:pPr>
              <w:jc w:val="right"/>
              <w:rPr>
                <w:rFonts w:eastAsiaTheme="majorEastAsia"/>
                <w:b/>
              </w:rPr>
            </w:pPr>
            <w:r>
              <w:rPr>
                <w:rFonts w:eastAsiaTheme="majorEastAsia"/>
                <w:b/>
              </w:rPr>
              <w:t>More than 1 Year</w:t>
            </w:r>
            <w:r>
              <w:rPr>
                <w:rFonts w:eastAsiaTheme="majorEastAsia"/>
                <w:b/>
              </w:rPr>
              <w:br/>
            </w:r>
          </w:p>
        </w:tc>
        <w:tc>
          <w:tcPr>
            <w:tcW w:w="1563" w:type="dxa"/>
          </w:tcPr>
          <w:p w14:paraId="0B058A41" w14:textId="4D7639AF" w:rsidR="00D57108" w:rsidRPr="00D57108" w:rsidRDefault="00556CB1" w:rsidP="00BF0C2F">
            <w:pPr>
              <w:jc w:val="right"/>
              <w:rPr>
                <w:rFonts w:eastAsiaTheme="majorEastAsia"/>
                <w:b/>
              </w:rPr>
            </w:pPr>
            <w:r>
              <w:rPr>
                <w:rFonts w:eastAsiaTheme="majorEastAsia"/>
                <w:b/>
              </w:rPr>
              <w:t>Impaired Financial Assets</w:t>
            </w:r>
            <w:r>
              <w:rPr>
                <w:rFonts w:eastAsiaTheme="majorEastAsia"/>
                <w:b/>
              </w:rPr>
              <w:br/>
            </w:r>
          </w:p>
        </w:tc>
      </w:tr>
      <w:tr w:rsidR="00556CB1" w14:paraId="55D808E9" w14:textId="77777777" w:rsidTr="00E45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7A0DB879" w14:textId="0EEBE86C" w:rsidR="00D57108" w:rsidRPr="00D57108" w:rsidRDefault="00D57108" w:rsidP="00D57108">
            <w:pPr>
              <w:rPr>
                <w:rFonts w:eastAsiaTheme="majorEastAsia"/>
              </w:rPr>
            </w:pPr>
          </w:p>
        </w:tc>
        <w:tc>
          <w:tcPr>
            <w:tcW w:w="1561" w:type="dxa"/>
            <w:shd w:val="clear" w:color="auto" w:fill="FFFFFF" w:themeFill="background1"/>
          </w:tcPr>
          <w:p w14:paraId="7B6B004D" w14:textId="689E190A" w:rsidR="00D57108" w:rsidRPr="00D57108" w:rsidRDefault="00556CB1" w:rsidP="00BF0C2F">
            <w:pPr>
              <w:jc w:val="right"/>
              <w:rPr>
                <w:rFonts w:eastAsiaTheme="majorEastAsia"/>
              </w:rPr>
            </w:pPr>
            <w:r>
              <w:rPr>
                <w:rFonts w:eastAsiaTheme="majorEastAsia"/>
                <w:b/>
              </w:rPr>
              <w:t>$000</w:t>
            </w:r>
          </w:p>
        </w:tc>
        <w:tc>
          <w:tcPr>
            <w:tcW w:w="1562" w:type="dxa"/>
            <w:shd w:val="clear" w:color="auto" w:fill="FFFFFF" w:themeFill="background1"/>
          </w:tcPr>
          <w:p w14:paraId="52F77E09" w14:textId="25D22B2F" w:rsidR="00D57108" w:rsidRPr="00D57108" w:rsidRDefault="00556CB1" w:rsidP="00BF0C2F">
            <w:pPr>
              <w:jc w:val="right"/>
              <w:rPr>
                <w:rFonts w:eastAsiaTheme="majorEastAsia"/>
              </w:rPr>
            </w:pPr>
            <w:r>
              <w:rPr>
                <w:rFonts w:eastAsiaTheme="majorEastAsia"/>
                <w:b/>
              </w:rPr>
              <w:t>$000</w:t>
            </w:r>
          </w:p>
        </w:tc>
        <w:tc>
          <w:tcPr>
            <w:tcW w:w="1552" w:type="dxa"/>
            <w:gridSpan w:val="2"/>
            <w:shd w:val="clear" w:color="auto" w:fill="FFFFFF" w:themeFill="background1"/>
          </w:tcPr>
          <w:p w14:paraId="7BAB070B" w14:textId="03EFF9A4" w:rsidR="00D57108" w:rsidRPr="00D57108" w:rsidRDefault="00556CB1" w:rsidP="00BF0C2F">
            <w:pPr>
              <w:jc w:val="right"/>
              <w:rPr>
                <w:rFonts w:eastAsiaTheme="majorEastAsia"/>
              </w:rPr>
            </w:pPr>
            <w:r>
              <w:rPr>
                <w:rFonts w:eastAsiaTheme="majorEastAsia"/>
                <w:b/>
              </w:rPr>
              <w:t>$000</w:t>
            </w:r>
          </w:p>
        </w:tc>
        <w:tc>
          <w:tcPr>
            <w:tcW w:w="1557" w:type="dxa"/>
            <w:shd w:val="clear" w:color="auto" w:fill="FFFFFF" w:themeFill="background1"/>
          </w:tcPr>
          <w:p w14:paraId="6B3A20C9" w14:textId="3E89C4AB" w:rsidR="00D57108" w:rsidRPr="00D57108" w:rsidRDefault="00556CB1" w:rsidP="00BF0C2F">
            <w:pPr>
              <w:jc w:val="right"/>
              <w:rPr>
                <w:rFonts w:eastAsiaTheme="majorEastAsia"/>
              </w:rPr>
            </w:pPr>
            <w:r>
              <w:rPr>
                <w:rFonts w:eastAsiaTheme="majorEastAsia"/>
                <w:b/>
              </w:rPr>
              <w:t>$000</w:t>
            </w:r>
          </w:p>
        </w:tc>
        <w:tc>
          <w:tcPr>
            <w:tcW w:w="1557" w:type="dxa"/>
            <w:shd w:val="clear" w:color="auto" w:fill="FFFFFF" w:themeFill="background1"/>
          </w:tcPr>
          <w:p w14:paraId="3008BF86" w14:textId="0D820105" w:rsidR="00D57108" w:rsidRPr="00D57108" w:rsidRDefault="00556CB1" w:rsidP="00BF0C2F">
            <w:pPr>
              <w:jc w:val="right"/>
              <w:rPr>
                <w:rFonts w:eastAsiaTheme="majorEastAsia"/>
              </w:rPr>
            </w:pPr>
            <w:r>
              <w:rPr>
                <w:rFonts w:eastAsiaTheme="majorEastAsia"/>
                <w:b/>
              </w:rPr>
              <w:t>$000</w:t>
            </w:r>
          </w:p>
        </w:tc>
        <w:tc>
          <w:tcPr>
            <w:tcW w:w="1557" w:type="dxa"/>
            <w:shd w:val="clear" w:color="auto" w:fill="FFFFFF" w:themeFill="background1"/>
          </w:tcPr>
          <w:p w14:paraId="5AA83EEF" w14:textId="11194FDE" w:rsidR="00D57108" w:rsidRPr="00D57108" w:rsidRDefault="00556CB1" w:rsidP="00BF0C2F">
            <w:pPr>
              <w:jc w:val="right"/>
              <w:rPr>
                <w:rFonts w:eastAsiaTheme="majorEastAsia"/>
              </w:rPr>
            </w:pPr>
            <w:r>
              <w:rPr>
                <w:rFonts w:eastAsiaTheme="majorEastAsia"/>
                <w:b/>
              </w:rPr>
              <w:t>$000</w:t>
            </w:r>
          </w:p>
        </w:tc>
        <w:tc>
          <w:tcPr>
            <w:tcW w:w="1546" w:type="dxa"/>
            <w:shd w:val="clear" w:color="auto" w:fill="FFFFFF" w:themeFill="background1"/>
          </w:tcPr>
          <w:p w14:paraId="03834D11" w14:textId="0AD6548A" w:rsidR="00D57108" w:rsidRPr="00D57108" w:rsidRDefault="00556CB1" w:rsidP="00BF0C2F">
            <w:pPr>
              <w:jc w:val="right"/>
              <w:rPr>
                <w:rFonts w:eastAsiaTheme="majorEastAsia"/>
              </w:rPr>
            </w:pPr>
            <w:r>
              <w:rPr>
                <w:rFonts w:eastAsiaTheme="majorEastAsia"/>
                <w:b/>
              </w:rPr>
              <w:t>$000</w:t>
            </w:r>
          </w:p>
        </w:tc>
        <w:tc>
          <w:tcPr>
            <w:tcW w:w="1563" w:type="dxa"/>
            <w:shd w:val="clear" w:color="auto" w:fill="FFFFFF" w:themeFill="background1"/>
          </w:tcPr>
          <w:p w14:paraId="5F302A6A" w14:textId="4B8FD334" w:rsidR="00D57108" w:rsidRPr="00D57108" w:rsidRDefault="00556CB1" w:rsidP="00BF0C2F">
            <w:pPr>
              <w:jc w:val="right"/>
              <w:rPr>
                <w:rFonts w:eastAsiaTheme="majorEastAsia"/>
              </w:rPr>
            </w:pPr>
            <w:r>
              <w:rPr>
                <w:rFonts w:eastAsiaTheme="majorEastAsia"/>
                <w:b/>
              </w:rPr>
              <w:t>$000</w:t>
            </w:r>
          </w:p>
        </w:tc>
      </w:tr>
      <w:tr w:rsidR="00556CB1" w14:paraId="4EDDDE5C" w14:textId="77777777" w:rsidTr="00E45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5BDABBC4" w14:textId="0B404264" w:rsidR="00D57108" w:rsidRPr="00D57108" w:rsidRDefault="00556CB1" w:rsidP="00D57108">
            <w:pPr>
              <w:rPr>
                <w:rFonts w:eastAsiaTheme="majorEastAsia"/>
              </w:rPr>
            </w:pPr>
            <w:r>
              <w:rPr>
                <w:rFonts w:eastAsiaTheme="majorEastAsia"/>
              </w:rPr>
              <w:t>Cash and cash equivalents</w:t>
            </w:r>
          </w:p>
        </w:tc>
        <w:tc>
          <w:tcPr>
            <w:tcW w:w="1561" w:type="dxa"/>
            <w:shd w:val="clear" w:color="auto" w:fill="EFE29B" w:themeFill="accent4" w:themeFillShade="E6"/>
          </w:tcPr>
          <w:p w14:paraId="71624855" w14:textId="7E01413A" w:rsidR="00D57108" w:rsidRPr="00D57108" w:rsidRDefault="00556CB1" w:rsidP="00556CB1">
            <w:pPr>
              <w:jc w:val="right"/>
              <w:rPr>
                <w:rFonts w:eastAsiaTheme="majorEastAsia"/>
              </w:rPr>
            </w:pPr>
            <w:r>
              <w:rPr>
                <w:rFonts w:eastAsiaTheme="majorEastAsia"/>
              </w:rPr>
              <w:t>9,704</w:t>
            </w:r>
          </w:p>
        </w:tc>
        <w:tc>
          <w:tcPr>
            <w:tcW w:w="1562" w:type="dxa"/>
            <w:shd w:val="clear" w:color="auto" w:fill="F5EDC1" w:themeFill="accent4"/>
          </w:tcPr>
          <w:p w14:paraId="627DE7ED" w14:textId="11303FE4" w:rsidR="00D57108" w:rsidRPr="00D57108" w:rsidRDefault="00556CB1" w:rsidP="00556CB1">
            <w:pPr>
              <w:jc w:val="right"/>
              <w:rPr>
                <w:rFonts w:eastAsiaTheme="majorEastAsia"/>
              </w:rPr>
            </w:pPr>
            <w:r>
              <w:rPr>
                <w:rFonts w:eastAsiaTheme="majorEastAsia"/>
              </w:rPr>
              <w:t>9,704</w:t>
            </w:r>
          </w:p>
        </w:tc>
        <w:tc>
          <w:tcPr>
            <w:tcW w:w="1552" w:type="dxa"/>
            <w:gridSpan w:val="2"/>
            <w:shd w:val="clear" w:color="auto" w:fill="EFE29B" w:themeFill="accent4" w:themeFillShade="E6"/>
          </w:tcPr>
          <w:p w14:paraId="13376377" w14:textId="030FBE03" w:rsidR="00D57108" w:rsidRPr="00D57108" w:rsidRDefault="00556CB1" w:rsidP="00556CB1">
            <w:pPr>
              <w:jc w:val="right"/>
              <w:rPr>
                <w:rFonts w:eastAsiaTheme="majorEastAsia"/>
              </w:rPr>
            </w:pPr>
            <w:r>
              <w:rPr>
                <w:rFonts w:eastAsiaTheme="majorEastAsia"/>
              </w:rPr>
              <w:t>-</w:t>
            </w:r>
          </w:p>
        </w:tc>
        <w:tc>
          <w:tcPr>
            <w:tcW w:w="1557" w:type="dxa"/>
            <w:shd w:val="clear" w:color="auto" w:fill="EFE29B" w:themeFill="accent4" w:themeFillShade="E6"/>
          </w:tcPr>
          <w:p w14:paraId="4EEF8314" w14:textId="0DF924B4" w:rsidR="00D57108" w:rsidRPr="00D57108" w:rsidRDefault="00556CB1" w:rsidP="00556CB1">
            <w:pPr>
              <w:jc w:val="right"/>
              <w:rPr>
                <w:rFonts w:eastAsiaTheme="majorEastAsia"/>
              </w:rPr>
            </w:pPr>
            <w:r>
              <w:rPr>
                <w:rFonts w:eastAsiaTheme="majorEastAsia"/>
              </w:rPr>
              <w:t>-</w:t>
            </w:r>
          </w:p>
        </w:tc>
        <w:tc>
          <w:tcPr>
            <w:tcW w:w="1557" w:type="dxa"/>
            <w:shd w:val="clear" w:color="auto" w:fill="EFE29B" w:themeFill="accent4" w:themeFillShade="E6"/>
          </w:tcPr>
          <w:p w14:paraId="55846E9B" w14:textId="2A01B5EE" w:rsidR="00D57108" w:rsidRPr="00D57108" w:rsidRDefault="00556CB1" w:rsidP="00556CB1">
            <w:pPr>
              <w:jc w:val="right"/>
              <w:rPr>
                <w:rFonts w:eastAsiaTheme="majorEastAsia"/>
              </w:rPr>
            </w:pPr>
            <w:r>
              <w:rPr>
                <w:rFonts w:eastAsiaTheme="majorEastAsia"/>
              </w:rPr>
              <w:t>-</w:t>
            </w:r>
          </w:p>
        </w:tc>
        <w:tc>
          <w:tcPr>
            <w:tcW w:w="1557" w:type="dxa"/>
            <w:shd w:val="clear" w:color="auto" w:fill="EFE29B" w:themeFill="accent4" w:themeFillShade="E6"/>
          </w:tcPr>
          <w:p w14:paraId="54941011" w14:textId="1EAD4035" w:rsidR="00D57108" w:rsidRPr="00D57108" w:rsidRDefault="00556CB1" w:rsidP="00556CB1">
            <w:pPr>
              <w:jc w:val="right"/>
              <w:rPr>
                <w:rFonts w:eastAsiaTheme="majorEastAsia"/>
              </w:rPr>
            </w:pPr>
            <w:r>
              <w:rPr>
                <w:rFonts w:eastAsiaTheme="majorEastAsia"/>
              </w:rPr>
              <w:t>-</w:t>
            </w:r>
          </w:p>
        </w:tc>
        <w:tc>
          <w:tcPr>
            <w:tcW w:w="1546" w:type="dxa"/>
            <w:shd w:val="clear" w:color="auto" w:fill="EFE29B" w:themeFill="accent4" w:themeFillShade="E6"/>
          </w:tcPr>
          <w:p w14:paraId="4F393B42" w14:textId="7784F570" w:rsidR="00D57108" w:rsidRPr="00D57108" w:rsidRDefault="00556CB1" w:rsidP="00556CB1">
            <w:pPr>
              <w:jc w:val="right"/>
              <w:rPr>
                <w:rFonts w:eastAsiaTheme="majorEastAsia"/>
              </w:rPr>
            </w:pPr>
            <w:r>
              <w:rPr>
                <w:rFonts w:eastAsiaTheme="majorEastAsia"/>
              </w:rPr>
              <w:t>-</w:t>
            </w:r>
          </w:p>
        </w:tc>
        <w:tc>
          <w:tcPr>
            <w:tcW w:w="1563" w:type="dxa"/>
            <w:shd w:val="clear" w:color="auto" w:fill="F5EDC1" w:themeFill="accent4"/>
          </w:tcPr>
          <w:p w14:paraId="61A34012" w14:textId="42C8AEC4" w:rsidR="00D57108" w:rsidRPr="00D57108" w:rsidRDefault="00556CB1" w:rsidP="00556CB1">
            <w:pPr>
              <w:jc w:val="right"/>
              <w:rPr>
                <w:rFonts w:eastAsiaTheme="majorEastAsia"/>
              </w:rPr>
            </w:pPr>
            <w:r>
              <w:rPr>
                <w:rFonts w:eastAsiaTheme="majorEastAsia"/>
              </w:rPr>
              <w:t>-</w:t>
            </w:r>
          </w:p>
        </w:tc>
      </w:tr>
      <w:tr w:rsidR="00556CB1" w14:paraId="2F57A319" w14:textId="77777777" w:rsidTr="00E45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30A857E0" w14:textId="27E57065" w:rsidR="00D57108" w:rsidRPr="00D57108" w:rsidRDefault="00556CB1" w:rsidP="00D57108">
            <w:pPr>
              <w:rPr>
                <w:rFonts w:eastAsiaTheme="majorEastAsia"/>
              </w:rPr>
            </w:pPr>
            <w:r>
              <w:rPr>
                <w:rFonts w:eastAsiaTheme="majorEastAsia"/>
              </w:rPr>
              <w:t>Restricted cash</w:t>
            </w:r>
          </w:p>
        </w:tc>
        <w:tc>
          <w:tcPr>
            <w:tcW w:w="1561" w:type="dxa"/>
            <w:shd w:val="clear" w:color="auto" w:fill="EFE29B" w:themeFill="accent4" w:themeFillShade="E6"/>
          </w:tcPr>
          <w:p w14:paraId="453FE7CB" w14:textId="28158858" w:rsidR="00D57108" w:rsidRPr="00D57108" w:rsidRDefault="00556CB1" w:rsidP="00556CB1">
            <w:pPr>
              <w:jc w:val="right"/>
              <w:rPr>
                <w:rFonts w:eastAsiaTheme="majorEastAsia"/>
              </w:rPr>
            </w:pPr>
            <w:r>
              <w:rPr>
                <w:rFonts w:eastAsiaTheme="majorEastAsia"/>
              </w:rPr>
              <w:t>82,678</w:t>
            </w:r>
          </w:p>
        </w:tc>
        <w:tc>
          <w:tcPr>
            <w:tcW w:w="1562" w:type="dxa"/>
            <w:shd w:val="clear" w:color="auto" w:fill="F5EDC1" w:themeFill="accent4"/>
          </w:tcPr>
          <w:p w14:paraId="3FAC3229" w14:textId="5D1C4D8B" w:rsidR="00D57108" w:rsidRPr="00D57108" w:rsidRDefault="00556CB1" w:rsidP="00556CB1">
            <w:pPr>
              <w:jc w:val="right"/>
              <w:rPr>
                <w:rFonts w:eastAsiaTheme="majorEastAsia"/>
              </w:rPr>
            </w:pPr>
            <w:r>
              <w:rPr>
                <w:rFonts w:eastAsiaTheme="majorEastAsia"/>
              </w:rPr>
              <w:t>82,678</w:t>
            </w:r>
          </w:p>
        </w:tc>
        <w:tc>
          <w:tcPr>
            <w:tcW w:w="1552" w:type="dxa"/>
            <w:gridSpan w:val="2"/>
            <w:shd w:val="clear" w:color="auto" w:fill="EFE29B" w:themeFill="accent4" w:themeFillShade="E6"/>
          </w:tcPr>
          <w:p w14:paraId="4C0D1973" w14:textId="21D7A278" w:rsidR="00D57108" w:rsidRPr="00D57108" w:rsidRDefault="00556CB1" w:rsidP="00556CB1">
            <w:pPr>
              <w:jc w:val="right"/>
              <w:rPr>
                <w:rFonts w:eastAsiaTheme="majorEastAsia"/>
              </w:rPr>
            </w:pPr>
            <w:r>
              <w:rPr>
                <w:rFonts w:eastAsiaTheme="majorEastAsia"/>
              </w:rPr>
              <w:t>-</w:t>
            </w:r>
          </w:p>
        </w:tc>
        <w:tc>
          <w:tcPr>
            <w:tcW w:w="1557" w:type="dxa"/>
            <w:shd w:val="clear" w:color="auto" w:fill="EFE29B" w:themeFill="accent4" w:themeFillShade="E6"/>
          </w:tcPr>
          <w:p w14:paraId="2D96205A" w14:textId="68808851" w:rsidR="00D57108" w:rsidRPr="00D57108" w:rsidRDefault="00556CB1" w:rsidP="00556CB1">
            <w:pPr>
              <w:jc w:val="right"/>
              <w:rPr>
                <w:rFonts w:eastAsiaTheme="majorEastAsia"/>
              </w:rPr>
            </w:pPr>
            <w:r>
              <w:rPr>
                <w:rFonts w:eastAsiaTheme="majorEastAsia"/>
              </w:rPr>
              <w:t>-</w:t>
            </w:r>
          </w:p>
        </w:tc>
        <w:tc>
          <w:tcPr>
            <w:tcW w:w="1557" w:type="dxa"/>
            <w:shd w:val="clear" w:color="auto" w:fill="EFE29B" w:themeFill="accent4" w:themeFillShade="E6"/>
          </w:tcPr>
          <w:p w14:paraId="7363F2C9" w14:textId="25FA8A82" w:rsidR="00D57108" w:rsidRPr="00D57108" w:rsidRDefault="00556CB1" w:rsidP="00556CB1">
            <w:pPr>
              <w:jc w:val="right"/>
              <w:rPr>
                <w:rFonts w:eastAsiaTheme="majorEastAsia"/>
              </w:rPr>
            </w:pPr>
            <w:r>
              <w:rPr>
                <w:rFonts w:eastAsiaTheme="majorEastAsia"/>
              </w:rPr>
              <w:t>-</w:t>
            </w:r>
          </w:p>
        </w:tc>
        <w:tc>
          <w:tcPr>
            <w:tcW w:w="1557" w:type="dxa"/>
            <w:shd w:val="clear" w:color="auto" w:fill="EFE29B" w:themeFill="accent4" w:themeFillShade="E6"/>
          </w:tcPr>
          <w:p w14:paraId="5C65FDE8" w14:textId="17A0531A" w:rsidR="00D57108" w:rsidRPr="00D57108" w:rsidRDefault="00556CB1" w:rsidP="00556CB1">
            <w:pPr>
              <w:jc w:val="right"/>
              <w:rPr>
                <w:rFonts w:eastAsiaTheme="majorEastAsia"/>
              </w:rPr>
            </w:pPr>
            <w:r>
              <w:rPr>
                <w:rFonts w:eastAsiaTheme="majorEastAsia"/>
              </w:rPr>
              <w:t>-</w:t>
            </w:r>
          </w:p>
        </w:tc>
        <w:tc>
          <w:tcPr>
            <w:tcW w:w="1546" w:type="dxa"/>
            <w:shd w:val="clear" w:color="auto" w:fill="EFE29B" w:themeFill="accent4" w:themeFillShade="E6"/>
          </w:tcPr>
          <w:p w14:paraId="4FCA94E8" w14:textId="7CA0D6EC" w:rsidR="00D57108" w:rsidRPr="00D57108" w:rsidRDefault="00556CB1" w:rsidP="00556CB1">
            <w:pPr>
              <w:jc w:val="right"/>
              <w:rPr>
                <w:rFonts w:eastAsiaTheme="majorEastAsia"/>
              </w:rPr>
            </w:pPr>
            <w:r>
              <w:rPr>
                <w:rFonts w:eastAsiaTheme="majorEastAsia"/>
              </w:rPr>
              <w:t>-</w:t>
            </w:r>
          </w:p>
        </w:tc>
        <w:tc>
          <w:tcPr>
            <w:tcW w:w="1563" w:type="dxa"/>
            <w:shd w:val="clear" w:color="auto" w:fill="F5EDC1" w:themeFill="accent4"/>
          </w:tcPr>
          <w:p w14:paraId="29BF6A24" w14:textId="41620AB4" w:rsidR="00D57108" w:rsidRPr="00D57108" w:rsidRDefault="00556CB1" w:rsidP="00556CB1">
            <w:pPr>
              <w:jc w:val="right"/>
              <w:rPr>
                <w:rFonts w:eastAsiaTheme="majorEastAsia"/>
              </w:rPr>
            </w:pPr>
            <w:r>
              <w:rPr>
                <w:rFonts w:eastAsiaTheme="majorEastAsia"/>
              </w:rPr>
              <w:t>-</w:t>
            </w:r>
          </w:p>
        </w:tc>
      </w:tr>
      <w:tr w:rsidR="00556CB1" w14:paraId="2A741BC8" w14:textId="77777777" w:rsidTr="00E45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5018BC84" w14:textId="694175AD" w:rsidR="00D57108" w:rsidRPr="00D57108" w:rsidRDefault="00556CB1" w:rsidP="00D57108">
            <w:pPr>
              <w:rPr>
                <w:rFonts w:eastAsiaTheme="majorEastAsia"/>
              </w:rPr>
            </w:pPr>
            <w:r>
              <w:rPr>
                <w:rFonts w:eastAsiaTheme="majorEastAsia"/>
              </w:rPr>
              <w:t>Receivables</w:t>
            </w:r>
            <w:r w:rsidRPr="00556CB1">
              <w:rPr>
                <w:rFonts w:eastAsiaTheme="majorEastAsia"/>
                <w:vertAlign w:val="superscript"/>
              </w:rPr>
              <w:t>(a)</w:t>
            </w:r>
          </w:p>
        </w:tc>
        <w:tc>
          <w:tcPr>
            <w:tcW w:w="1561" w:type="dxa"/>
            <w:shd w:val="clear" w:color="auto" w:fill="EFE29B" w:themeFill="accent4" w:themeFillShade="E6"/>
          </w:tcPr>
          <w:p w14:paraId="6004E3E6" w14:textId="0F4C6955" w:rsidR="00D57108" w:rsidRPr="00D57108" w:rsidRDefault="00556CB1" w:rsidP="00556CB1">
            <w:pPr>
              <w:jc w:val="right"/>
              <w:rPr>
                <w:rFonts w:eastAsiaTheme="majorEastAsia"/>
              </w:rPr>
            </w:pPr>
            <w:r>
              <w:rPr>
                <w:rFonts w:eastAsiaTheme="majorEastAsia"/>
              </w:rPr>
              <w:t>999</w:t>
            </w:r>
          </w:p>
        </w:tc>
        <w:tc>
          <w:tcPr>
            <w:tcW w:w="1562" w:type="dxa"/>
            <w:shd w:val="clear" w:color="auto" w:fill="F5EDC1" w:themeFill="accent4"/>
          </w:tcPr>
          <w:p w14:paraId="36A7E77D" w14:textId="0171A28C" w:rsidR="00D57108" w:rsidRPr="00D57108" w:rsidRDefault="00556CB1" w:rsidP="00556CB1">
            <w:pPr>
              <w:jc w:val="right"/>
              <w:rPr>
                <w:rFonts w:eastAsiaTheme="majorEastAsia"/>
              </w:rPr>
            </w:pPr>
            <w:r>
              <w:rPr>
                <w:rFonts w:eastAsiaTheme="majorEastAsia"/>
              </w:rPr>
              <w:t>786</w:t>
            </w:r>
          </w:p>
        </w:tc>
        <w:tc>
          <w:tcPr>
            <w:tcW w:w="1552" w:type="dxa"/>
            <w:gridSpan w:val="2"/>
            <w:shd w:val="clear" w:color="auto" w:fill="EFE29B" w:themeFill="accent4" w:themeFillShade="E6"/>
          </w:tcPr>
          <w:p w14:paraId="626886B1" w14:textId="7F757EF7" w:rsidR="00D57108" w:rsidRPr="00D57108" w:rsidRDefault="00556CB1" w:rsidP="00556CB1">
            <w:pPr>
              <w:jc w:val="right"/>
              <w:rPr>
                <w:rFonts w:eastAsiaTheme="majorEastAsia"/>
              </w:rPr>
            </w:pPr>
            <w:r>
              <w:rPr>
                <w:rFonts w:eastAsiaTheme="majorEastAsia"/>
              </w:rPr>
              <w:t>-</w:t>
            </w:r>
          </w:p>
        </w:tc>
        <w:tc>
          <w:tcPr>
            <w:tcW w:w="1557" w:type="dxa"/>
            <w:shd w:val="clear" w:color="auto" w:fill="EFE29B" w:themeFill="accent4" w:themeFillShade="E6"/>
          </w:tcPr>
          <w:p w14:paraId="5F041DCC" w14:textId="5994CD14" w:rsidR="00D57108" w:rsidRPr="00D57108" w:rsidRDefault="00556CB1" w:rsidP="00556CB1">
            <w:pPr>
              <w:jc w:val="right"/>
              <w:rPr>
                <w:rFonts w:eastAsiaTheme="majorEastAsia"/>
              </w:rPr>
            </w:pPr>
            <w:r>
              <w:rPr>
                <w:rFonts w:eastAsiaTheme="majorEastAsia"/>
              </w:rPr>
              <w:t>12</w:t>
            </w:r>
          </w:p>
        </w:tc>
        <w:tc>
          <w:tcPr>
            <w:tcW w:w="1557" w:type="dxa"/>
            <w:shd w:val="clear" w:color="auto" w:fill="EFE29B" w:themeFill="accent4" w:themeFillShade="E6"/>
          </w:tcPr>
          <w:p w14:paraId="3BF811B9" w14:textId="3C8C6D87" w:rsidR="00D57108" w:rsidRPr="00D57108" w:rsidRDefault="00556CB1" w:rsidP="00556CB1">
            <w:pPr>
              <w:jc w:val="right"/>
              <w:rPr>
                <w:rFonts w:eastAsiaTheme="majorEastAsia"/>
              </w:rPr>
            </w:pPr>
            <w:r>
              <w:rPr>
                <w:rFonts w:eastAsiaTheme="majorEastAsia"/>
              </w:rPr>
              <w:t>53</w:t>
            </w:r>
          </w:p>
        </w:tc>
        <w:tc>
          <w:tcPr>
            <w:tcW w:w="1557" w:type="dxa"/>
            <w:shd w:val="clear" w:color="auto" w:fill="EFE29B" w:themeFill="accent4" w:themeFillShade="E6"/>
          </w:tcPr>
          <w:p w14:paraId="36CCAE4A" w14:textId="7252B825" w:rsidR="00D57108" w:rsidRPr="00D57108" w:rsidRDefault="00556CB1" w:rsidP="00556CB1">
            <w:pPr>
              <w:jc w:val="right"/>
              <w:rPr>
                <w:rFonts w:eastAsiaTheme="majorEastAsia"/>
              </w:rPr>
            </w:pPr>
            <w:r>
              <w:rPr>
                <w:rFonts w:eastAsiaTheme="majorEastAsia"/>
              </w:rPr>
              <w:t>-</w:t>
            </w:r>
          </w:p>
        </w:tc>
        <w:tc>
          <w:tcPr>
            <w:tcW w:w="1546" w:type="dxa"/>
            <w:shd w:val="clear" w:color="auto" w:fill="EFE29B" w:themeFill="accent4" w:themeFillShade="E6"/>
          </w:tcPr>
          <w:p w14:paraId="65471CAE" w14:textId="6A6F570E" w:rsidR="00D57108" w:rsidRPr="00D57108" w:rsidRDefault="00556CB1" w:rsidP="00556CB1">
            <w:pPr>
              <w:jc w:val="right"/>
              <w:rPr>
                <w:rFonts w:eastAsiaTheme="majorEastAsia"/>
              </w:rPr>
            </w:pPr>
            <w:r>
              <w:rPr>
                <w:rFonts w:eastAsiaTheme="majorEastAsia"/>
              </w:rPr>
              <w:t>148</w:t>
            </w:r>
          </w:p>
        </w:tc>
        <w:tc>
          <w:tcPr>
            <w:tcW w:w="1563" w:type="dxa"/>
            <w:shd w:val="clear" w:color="auto" w:fill="F5EDC1" w:themeFill="accent4"/>
          </w:tcPr>
          <w:p w14:paraId="74242A35" w14:textId="4C6B986A" w:rsidR="00D57108" w:rsidRPr="00D57108" w:rsidRDefault="00556CB1" w:rsidP="00556CB1">
            <w:pPr>
              <w:jc w:val="right"/>
              <w:rPr>
                <w:rFonts w:eastAsiaTheme="majorEastAsia"/>
              </w:rPr>
            </w:pPr>
            <w:r>
              <w:rPr>
                <w:rFonts w:eastAsiaTheme="majorEastAsia"/>
              </w:rPr>
              <w:t>-</w:t>
            </w:r>
          </w:p>
        </w:tc>
      </w:tr>
      <w:tr w:rsidR="00556CB1" w14:paraId="2382BDA1" w14:textId="77777777" w:rsidTr="00E45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6C4524E7" w14:textId="1DE23BEE" w:rsidR="00556CB1" w:rsidRDefault="00556CB1" w:rsidP="00D57108">
            <w:pPr>
              <w:rPr>
                <w:rFonts w:eastAsiaTheme="majorEastAsia"/>
              </w:rPr>
            </w:pPr>
            <w:r>
              <w:rPr>
                <w:rFonts w:eastAsiaTheme="majorEastAsia"/>
              </w:rPr>
              <w:t>Other financial assets</w:t>
            </w:r>
          </w:p>
        </w:tc>
        <w:tc>
          <w:tcPr>
            <w:tcW w:w="1561" w:type="dxa"/>
            <w:shd w:val="clear" w:color="auto" w:fill="EFE29B" w:themeFill="accent4" w:themeFillShade="E6"/>
          </w:tcPr>
          <w:p w14:paraId="33A59606" w14:textId="0B21D602" w:rsidR="00556CB1" w:rsidRDefault="00556CB1" w:rsidP="00556CB1">
            <w:pPr>
              <w:jc w:val="right"/>
              <w:rPr>
                <w:rFonts w:eastAsiaTheme="majorEastAsia"/>
              </w:rPr>
            </w:pPr>
            <w:r>
              <w:rPr>
                <w:rFonts w:eastAsiaTheme="majorEastAsia"/>
              </w:rPr>
              <w:t>13,424</w:t>
            </w:r>
          </w:p>
        </w:tc>
        <w:tc>
          <w:tcPr>
            <w:tcW w:w="1562" w:type="dxa"/>
            <w:shd w:val="clear" w:color="auto" w:fill="F5EDC1" w:themeFill="accent4"/>
          </w:tcPr>
          <w:p w14:paraId="7279316E" w14:textId="2C1BB536" w:rsidR="00556CB1" w:rsidRDefault="00556CB1" w:rsidP="00556CB1">
            <w:pPr>
              <w:jc w:val="right"/>
              <w:rPr>
                <w:rFonts w:eastAsiaTheme="majorEastAsia"/>
              </w:rPr>
            </w:pPr>
            <w:r>
              <w:rPr>
                <w:rFonts w:eastAsiaTheme="majorEastAsia"/>
              </w:rPr>
              <w:t>13,424</w:t>
            </w:r>
          </w:p>
        </w:tc>
        <w:tc>
          <w:tcPr>
            <w:tcW w:w="1552" w:type="dxa"/>
            <w:gridSpan w:val="2"/>
            <w:shd w:val="clear" w:color="auto" w:fill="EFE29B" w:themeFill="accent4" w:themeFillShade="E6"/>
          </w:tcPr>
          <w:p w14:paraId="2E6A2D37" w14:textId="3E03B215" w:rsidR="00556CB1" w:rsidRDefault="00556CB1" w:rsidP="00556CB1">
            <w:pPr>
              <w:jc w:val="right"/>
              <w:rPr>
                <w:rFonts w:eastAsiaTheme="majorEastAsia"/>
              </w:rPr>
            </w:pPr>
            <w:r>
              <w:rPr>
                <w:rFonts w:eastAsiaTheme="majorEastAsia"/>
              </w:rPr>
              <w:t>-</w:t>
            </w:r>
          </w:p>
        </w:tc>
        <w:tc>
          <w:tcPr>
            <w:tcW w:w="1557" w:type="dxa"/>
            <w:shd w:val="clear" w:color="auto" w:fill="EFE29B" w:themeFill="accent4" w:themeFillShade="E6"/>
          </w:tcPr>
          <w:p w14:paraId="3A55722B" w14:textId="2ED3A4D3" w:rsidR="00556CB1" w:rsidRDefault="00556CB1" w:rsidP="00556CB1">
            <w:pPr>
              <w:jc w:val="right"/>
              <w:rPr>
                <w:rFonts w:eastAsiaTheme="majorEastAsia"/>
              </w:rPr>
            </w:pPr>
            <w:r>
              <w:rPr>
                <w:rFonts w:eastAsiaTheme="majorEastAsia"/>
              </w:rPr>
              <w:t>-</w:t>
            </w:r>
          </w:p>
        </w:tc>
        <w:tc>
          <w:tcPr>
            <w:tcW w:w="1557" w:type="dxa"/>
            <w:shd w:val="clear" w:color="auto" w:fill="EFE29B" w:themeFill="accent4" w:themeFillShade="E6"/>
          </w:tcPr>
          <w:p w14:paraId="7B09B7A1" w14:textId="0866FA4A" w:rsidR="00556CB1" w:rsidRDefault="00556CB1" w:rsidP="00556CB1">
            <w:pPr>
              <w:jc w:val="right"/>
              <w:rPr>
                <w:rFonts w:eastAsiaTheme="majorEastAsia"/>
              </w:rPr>
            </w:pPr>
            <w:r>
              <w:rPr>
                <w:rFonts w:eastAsiaTheme="majorEastAsia"/>
              </w:rPr>
              <w:t>-</w:t>
            </w:r>
          </w:p>
        </w:tc>
        <w:tc>
          <w:tcPr>
            <w:tcW w:w="1557" w:type="dxa"/>
            <w:shd w:val="clear" w:color="auto" w:fill="EFE29B" w:themeFill="accent4" w:themeFillShade="E6"/>
          </w:tcPr>
          <w:p w14:paraId="3ED69DCA" w14:textId="719C8EDE" w:rsidR="00556CB1" w:rsidRDefault="00556CB1" w:rsidP="00556CB1">
            <w:pPr>
              <w:jc w:val="right"/>
              <w:rPr>
                <w:rFonts w:eastAsiaTheme="majorEastAsia"/>
              </w:rPr>
            </w:pPr>
            <w:r>
              <w:rPr>
                <w:rFonts w:eastAsiaTheme="majorEastAsia"/>
              </w:rPr>
              <w:t>-</w:t>
            </w:r>
          </w:p>
        </w:tc>
        <w:tc>
          <w:tcPr>
            <w:tcW w:w="1546" w:type="dxa"/>
            <w:shd w:val="clear" w:color="auto" w:fill="EFE29B" w:themeFill="accent4" w:themeFillShade="E6"/>
          </w:tcPr>
          <w:p w14:paraId="4A70236D" w14:textId="1E21DE60" w:rsidR="00556CB1" w:rsidRDefault="00556CB1" w:rsidP="00556CB1">
            <w:pPr>
              <w:jc w:val="right"/>
              <w:rPr>
                <w:rFonts w:eastAsiaTheme="majorEastAsia"/>
              </w:rPr>
            </w:pPr>
            <w:r>
              <w:rPr>
                <w:rFonts w:eastAsiaTheme="majorEastAsia"/>
              </w:rPr>
              <w:t>-</w:t>
            </w:r>
          </w:p>
        </w:tc>
        <w:tc>
          <w:tcPr>
            <w:tcW w:w="1563" w:type="dxa"/>
            <w:shd w:val="clear" w:color="auto" w:fill="F5EDC1" w:themeFill="accent4"/>
          </w:tcPr>
          <w:p w14:paraId="4B0BECA8" w14:textId="145CC8CB" w:rsidR="00556CB1" w:rsidRDefault="00556CB1" w:rsidP="00556CB1">
            <w:pPr>
              <w:jc w:val="right"/>
              <w:rPr>
                <w:rFonts w:eastAsiaTheme="majorEastAsia"/>
              </w:rPr>
            </w:pPr>
            <w:r>
              <w:rPr>
                <w:rFonts w:eastAsiaTheme="majorEastAsia"/>
              </w:rPr>
              <w:t>-</w:t>
            </w:r>
          </w:p>
        </w:tc>
      </w:tr>
      <w:tr w:rsidR="00556CB1" w14:paraId="5DF39F09" w14:textId="77777777" w:rsidTr="00E45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5431B0C5" w14:textId="77777777" w:rsidR="00556CB1" w:rsidRDefault="00556CB1" w:rsidP="00D57108">
            <w:pPr>
              <w:rPr>
                <w:rFonts w:eastAsiaTheme="majorEastAsia"/>
              </w:rPr>
            </w:pPr>
          </w:p>
        </w:tc>
        <w:tc>
          <w:tcPr>
            <w:tcW w:w="1561" w:type="dxa"/>
            <w:tcBorders>
              <w:bottom w:val="single" w:sz="4" w:space="0" w:color="auto"/>
            </w:tcBorders>
            <w:shd w:val="clear" w:color="auto" w:fill="EFE29B" w:themeFill="accent4" w:themeFillShade="E6"/>
          </w:tcPr>
          <w:p w14:paraId="11575507" w14:textId="66290504" w:rsidR="00556CB1" w:rsidRPr="00556CB1" w:rsidRDefault="00556CB1" w:rsidP="00556CB1">
            <w:pPr>
              <w:jc w:val="right"/>
              <w:rPr>
                <w:rFonts w:eastAsiaTheme="majorEastAsia"/>
                <w:b/>
              </w:rPr>
            </w:pPr>
            <w:r w:rsidRPr="00556CB1">
              <w:rPr>
                <w:rFonts w:eastAsiaTheme="majorEastAsia"/>
                <w:b/>
              </w:rPr>
              <w:t>106,805</w:t>
            </w:r>
          </w:p>
        </w:tc>
        <w:tc>
          <w:tcPr>
            <w:tcW w:w="1562" w:type="dxa"/>
            <w:tcBorders>
              <w:bottom w:val="single" w:sz="4" w:space="0" w:color="auto"/>
            </w:tcBorders>
            <w:shd w:val="clear" w:color="auto" w:fill="F5EDC1" w:themeFill="accent4"/>
          </w:tcPr>
          <w:p w14:paraId="5E65B0C1" w14:textId="4EB2681B" w:rsidR="00556CB1" w:rsidRPr="00556CB1" w:rsidRDefault="00556CB1" w:rsidP="00556CB1">
            <w:pPr>
              <w:jc w:val="right"/>
              <w:rPr>
                <w:rFonts w:eastAsiaTheme="majorEastAsia"/>
                <w:b/>
              </w:rPr>
            </w:pPr>
            <w:r w:rsidRPr="00556CB1">
              <w:rPr>
                <w:rFonts w:eastAsiaTheme="majorEastAsia"/>
                <w:b/>
              </w:rPr>
              <w:t>106,592</w:t>
            </w:r>
          </w:p>
        </w:tc>
        <w:tc>
          <w:tcPr>
            <w:tcW w:w="1552" w:type="dxa"/>
            <w:gridSpan w:val="2"/>
            <w:tcBorders>
              <w:bottom w:val="single" w:sz="4" w:space="0" w:color="auto"/>
            </w:tcBorders>
            <w:shd w:val="clear" w:color="auto" w:fill="EFE29B" w:themeFill="accent4" w:themeFillShade="E6"/>
          </w:tcPr>
          <w:p w14:paraId="7E3AB354" w14:textId="2D50C51A" w:rsidR="00556CB1" w:rsidRPr="00556CB1" w:rsidRDefault="00556CB1" w:rsidP="00556CB1">
            <w:pPr>
              <w:jc w:val="right"/>
              <w:rPr>
                <w:rFonts w:eastAsiaTheme="majorEastAsia"/>
                <w:b/>
              </w:rPr>
            </w:pPr>
            <w:r w:rsidRPr="00556CB1">
              <w:rPr>
                <w:rFonts w:eastAsiaTheme="majorEastAsia"/>
                <w:b/>
              </w:rPr>
              <w:t>-</w:t>
            </w:r>
          </w:p>
        </w:tc>
        <w:tc>
          <w:tcPr>
            <w:tcW w:w="1557" w:type="dxa"/>
            <w:tcBorders>
              <w:bottom w:val="single" w:sz="4" w:space="0" w:color="auto"/>
            </w:tcBorders>
            <w:shd w:val="clear" w:color="auto" w:fill="EFE29B" w:themeFill="accent4" w:themeFillShade="E6"/>
          </w:tcPr>
          <w:p w14:paraId="2CFE87D7" w14:textId="0EA64280" w:rsidR="00556CB1" w:rsidRPr="00556CB1" w:rsidRDefault="00556CB1" w:rsidP="00556CB1">
            <w:pPr>
              <w:jc w:val="right"/>
              <w:rPr>
                <w:rFonts w:eastAsiaTheme="majorEastAsia"/>
                <w:b/>
              </w:rPr>
            </w:pPr>
            <w:r w:rsidRPr="00556CB1">
              <w:rPr>
                <w:rFonts w:eastAsiaTheme="majorEastAsia"/>
                <w:b/>
              </w:rPr>
              <w:t>12</w:t>
            </w:r>
          </w:p>
        </w:tc>
        <w:tc>
          <w:tcPr>
            <w:tcW w:w="1557" w:type="dxa"/>
            <w:tcBorders>
              <w:bottom w:val="single" w:sz="4" w:space="0" w:color="auto"/>
            </w:tcBorders>
            <w:shd w:val="clear" w:color="auto" w:fill="EFE29B" w:themeFill="accent4" w:themeFillShade="E6"/>
          </w:tcPr>
          <w:p w14:paraId="3BAE135B" w14:textId="1B51E9FD" w:rsidR="00556CB1" w:rsidRPr="00556CB1" w:rsidRDefault="00556CB1" w:rsidP="00556CB1">
            <w:pPr>
              <w:jc w:val="right"/>
              <w:rPr>
                <w:rFonts w:eastAsiaTheme="majorEastAsia"/>
                <w:b/>
              </w:rPr>
            </w:pPr>
            <w:r w:rsidRPr="00556CB1">
              <w:rPr>
                <w:rFonts w:eastAsiaTheme="majorEastAsia"/>
                <w:b/>
              </w:rPr>
              <w:t>53</w:t>
            </w:r>
          </w:p>
        </w:tc>
        <w:tc>
          <w:tcPr>
            <w:tcW w:w="1557" w:type="dxa"/>
            <w:tcBorders>
              <w:bottom w:val="single" w:sz="4" w:space="0" w:color="auto"/>
            </w:tcBorders>
            <w:shd w:val="clear" w:color="auto" w:fill="EFE29B" w:themeFill="accent4" w:themeFillShade="E6"/>
          </w:tcPr>
          <w:p w14:paraId="20295224" w14:textId="308A5F4F" w:rsidR="00556CB1" w:rsidRPr="00556CB1" w:rsidRDefault="00556CB1" w:rsidP="00556CB1">
            <w:pPr>
              <w:jc w:val="right"/>
              <w:rPr>
                <w:rFonts w:eastAsiaTheme="majorEastAsia"/>
                <w:b/>
              </w:rPr>
            </w:pPr>
            <w:r w:rsidRPr="00556CB1">
              <w:rPr>
                <w:rFonts w:eastAsiaTheme="majorEastAsia"/>
                <w:b/>
              </w:rPr>
              <w:t>-</w:t>
            </w:r>
          </w:p>
        </w:tc>
        <w:tc>
          <w:tcPr>
            <w:tcW w:w="1546" w:type="dxa"/>
            <w:tcBorders>
              <w:bottom w:val="single" w:sz="4" w:space="0" w:color="auto"/>
            </w:tcBorders>
            <w:shd w:val="clear" w:color="auto" w:fill="EFE29B" w:themeFill="accent4" w:themeFillShade="E6"/>
          </w:tcPr>
          <w:p w14:paraId="6C40FEE0" w14:textId="47772FB7" w:rsidR="00556CB1" w:rsidRPr="00556CB1" w:rsidRDefault="00556CB1" w:rsidP="00556CB1">
            <w:pPr>
              <w:jc w:val="right"/>
              <w:rPr>
                <w:rFonts w:eastAsiaTheme="majorEastAsia"/>
                <w:b/>
              </w:rPr>
            </w:pPr>
            <w:r w:rsidRPr="00556CB1">
              <w:rPr>
                <w:rFonts w:eastAsiaTheme="majorEastAsia"/>
                <w:b/>
              </w:rPr>
              <w:t>148</w:t>
            </w:r>
          </w:p>
        </w:tc>
        <w:tc>
          <w:tcPr>
            <w:tcW w:w="1563" w:type="dxa"/>
            <w:tcBorders>
              <w:bottom w:val="single" w:sz="4" w:space="0" w:color="auto"/>
            </w:tcBorders>
            <w:shd w:val="clear" w:color="auto" w:fill="F5EDC1" w:themeFill="accent4"/>
          </w:tcPr>
          <w:p w14:paraId="147EC260" w14:textId="426E6D67" w:rsidR="00556CB1" w:rsidRPr="00556CB1" w:rsidRDefault="00556CB1" w:rsidP="00556CB1">
            <w:pPr>
              <w:jc w:val="right"/>
              <w:rPr>
                <w:rFonts w:eastAsiaTheme="majorEastAsia"/>
                <w:b/>
              </w:rPr>
            </w:pPr>
            <w:r w:rsidRPr="00556CB1">
              <w:rPr>
                <w:rFonts w:eastAsiaTheme="majorEastAsia"/>
                <w:b/>
              </w:rPr>
              <w:t>-</w:t>
            </w:r>
          </w:p>
        </w:tc>
      </w:tr>
      <w:tr w:rsidR="00556CB1" w14:paraId="52970039" w14:textId="77777777" w:rsidTr="00E45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0B1FF11E" w14:textId="2610BA6E" w:rsidR="00556CB1" w:rsidRDefault="00556CB1" w:rsidP="00D57108">
            <w:pPr>
              <w:rPr>
                <w:rFonts w:eastAsiaTheme="majorEastAsia"/>
              </w:rPr>
            </w:pPr>
            <w:r w:rsidRPr="00556CB1">
              <w:rPr>
                <w:rFonts w:eastAsiaTheme="majorEastAsia"/>
                <w:b/>
              </w:rPr>
              <w:t>2014</w:t>
            </w:r>
            <w:r>
              <w:rPr>
                <w:rFonts w:eastAsiaTheme="majorEastAsia"/>
              </w:rPr>
              <w:br/>
            </w:r>
            <w:r w:rsidRPr="00556CB1">
              <w:rPr>
                <w:rFonts w:eastAsiaTheme="majorEastAsia"/>
                <w:i/>
              </w:rPr>
              <w:t>Financial Assets</w:t>
            </w:r>
          </w:p>
        </w:tc>
        <w:tc>
          <w:tcPr>
            <w:tcW w:w="1561" w:type="dxa"/>
            <w:tcBorders>
              <w:top w:val="single" w:sz="4" w:space="0" w:color="auto"/>
            </w:tcBorders>
            <w:shd w:val="clear" w:color="auto" w:fill="FFFFFF" w:themeFill="background1"/>
          </w:tcPr>
          <w:p w14:paraId="6371D33A" w14:textId="77777777" w:rsidR="00556CB1" w:rsidRDefault="00556CB1" w:rsidP="00556CB1">
            <w:pPr>
              <w:jc w:val="right"/>
              <w:rPr>
                <w:rFonts w:eastAsiaTheme="majorEastAsia"/>
              </w:rPr>
            </w:pPr>
          </w:p>
        </w:tc>
        <w:tc>
          <w:tcPr>
            <w:tcW w:w="1562" w:type="dxa"/>
            <w:tcBorders>
              <w:top w:val="single" w:sz="4" w:space="0" w:color="auto"/>
            </w:tcBorders>
            <w:shd w:val="clear" w:color="auto" w:fill="FFFFFF" w:themeFill="background1"/>
          </w:tcPr>
          <w:p w14:paraId="20C15547" w14:textId="77777777" w:rsidR="00556CB1" w:rsidRDefault="00556CB1" w:rsidP="00556CB1">
            <w:pPr>
              <w:jc w:val="right"/>
              <w:rPr>
                <w:rFonts w:eastAsiaTheme="majorEastAsia"/>
              </w:rPr>
            </w:pPr>
          </w:p>
        </w:tc>
        <w:tc>
          <w:tcPr>
            <w:tcW w:w="1552" w:type="dxa"/>
            <w:gridSpan w:val="2"/>
            <w:tcBorders>
              <w:top w:val="single" w:sz="4" w:space="0" w:color="auto"/>
            </w:tcBorders>
            <w:shd w:val="clear" w:color="auto" w:fill="FFFFFF" w:themeFill="background1"/>
          </w:tcPr>
          <w:p w14:paraId="33F14C47" w14:textId="77777777" w:rsidR="00556CB1" w:rsidRDefault="00556CB1" w:rsidP="00556CB1">
            <w:pPr>
              <w:jc w:val="right"/>
              <w:rPr>
                <w:rFonts w:eastAsiaTheme="majorEastAsia"/>
              </w:rPr>
            </w:pPr>
          </w:p>
        </w:tc>
        <w:tc>
          <w:tcPr>
            <w:tcW w:w="1557" w:type="dxa"/>
            <w:tcBorders>
              <w:top w:val="single" w:sz="4" w:space="0" w:color="auto"/>
            </w:tcBorders>
            <w:shd w:val="clear" w:color="auto" w:fill="FFFFFF" w:themeFill="background1"/>
          </w:tcPr>
          <w:p w14:paraId="4B07FE35" w14:textId="77777777" w:rsidR="00556CB1" w:rsidRDefault="00556CB1" w:rsidP="00556CB1">
            <w:pPr>
              <w:jc w:val="right"/>
              <w:rPr>
                <w:rFonts w:eastAsiaTheme="majorEastAsia"/>
              </w:rPr>
            </w:pPr>
          </w:p>
        </w:tc>
        <w:tc>
          <w:tcPr>
            <w:tcW w:w="1557" w:type="dxa"/>
            <w:tcBorders>
              <w:top w:val="single" w:sz="4" w:space="0" w:color="auto"/>
            </w:tcBorders>
            <w:shd w:val="clear" w:color="auto" w:fill="FFFFFF" w:themeFill="background1"/>
          </w:tcPr>
          <w:p w14:paraId="0CB01CDC" w14:textId="77777777" w:rsidR="00556CB1" w:rsidRDefault="00556CB1" w:rsidP="00556CB1">
            <w:pPr>
              <w:jc w:val="right"/>
              <w:rPr>
                <w:rFonts w:eastAsiaTheme="majorEastAsia"/>
              </w:rPr>
            </w:pPr>
          </w:p>
        </w:tc>
        <w:tc>
          <w:tcPr>
            <w:tcW w:w="1557" w:type="dxa"/>
            <w:tcBorders>
              <w:top w:val="single" w:sz="4" w:space="0" w:color="auto"/>
            </w:tcBorders>
            <w:shd w:val="clear" w:color="auto" w:fill="FFFFFF" w:themeFill="background1"/>
          </w:tcPr>
          <w:p w14:paraId="5B4FE316" w14:textId="77777777" w:rsidR="00556CB1" w:rsidRDefault="00556CB1" w:rsidP="00556CB1">
            <w:pPr>
              <w:jc w:val="right"/>
              <w:rPr>
                <w:rFonts w:eastAsiaTheme="majorEastAsia"/>
              </w:rPr>
            </w:pPr>
          </w:p>
        </w:tc>
        <w:tc>
          <w:tcPr>
            <w:tcW w:w="1546" w:type="dxa"/>
            <w:tcBorders>
              <w:top w:val="single" w:sz="4" w:space="0" w:color="auto"/>
            </w:tcBorders>
            <w:shd w:val="clear" w:color="auto" w:fill="FFFFFF" w:themeFill="background1"/>
          </w:tcPr>
          <w:p w14:paraId="22C7A18E" w14:textId="77777777" w:rsidR="00556CB1" w:rsidRDefault="00556CB1" w:rsidP="00556CB1">
            <w:pPr>
              <w:jc w:val="right"/>
              <w:rPr>
                <w:rFonts w:eastAsiaTheme="majorEastAsia"/>
              </w:rPr>
            </w:pPr>
          </w:p>
        </w:tc>
        <w:tc>
          <w:tcPr>
            <w:tcW w:w="1563" w:type="dxa"/>
            <w:tcBorders>
              <w:top w:val="single" w:sz="4" w:space="0" w:color="auto"/>
            </w:tcBorders>
            <w:shd w:val="clear" w:color="auto" w:fill="FFFFFF" w:themeFill="background1"/>
          </w:tcPr>
          <w:p w14:paraId="5F8D80E7" w14:textId="77777777" w:rsidR="00556CB1" w:rsidRDefault="00556CB1" w:rsidP="00556CB1">
            <w:pPr>
              <w:jc w:val="right"/>
              <w:rPr>
                <w:rFonts w:eastAsiaTheme="majorEastAsia"/>
              </w:rPr>
            </w:pPr>
          </w:p>
        </w:tc>
      </w:tr>
      <w:tr w:rsidR="00556CB1" w14:paraId="41BDB68B" w14:textId="77777777" w:rsidTr="00E45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1BAB1942" w14:textId="6ACCCFD2" w:rsidR="00556CB1" w:rsidRDefault="00556CB1" w:rsidP="00D57108">
            <w:pPr>
              <w:rPr>
                <w:rFonts w:eastAsiaTheme="majorEastAsia"/>
              </w:rPr>
            </w:pPr>
            <w:r>
              <w:rPr>
                <w:rFonts w:eastAsiaTheme="majorEastAsia"/>
              </w:rPr>
              <w:t>Cash and cash equivalents</w:t>
            </w:r>
          </w:p>
        </w:tc>
        <w:tc>
          <w:tcPr>
            <w:tcW w:w="1561" w:type="dxa"/>
            <w:shd w:val="clear" w:color="auto" w:fill="BAD0CD" w:themeFill="accent5" w:themeFillShade="E6"/>
          </w:tcPr>
          <w:p w14:paraId="0DF4BA2B" w14:textId="4E4D9E87" w:rsidR="00556CB1" w:rsidRDefault="00556CB1" w:rsidP="00556CB1">
            <w:pPr>
              <w:jc w:val="right"/>
              <w:rPr>
                <w:rFonts w:eastAsiaTheme="majorEastAsia"/>
              </w:rPr>
            </w:pPr>
            <w:r>
              <w:rPr>
                <w:rFonts w:eastAsiaTheme="majorEastAsia"/>
              </w:rPr>
              <w:t>8,917</w:t>
            </w:r>
          </w:p>
        </w:tc>
        <w:tc>
          <w:tcPr>
            <w:tcW w:w="1562" w:type="dxa"/>
            <w:shd w:val="clear" w:color="auto" w:fill="D4E2E0" w:themeFill="accent5"/>
          </w:tcPr>
          <w:p w14:paraId="0096B826" w14:textId="12C788D2" w:rsidR="00556CB1" w:rsidRDefault="00556CB1" w:rsidP="00556CB1">
            <w:pPr>
              <w:jc w:val="right"/>
              <w:rPr>
                <w:rFonts w:eastAsiaTheme="majorEastAsia"/>
              </w:rPr>
            </w:pPr>
            <w:r>
              <w:rPr>
                <w:rFonts w:eastAsiaTheme="majorEastAsia"/>
              </w:rPr>
              <w:t>8,917</w:t>
            </w:r>
          </w:p>
        </w:tc>
        <w:tc>
          <w:tcPr>
            <w:tcW w:w="1552" w:type="dxa"/>
            <w:gridSpan w:val="2"/>
            <w:shd w:val="clear" w:color="auto" w:fill="BAD0CD" w:themeFill="accent5" w:themeFillShade="E6"/>
          </w:tcPr>
          <w:p w14:paraId="312349F2" w14:textId="0BD8A9B9" w:rsidR="00556CB1" w:rsidRDefault="00556CB1" w:rsidP="00556CB1">
            <w:pPr>
              <w:jc w:val="right"/>
              <w:rPr>
                <w:rFonts w:eastAsiaTheme="majorEastAsia"/>
              </w:rPr>
            </w:pPr>
            <w:r>
              <w:rPr>
                <w:rFonts w:eastAsiaTheme="majorEastAsia"/>
              </w:rPr>
              <w:t>-</w:t>
            </w:r>
          </w:p>
        </w:tc>
        <w:tc>
          <w:tcPr>
            <w:tcW w:w="1557" w:type="dxa"/>
            <w:shd w:val="clear" w:color="auto" w:fill="BAD0CD" w:themeFill="accent5" w:themeFillShade="E6"/>
          </w:tcPr>
          <w:p w14:paraId="31D88EF9" w14:textId="11F3D1FC" w:rsidR="00556CB1" w:rsidRDefault="00556CB1" w:rsidP="00556CB1">
            <w:pPr>
              <w:jc w:val="right"/>
              <w:rPr>
                <w:rFonts w:eastAsiaTheme="majorEastAsia"/>
              </w:rPr>
            </w:pPr>
            <w:r>
              <w:rPr>
                <w:rFonts w:eastAsiaTheme="majorEastAsia"/>
              </w:rPr>
              <w:t>-</w:t>
            </w:r>
          </w:p>
        </w:tc>
        <w:tc>
          <w:tcPr>
            <w:tcW w:w="1557" w:type="dxa"/>
            <w:shd w:val="clear" w:color="auto" w:fill="BAD0CD" w:themeFill="accent5" w:themeFillShade="E6"/>
          </w:tcPr>
          <w:p w14:paraId="5BF1C56D" w14:textId="51CB77BA" w:rsidR="00556CB1" w:rsidRDefault="00556CB1" w:rsidP="00556CB1">
            <w:pPr>
              <w:jc w:val="right"/>
              <w:rPr>
                <w:rFonts w:eastAsiaTheme="majorEastAsia"/>
              </w:rPr>
            </w:pPr>
            <w:r>
              <w:rPr>
                <w:rFonts w:eastAsiaTheme="majorEastAsia"/>
              </w:rPr>
              <w:t>-</w:t>
            </w:r>
          </w:p>
        </w:tc>
        <w:tc>
          <w:tcPr>
            <w:tcW w:w="1557" w:type="dxa"/>
            <w:shd w:val="clear" w:color="auto" w:fill="BAD0CD" w:themeFill="accent5" w:themeFillShade="E6"/>
          </w:tcPr>
          <w:p w14:paraId="652FDC6C" w14:textId="05BD09D8" w:rsidR="00556CB1" w:rsidRDefault="00556CB1" w:rsidP="00556CB1">
            <w:pPr>
              <w:jc w:val="right"/>
              <w:rPr>
                <w:rFonts w:eastAsiaTheme="majorEastAsia"/>
              </w:rPr>
            </w:pPr>
            <w:r>
              <w:rPr>
                <w:rFonts w:eastAsiaTheme="majorEastAsia"/>
              </w:rPr>
              <w:t>-</w:t>
            </w:r>
          </w:p>
        </w:tc>
        <w:tc>
          <w:tcPr>
            <w:tcW w:w="1546" w:type="dxa"/>
            <w:shd w:val="clear" w:color="auto" w:fill="BAD0CD" w:themeFill="accent5" w:themeFillShade="E6"/>
          </w:tcPr>
          <w:p w14:paraId="7827FA17" w14:textId="402F4CD4" w:rsidR="00556CB1" w:rsidRDefault="00556CB1" w:rsidP="00556CB1">
            <w:pPr>
              <w:jc w:val="right"/>
              <w:rPr>
                <w:rFonts w:eastAsiaTheme="majorEastAsia"/>
              </w:rPr>
            </w:pPr>
            <w:r>
              <w:rPr>
                <w:rFonts w:eastAsiaTheme="majorEastAsia"/>
              </w:rPr>
              <w:t>-</w:t>
            </w:r>
          </w:p>
        </w:tc>
        <w:tc>
          <w:tcPr>
            <w:tcW w:w="1563" w:type="dxa"/>
            <w:shd w:val="clear" w:color="auto" w:fill="D4E2E0" w:themeFill="accent5"/>
          </w:tcPr>
          <w:p w14:paraId="30B242E9" w14:textId="71A3450B" w:rsidR="00556CB1" w:rsidRDefault="00556CB1" w:rsidP="00556CB1">
            <w:pPr>
              <w:jc w:val="right"/>
              <w:rPr>
                <w:rFonts w:eastAsiaTheme="majorEastAsia"/>
              </w:rPr>
            </w:pPr>
            <w:r>
              <w:rPr>
                <w:rFonts w:eastAsiaTheme="majorEastAsia"/>
              </w:rPr>
              <w:t>-</w:t>
            </w:r>
          </w:p>
        </w:tc>
      </w:tr>
      <w:tr w:rsidR="00556CB1" w14:paraId="35D5F392" w14:textId="77777777" w:rsidTr="00E45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7A3494ED" w14:textId="1571B519" w:rsidR="00556CB1" w:rsidRDefault="00556CB1" w:rsidP="00D57108">
            <w:pPr>
              <w:rPr>
                <w:rFonts w:eastAsiaTheme="majorEastAsia"/>
              </w:rPr>
            </w:pPr>
            <w:r>
              <w:rPr>
                <w:rFonts w:eastAsiaTheme="majorEastAsia"/>
              </w:rPr>
              <w:t>Restricted cash</w:t>
            </w:r>
          </w:p>
        </w:tc>
        <w:tc>
          <w:tcPr>
            <w:tcW w:w="1561" w:type="dxa"/>
            <w:shd w:val="clear" w:color="auto" w:fill="BAD0CD" w:themeFill="accent5" w:themeFillShade="E6"/>
          </w:tcPr>
          <w:p w14:paraId="4E424766" w14:textId="463D2F23" w:rsidR="00556CB1" w:rsidRDefault="00556CB1" w:rsidP="00556CB1">
            <w:pPr>
              <w:jc w:val="right"/>
              <w:rPr>
                <w:rFonts w:eastAsiaTheme="majorEastAsia"/>
              </w:rPr>
            </w:pPr>
            <w:r>
              <w:rPr>
                <w:rFonts w:eastAsiaTheme="majorEastAsia"/>
              </w:rPr>
              <w:t>72,607</w:t>
            </w:r>
          </w:p>
        </w:tc>
        <w:tc>
          <w:tcPr>
            <w:tcW w:w="1562" w:type="dxa"/>
            <w:shd w:val="clear" w:color="auto" w:fill="D4E2E0" w:themeFill="accent5"/>
          </w:tcPr>
          <w:p w14:paraId="5FBA0545" w14:textId="34462E41" w:rsidR="00556CB1" w:rsidRDefault="00556CB1" w:rsidP="00556CB1">
            <w:pPr>
              <w:jc w:val="right"/>
              <w:rPr>
                <w:rFonts w:eastAsiaTheme="majorEastAsia"/>
              </w:rPr>
            </w:pPr>
            <w:r>
              <w:rPr>
                <w:rFonts w:eastAsiaTheme="majorEastAsia"/>
              </w:rPr>
              <w:t>72,607</w:t>
            </w:r>
          </w:p>
        </w:tc>
        <w:tc>
          <w:tcPr>
            <w:tcW w:w="1552" w:type="dxa"/>
            <w:gridSpan w:val="2"/>
            <w:shd w:val="clear" w:color="auto" w:fill="BAD0CD" w:themeFill="accent5" w:themeFillShade="E6"/>
          </w:tcPr>
          <w:p w14:paraId="7E691383" w14:textId="0369339B" w:rsidR="00556CB1" w:rsidRDefault="00556CB1" w:rsidP="00556CB1">
            <w:pPr>
              <w:jc w:val="right"/>
              <w:rPr>
                <w:rFonts w:eastAsiaTheme="majorEastAsia"/>
              </w:rPr>
            </w:pPr>
            <w:r>
              <w:rPr>
                <w:rFonts w:eastAsiaTheme="majorEastAsia"/>
              </w:rPr>
              <w:t>-</w:t>
            </w:r>
          </w:p>
        </w:tc>
        <w:tc>
          <w:tcPr>
            <w:tcW w:w="1557" w:type="dxa"/>
            <w:shd w:val="clear" w:color="auto" w:fill="BAD0CD" w:themeFill="accent5" w:themeFillShade="E6"/>
          </w:tcPr>
          <w:p w14:paraId="201E7490" w14:textId="75ED796D" w:rsidR="00556CB1" w:rsidRDefault="00556CB1" w:rsidP="00556CB1">
            <w:pPr>
              <w:jc w:val="right"/>
              <w:rPr>
                <w:rFonts w:eastAsiaTheme="majorEastAsia"/>
              </w:rPr>
            </w:pPr>
            <w:r>
              <w:rPr>
                <w:rFonts w:eastAsiaTheme="majorEastAsia"/>
              </w:rPr>
              <w:t>-</w:t>
            </w:r>
          </w:p>
        </w:tc>
        <w:tc>
          <w:tcPr>
            <w:tcW w:w="1557" w:type="dxa"/>
            <w:shd w:val="clear" w:color="auto" w:fill="BAD0CD" w:themeFill="accent5" w:themeFillShade="E6"/>
          </w:tcPr>
          <w:p w14:paraId="4B6A8869" w14:textId="32584CAD" w:rsidR="00556CB1" w:rsidRDefault="00556CB1" w:rsidP="00556CB1">
            <w:pPr>
              <w:jc w:val="right"/>
              <w:rPr>
                <w:rFonts w:eastAsiaTheme="majorEastAsia"/>
              </w:rPr>
            </w:pPr>
            <w:r>
              <w:rPr>
                <w:rFonts w:eastAsiaTheme="majorEastAsia"/>
              </w:rPr>
              <w:t>-</w:t>
            </w:r>
          </w:p>
        </w:tc>
        <w:tc>
          <w:tcPr>
            <w:tcW w:w="1557" w:type="dxa"/>
            <w:shd w:val="clear" w:color="auto" w:fill="BAD0CD" w:themeFill="accent5" w:themeFillShade="E6"/>
          </w:tcPr>
          <w:p w14:paraId="510004A7" w14:textId="008248EA" w:rsidR="00556CB1" w:rsidRDefault="00556CB1" w:rsidP="00556CB1">
            <w:pPr>
              <w:jc w:val="right"/>
              <w:rPr>
                <w:rFonts w:eastAsiaTheme="majorEastAsia"/>
              </w:rPr>
            </w:pPr>
            <w:r>
              <w:rPr>
                <w:rFonts w:eastAsiaTheme="majorEastAsia"/>
              </w:rPr>
              <w:t>-</w:t>
            </w:r>
          </w:p>
        </w:tc>
        <w:tc>
          <w:tcPr>
            <w:tcW w:w="1546" w:type="dxa"/>
            <w:shd w:val="clear" w:color="auto" w:fill="BAD0CD" w:themeFill="accent5" w:themeFillShade="E6"/>
          </w:tcPr>
          <w:p w14:paraId="08BF52B6" w14:textId="2133F81A" w:rsidR="00556CB1" w:rsidRDefault="00556CB1" w:rsidP="00556CB1">
            <w:pPr>
              <w:jc w:val="right"/>
              <w:rPr>
                <w:rFonts w:eastAsiaTheme="majorEastAsia"/>
              </w:rPr>
            </w:pPr>
            <w:r>
              <w:rPr>
                <w:rFonts w:eastAsiaTheme="majorEastAsia"/>
              </w:rPr>
              <w:t>-</w:t>
            </w:r>
          </w:p>
        </w:tc>
        <w:tc>
          <w:tcPr>
            <w:tcW w:w="1563" w:type="dxa"/>
            <w:shd w:val="clear" w:color="auto" w:fill="D4E2E0" w:themeFill="accent5"/>
          </w:tcPr>
          <w:p w14:paraId="2ED4D401" w14:textId="61C1AEAC" w:rsidR="00556CB1" w:rsidRDefault="00556CB1" w:rsidP="00556CB1">
            <w:pPr>
              <w:jc w:val="right"/>
              <w:rPr>
                <w:rFonts w:eastAsiaTheme="majorEastAsia"/>
              </w:rPr>
            </w:pPr>
            <w:r>
              <w:rPr>
                <w:rFonts w:eastAsiaTheme="majorEastAsia"/>
              </w:rPr>
              <w:t>-</w:t>
            </w:r>
          </w:p>
        </w:tc>
      </w:tr>
      <w:tr w:rsidR="00556CB1" w14:paraId="4A5219A2" w14:textId="77777777" w:rsidTr="00E45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4499FF53" w14:textId="4AAE3491" w:rsidR="00556CB1" w:rsidRDefault="00556CB1" w:rsidP="00D57108">
            <w:pPr>
              <w:rPr>
                <w:rFonts w:eastAsiaTheme="majorEastAsia"/>
              </w:rPr>
            </w:pPr>
            <w:r>
              <w:rPr>
                <w:rFonts w:eastAsiaTheme="majorEastAsia"/>
              </w:rPr>
              <w:t>Receivables</w:t>
            </w:r>
            <w:r w:rsidRPr="00556CB1">
              <w:rPr>
                <w:rFonts w:eastAsiaTheme="majorEastAsia"/>
                <w:vertAlign w:val="superscript"/>
              </w:rPr>
              <w:t>(a)</w:t>
            </w:r>
          </w:p>
        </w:tc>
        <w:tc>
          <w:tcPr>
            <w:tcW w:w="1561" w:type="dxa"/>
            <w:shd w:val="clear" w:color="auto" w:fill="BAD0CD" w:themeFill="accent5" w:themeFillShade="E6"/>
          </w:tcPr>
          <w:p w14:paraId="62E4E69F" w14:textId="18237AEA" w:rsidR="00556CB1" w:rsidRDefault="00556CB1" w:rsidP="00556CB1">
            <w:pPr>
              <w:jc w:val="right"/>
              <w:rPr>
                <w:rFonts w:eastAsiaTheme="majorEastAsia"/>
              </w:rPr>
            </w:pPr>
            <w:r>
              <w:rPr>
                <w:rFonts w:eastAsiaTheme="majorEastAsia"/>
              </w:rPr>
              <w:t>1,183</w:t>
            </w:r>
          </w:p>
        </w:tc>
        <w:tc>
          <w:tcPr>
            <w:tcW w:w="1562" w:type="dxa"/>
            <w:shd w:val="clear" w:color="auto" w:fill="D4E2E0" w:themeFill="accent5"/>
          </w:tcPr>
          <w:p w14:paraId="027048F1" w14:textId="242F2D7D" w:rsidR="00556CB1" w:rsidRDefault="00556CB1" w:rsidP="00556CB1">
            <w:pPr>
              <w:jc w:val="right"/>
              <w:rPr>
                <w:rFonts w:eastAsiaTheme="majorEastAsia"/>
              </w:rPr>
            </w:pPr>
            <w:r>
              <w:rPr>
                <w:rFonts w:eastAsiaTheme="majorEastAsia"/>
              </w:rPr>
              <w:t>818</w:t>
            </w:r>
          </w:p>
        </w:tc>
        <w:tc>
          <w:tcPr>
            <w:tcW w:w="1552" w:type="dxa"/>
            <w:gridSpan w:val="2"/>
            <w:shd w:val="clear" w:color="auto" w:fill="BAD0CD" w:themeFill="accent5" w:themeFillShade="E6"/>
          </w:tcPr>
          <w:p w14:paraId="28AAFD99" w14:textId="40F0DD04" w:rsidR="00556CB1" w:rsidRDefault="00556CB1" w:rsidP="00556CB1">
            <w:pPr>
              <w:jc w:val="right"/>
              <w:rPr>
                <w:rFonts w:eastAsiaTheme="majorEastAsia"/>
              </w:rPr>
            </w:pPr>
            <w:r>
              <w:rPr>
                <w:rFonts w:eastAsiaTheme="majorEastAsia"/>
              </w:rPr>
              <w:t>50</w:t>
            </w:r>
          </w:p>
        </w:tc>
        <w:tc>
          <w:tcPr>
            <w:tcW w:w="1557" w:type="dxa"/>
            <w:shd w:val="clear" w:color="auto" w:fill="BAD0CD" w:themeFill="accent5" w:themeFillShade="E6"/>
          </w:tcPr>
          <w:p w14:paraId="42CFAB54" w14:textId="735BBCAA" w:rsidR="00556CB1" w:rsidRDefault="00556CB1" w:rsidP="00556CB1">
            <w:pPr>
              <w:jc w:val="right"/>
              <w:rPr>
                <w:rFonts w:eastAsiaTheme="majorEastAsia"/>
              </w:rPr>
            </w:pPr>
            <w:r>
              <w:rPr>
                <w:rFonts w:eastAsiaTheme="majorEastAsia"/>
              </w:rPr>
              <w:t>125</w:t>
            </w:r>
          </w:p>
        </w:tc>
        <w:tc>
          <w:tcPr>
            <w:tcW w:w="1557" w:type="dxa"/>
            <w:shd w:val="clear" w:color="auto" w:fill="BAD0CD" w:themeFill="accent5" w:themeFillShade="E6"/>
          </w:tcPr>
          <w:p w14:paraId="33EC90B4" w14:textId="2161BA46" w:rsidR="00556CB1" w:rsidRDefault="00556CB1" w:rsidP="00556CB1">
            <w:pPr>
              <w:jc w:val="right"/>
              <w:rPr>
                <w:rFonts w:eastAsiaTheme="majorEastAsia"/>
              </w:rPr>
            </w:pPr>
            <w:r>
              <w:rPr>
                <w:rFonts w:eastAsiaTheme="majorEastAsia"/>
              </w:rPr>
              <w:t>12</w:t>
            </w:r>
          </w:p>
        </w:tc>
        <w:tc>
          <w:tcPr>
            <w:tcW w:w="1557" w:type="dxa"/>
            <w:shd w:val="clear" w:color="auto" w:fill="BAD0CD" w:themeFill="accent5" w:themeFillShade="E6"/>
          </w:tcPr>
          <w:p w14:paraId="15782568" w14:textId="3D33D44A" w:rsidR="00556CB1" w:rsidRDefault="00556CB1" w:rsidP="00556CB1">
            <w:pPr>
              <w:jc w:val="right"/>
              <w:rPr>
                <w:rFonts w:eastAsiaTheme="majorEastAsia"/>
              </w:rPr>
            </w:pPr>
            <w:r>
              <w:rPr>
                <w:rFonts w:eastAsiaTheme="majorEastAsia"/>
              </w:rPr>
              <w:t>100</w:t>
            </w:r>
          </w:p>
        </w:tc>
        <w:tc>
          <w:tcPr>
            <w:tcW w:w="1546" w:type="dxa"/>
            <w:shd w:val="clear" w:color="auto" w:fill="BAD0CD" w:themeFill="accent5" w:themeFillShade="E6"/>
          </w:tcPr>
          <w:p w14:paraId="3D3FBC5B" w14:textId="0863F1F4" w:rsidR="00556CB1" w:rsidRDefault="00556CB1" w:rsidP="00556CB1">
            <w:pPr>
              <w:jc w:val="right"/>
              <w:rPr>
                <w:rFonts w:eastAsiaTheme="majorEastAsia"/>
              </w:rPr>
            </w:pPr>
            <w:r>
              <w:rPr>
                <w:rFonts w:eastAsiaTheme="majorEastAsia"/>
              </w:rPr>
              <w:t>78</w:t>
            </w:r>
          </w:p>
        </w:tc>
        <w:tc>
          <w:tcPr>
            <w:tcW w:w="1563" w:type="dxa"/>
            <w:shd w:val="clear" w:color="auto" w:fill="D4E2E0" w:themeFill="accent5"/>
          </w:tcPr>
          <w:p w14:paraId="5129C407" w14:textId="7D45D3A9" w:rsidR="00556CB1" w:rsidRDefault="00556CB1" w:rsidP="00556CB1">
            <w:pPr>
              <w:jc w:val="right"/>
              <w:rPr>
                <w:rFonts w:eastAsiaTheme="majorEastAsia"/>
              </w:rPr>
            </w:pPr>
            <w:r>
              <w:rPr>
                <w:rFonts w:eastAsiaTheme="majorEastAsia"/>
              </w:rPr>
              <w:t>-</w:t>
            </w:r>
          </w:p>
        </w:tc>
      </w:tr>
      <w:tr w:rsidR="00556CB1" w14:paraId="50B72D48" w14:textId="77777777" w:rsidTr="00E45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1A8BC96F" w14:textId="3157B407" w:rsidR="00556CB1" w:rsidRDefault="00556CB1" w:rsidP="00D57108">
            <w:pPr>
              <w:rPr>
                <w:rFonts w:eastAsiaTheme="majorEastAsia"/>
              </w:rPr>
            </w:pPr>
            <w:r>
              <w:rPr>
                <w:rFonts w:eastAsiaTheme="majorEastAsia"/>
              </w:rPr>
              <w:t>Other financial assets</w:t>
            </w:r>
          </w:p>
        </w:tc>
        <w:tc>
          <w:tcPr>
            <w:tcW w:w="1561" w:type="dxa"/>
            <w:shd w:val="clear" w:color="auto" w:fill="BAD0CD" w:themeFill="accent5" w:themeFillShade="E6"/>
          </w:tcPr>
          <w:p w14:paraId="7FBB5494" w14:textId="0CA2503B" w:rsidR="00556CB1" w:rsidRDefault="00556CB1" w:rsidP="00556CB1">
            <w:pPr>
              <w:jc w:val="right"/>
              <w:rPr>
                <w:rFonts w:eastAsiaTheme="majorEastAsia"/>
              </w:rPr>
            </w:pPr>
            <w:r>
              <w:rPr>
                <w:rFonts w:eastAsiaTheme="majorEastAsia"/>
              </w:rPr>
              <w:t>9,908</w:t>
            </w:r>
          </w:p>
        </w:tc>
        <w:tc>
          <w:tcPr>
            <w:tcW w:w="1562" w:type="dxa"/>
            <w:shd w:val="clear" w:color="auto" w:fill="D4E2E0" w:themeFill="accent5"/>
          </w:tcPr>
          <w:p w14:paraId="50A8A6E1" w14:textId="49EC9930" w:rsidR="00556CB1" w:rsidRDefault="00556CB1" w:rsidP="00556CB1">
            <w:pPr>
              <w:jc w:val="right"/>
              <w:rPr>
                <w:rFonts w:eastAsiaTheme="majorEastAsia"/>
              </w:rPr>
            </w:pPr>
            <w:r>
              <w:rPr>
                <w:rFonts w:eastAsiaTheme="majorEastAsia"/>
              </w:rPr>
              <w:t>9,908</w:t>
            </w:r>
          </w:p>
        </w:tc>
        <w:tc>
          <w:tcPr>
            <w:tcW w:w="1552" w:type="dxa"/>
            <w:gridSpan w:val="2"/>
            <w:shd w:val="clear" w:color="auto" w:fill="BAD0CD" w:themeFill="accent5" w:themeFillShade="E6"/>
          </w:tcPr>
          <w:p w14:paraId="7116DBFA" w14:textId="14BD914B" w:rsidR="00556CB1" w:rsidRDefault="00556CB1" w:rsidP="00556CB1">
            <w:pPr>
              <w:jc w:val="right"/>
              <w:rPr>
                <w:rFonts w:eastAsiaTheme="majorEastAsia"/>
              </w:rPr>
            </w:pPr>
            <w:r>
              <w:rPr>
                <w:rFonts w:eastAsiaTheme="majorEastAsia"/>
              </w:rPr>
              <w:t>-</w:t>
            </w:r>
          </w:p>
        </w:tc>
        <w:tc>
          <w:tcPr>
            <w:tcW w:w="1557" w:type="dxa"/>
            <w:shd w:val="clear" w:color="auto" w:fill="BAD0CD" w:themeFill="accent5" w:themeFillShade="E6"/>
          </w:tcPr>
          <w:p w14:paraId="150208A6" w14:textId="477BAF54" w:rsidR="00556CB1" w:rsidRDefault="00556CB1" w:rsidP="00556CB1">
            <w:pPr>
              <w:jc w:val="right"/>
              <w:rPr>
                <w:rFonts w:eastAsiaTheme="majorEastAsia"/>
              </w:rPr>
            </w:pPr>
            <w:r>
              <w:rPr>
                <w:rFonts w:eastAsiaTheme="majorEastAsia"/>
              </w:rPr>
              <w:t>-</w:t>
            </w:r>
          </w:p>
        </w:tc>
        <w:tc>
          <w:tcPr>
            <w:tcW w:w="1557" w:type="dxa"/>
            <w:shd w:val="clear" w:color="auto" w:fill="BAD0CD" w:themeFill="accent5" w:themeFillShade="E6"/>
          </w:tcPr>
          <w:p w14:paraId="0A128154" w14:textId="6F02157C" w:rsidR="00556CB1" w:rsidRDefault="00556CB1" w:rsidP="00556CB1">
            <w:pPr>
              <w:jc w:val="right"/>
              <w:rPr>
                <w:rFonts w:eastAsiaTheme="majorEastAsia"/>
              </w:rPr>
            </w:pPr>
            <w:r>
              <w:rPr>
                <w:rFonts w:eastAsiaTheme="majorEastAsia"/>
              </w:rPr>
              <w:t>-</w:t>
            </w:r>
          </w:p>
        </w:tc>
        <w:tc>
          <w:tcPr>
            <w:tcW w:w="1557" w:type="dxa"/>
            <w:shd w:val="clear" w:color="auto" w:fill="BAD0CD" w:themeFill="accent5" w:themeFillShade="E6"/>
          </w:tcPr>
          <w:p w14:paraId="02F82FC3" w14:textId="3DFF2C6F" w:rsidR="00556CB1" w:rsidRDefault="00556CB1" w:rsidP="00556CB1">
            <w:pPr>
              <w:jc w:val="right"/>
              <w:rPr>
                <w:rFonts w:eastAsiaTheme="majorEastAsia"/>
              </w:rPr>
            </w:pPr>
            <w:r>
              <w:rPr>
                <w:rFonts w:eastAsiaTheme="majorEastAsia"/>
              </w:rPr>
              <w:t>-</w:t>
            </w:r>
          </w:p>
        </w:tc>
        <w:tc>
          <w:tcPr>
            <w:tcW w:w="1546" w:type="dxa"/>
            <w:shd w:val="clear" w:color="auto" w:fill="BAD0CD" w:themeFill="accent5" w:themeFillShade="E6"/>
          </w:tcPr>
          <w:p w14:paraId="064D00D1" w14:textId="015877DE" w:rsidR="00556CB1" w:rsidRDefault="00556CB1" w:rsidP="00556CB1">
            <w:pPr>
              <w:jc w:val="right"/>
              <w:rPr>
                <w:rFonts w:eastAsiaTheme="majorEastAsia"/>
              </w:rPr>
            </w:pPr>
            <w:r>
              <w:rPr>
                <w:rFonts w:eastAsiaTheme="majorEastAsia"/>
              </w:rPr>
              <w:t>-</w:t>
            </w:r>
          </w:p>
        </w:tc>
        <w:tc>
          <w:tcPr>
            <w:tcW w:w="1563" w:type="dxa"/>
            <w:shd w:val="clear" w:color="auto" w:fill="D4E2E0" w:themeFill="accent5"/>
          </w:tcPr>
          <w:p w14:paraId="53251583" w14:textId="39FB3573" w:rsidR="00556CB1" w:rsidRDefault="00556CB1" w:rsidP="00556CB1">
            <w:pPr>
              <w:jc w:val="right"/>
              <w:rPr>
                <w:rFonts w:eastAsiaTheme="majorEastAsia"/>
              </w:rPr>
            </w:pPr>
            <w:r>
              <w:rPr>
                <w:rFonts w:eastAsiaTheme="majorEastAsia"/>
              </w:rPr>
              <w:t>-</w:t>
            </w:r>
          </w:p>
        </w:tc>
      </w:tr>
      <w:tr w:rsidR="00556CB1" w14:paraId="5DC9AF70" w14:textId="77777777" w:rsidTr="00E45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66142E4C" w14:textId="77777777" w:rsidR="00556CB1" w:rsidRDefault="00556CB1" w:rsidP="00D57108">
            <w:pPr>
              <w:rPr>
                <w:rFonts w:eastAsiaTheme="majorEastAsia"/>
              </w:rPr>
            </w:pPr>
          </w:p>
        </w:tc>
        <w:tc>
          <w:tcPr>
            <w:tcW w:w="1561" w:type="dxa"/>
            <w:tcBorders>
              <w:bottom w:val="single" w:sz="4" w:space="0" w:color="auto"/>
            </w:tcBorders>
            <w:shd w:val="clear" w:color="auto" w:fill="BAD0CD" w:themeFill="accent5" w:themeFillShade="E6"/>
          </w:tcPr>
          <w:p w14:paraId="2F40F745" w14:textId="1D5C3814" w:rsidR="00556CB1" w:rsidRPr="00556CB1" w:rsidRDefault="00556CB1" w:rsidP="00556CB1">
            <w:pPr>
              <w:jc w:val="right"/>
              <w:rPr>
                <w:rFonts w:eastAsiaTheme="majorEastAsia"/>
                <w:b/>
              </w:rPr>
            </w:pPr>
            <w:r w:rsidRPr="00556CB1">
              <w:rPr>
                <w:rFonts w:eastAsiaTheme="majorEastAsia"/>
                <w:b/>
              </w:rPr>
              <w:t>92,615</w:t>
            </w:r>
          </w:p>
        </w:tc>
        <w:tc>
          <w:tcPr>
            <w:tcW w:w="1562" w:type="dxa"/>
            <w:tcBorders>
              <w:bottom w:val="single" w:sz="4" w:space="0" w:color="auto"/>
            </w:tcBorders>
            <w:shd w:val="clear" w:color="auto" w:fill="D4E2E0" w:themeFill="accent5"/>
          </w:tcPr>
          <w:p w14:paraId="6A5AEDDA" w14:textId="75E00951" w:rsidR="00556CB1" w:rsidRPr="00556CB1" w:rsidRDefault="00556CB1" w:rsidP="00556CB1">
            <w:pPr>
              <w:jc w:val="right"/>
              <w:rPr>
                <w:rFonts w:eastAsiaTheme="majorEastAsia"/>
                <w:b/>
              </w:rPr>
            </w:pPr>
            <w:r w:rsidRPr="00556CB1">
              <w:rPr>
                <w:rFonts w:eastAsiaTheme="majorEastAsia"/>
                <w:b/>
              </w:rPr>
              <w:t>92,250</w:t>
            </w:r>
          </w:p>
        </w:tc>
        <w:tc>
          <w:tcPr>
            <w:tcW w:w="1552" w:type="dxa"/>
            <w:gridSpan w:val="2"/>
            <w:tcBorders>
              <w:bottom w:val="single" w:sz="4" w:space="0" w:color="auto"/>
            </w:tcBorders>
            <w:shd w:val="clear" w:color="auto" w:fill="BAD0CD" w:themeFill="accent5" w:themeFillShade="E6"/>
          </w:tcPr>
          <w:p w14:paraId="3D63B197" w14:textId="2ED24F27" w:rsidR="00556CB1" w:rsidRPr="00556CB1" w:rsidRDefault="00556CB1" w:rsidP="00556CB1">
            <w:pPr>
              <w:jc w:val="right"/>
              <w:rPr>
                <w:rFonts w:eastAsiaTheme="majorEastAsia"/>
                <w:b/>
              </w:rPr>
            </w:pPr>
            <w:r w:rsidRPr="00556CB1">
              <w:rPr>
                <w:rFonts w:eastAsiaTheme="majorEastAsia"/>
                <w:b/>
              </w:rPr>
              <w:t>50</w:t>
            </w:r>
          </w:p>
        </w:tc>
        <w:tc>
          <w:tcPr>
            <w:tcW w:w="1557" w:type="dxa"/>
            <w:tcBorders>
              <w:bottom w:val="single" w:sz="4" w:space="0" w:color="auto"/>
            </w:tcBorders>
            <w:shd w:val="clear" w:color="auto" w:fill="BAD0CD" w:themeFill="accent5" w:themeFillShade="E6"/>
          </w:tcPr>
          <w:p w14:paraId="34A0CF30" w14:textId="55336634" w:rsidR="00556CB1" w:rsidRPr="00556CB1" w:rsidRDefault="00556CB1" w:rsidP="00556CB1">
            <w:pPr>
              <w:jc w:val="right"/>
              <w:rPr>
                <w:rFonts w:eastAsiaTheme="majorEastAsia"/>
                <w:b/>
              </w:rPr>
            </w:pPr>
            <w:r w:rsidRPr="00556CB1">
              <w:rPr>
                <w:rFonts w:eastAsiaTheme="majorEastAsia"/>
                <w:b/>
              </w:rPr>
              <w:t>125</w:t>
            </w:r>
          </w:p>
        </w:tc>
        <w:tc>
          <w:tcPr>
            <w:tcW w:w="1557" w:type="dxa"/>
            <w:tcBorders>
              <w:bottom w:val="single" w:sz="4" w:space="0" w:color="auto"/>
            </w:tcBorders>
            <w:shd w:val="clear" w:color="auto" w:fill="BAD0CD" w:themeFill="accent5" w:themeFillShade="E6"/>
          </w:tcPr>
          <w:p w14:paraId="18393C68" w14:textId="2FE4CD55" w:rsidR="00556CB1" w:rsidRPr="00556CB1" w:rsidRDefault="00556CB1" w:rsidP="00556CB1">
            <w:pPr>
              <w:jc w:val="right"/>
              <w:rPr>
                <w:rFonts w:eastAsiaTheme="majorEastAsia"/>
                <w:b/>
              </w:rPr>
            </w:pPr>
            <w:r w:rsidRPr="00556CB1">
              <w:rPr>
                <w:rFonts w:eastAsiaTheme="majorEastAsia"/>
                <w:b/>
              </w:rPr>
              <w:t>12</w:t>
            </w:r>
          </w:p>
        </w:tc>
        <w:tc>
          <w:tcPr>
            <w:tcW w:w="1557" w:type="dxa"/>
            <w:tcBorders>
              <w:bottom w:val="single" w:sz="4" w:space="0" w:color="auto"/>
            </w:tcBorders>
            <w:shd w:val="clear" w:color="auto" w:fill="BAD0CD" w:themeFill="accent5" w:themeFillShade="E6"/>
          </w:tcPr>
          <w:p w14:paraId="66CF1EB2" w14:textId="77A5F3B1" w:rsidR="00556CB1" w:rsidRPr="00556CB1" w:rsidRDefault="00556CB1" w:rsidP="00556CB1">
            <w:pPr>
              <w:jc w:val="right"/>
              <w:rPr>
                <w:rFonts w:eastAsiaTheme="majorEastAsia"/>
                <w:b/>
              </w:rPr>
            </w:pPr>
            <w:r w:rsidRPr="00556CB1">
              <w:rPr>
                <w:rFonts w:eastAsiaTheme="majorEastAsia"/>
                <w:b/>
              </w:rPr>
              <w:t>100</w:t>
            </w:r>
          </w:p>
        </w:tc>
        <w:tc>
          <w:tcPr>
            <w:tcW w:w="1546" w:type="dxa"/>
            <w:tcBorders>
              <w:bottom w:val="single" w:sz="4" w:space="0" w:color="auto"/>
            </w:tcBorders>
            <w:shd w:val="clear" w:color="auto" w:fill="BAD0CD" w:themeFill="accent5" w:themeFillShade="E6"/>
          </w:tcPr>
          <w:p w14:paraId="32D9865B" w14:textId="3482C7E2" w:rsidR="00556CB1" w:rsidRPr="00556CB1" w:rsidRDefault="00556CB1" w:rsidP="00556CB1">
            <w:pPr>
              <w:jc w:val="right"/>
              <w:rPr>
                <w:rFonts w:eastAsiaTheme="majorEastAsia"/>
                <w:b/>
              </w:rPr>
            </w:pPr>
            <w:r w:rsidRPr="00556CB1">
              <w:rPr>
                <w:rFonts w:eastAsiaTheme="majorEastAsia"/>
                <w:b/>
              </w:rPr>
              <w:t>78</w:t>
            </w:r>
          </w:p>
        </w:tc>
        <w:tc>
          <w:tcPr>
            <w:tcW w:w="1563" w:type="dxa"/>
            <w:tcBorders>
              <w:bottom w:val="single" w:sz="4" w:space="0" w:color="auto"/>
            </w:tcBorders>
            <w:shd w:val="clear" w:color="auto" w:fill="D4E2E0" w:themeFill="accent5"/>
          </w:tcPr>
          <w:p w14:paraId="5E0415EB" w14:textId="183B093D" w:rsidR="00556CB1" w:rsidRPr="00556CB1" w:rsidRDefault="00556CB1" w:rsidP="00556CB1">
            <w:pPr>
              <w:jc w:val="right"/>
              <w:rPr>
                <w:rFonts w:eastAsiaTheme="majorEastAsia"/>
                <w:b/>
              </w:rPr>
            </w:pPr>
            <w:r w:rsidRPr="00556CB1">
              <w:rPr>
                <w:rFonts w:eastAsiaTheme="majorEastAsia"/>
                <w:b/>
              </w:rPr>
              <w:t>-</w:t>
            </w:r>
          </w:p>
        </w:tc>
      </w:tr>
    </w:tbl>
    <w:p w14:paraId="1412EABA" w14:textId="5BD59D1C" w:rsidR="00D57108" w:rsidRDefault="000E24DD" w:rsidP="004D4216">
      <w:pPr>
        <w:rPr>
          <w:rFonts w:eastAsiaTheme="majorEastAsia"/>
        </w:rPr>
      </w:pPr>
      <w:r>
        <w:rPr>
          <w:rFonts w:eastAsiaTheme="majorEastAsia"/>
        </w:rPr>
        <w:br/>
      </w:r>
      <w:r w:rsidR="004D4216">
        <w:rPr>
          <w:rFonts w:eastAsiaTheme="majorEastAsia"/>
        </w:rPr>
        <w:t>(a) The amount of Receivables excludes GST recoverable from the ATO (statutory receivable).</w:t>
      </w:r>
    </w:p>
    <w:p w14:paraId="74811F19" w14:textId="77777777" w:rsidR="00BA26B9" w:rsidRDefault="00BA26B9" w:rsidP="00BA26B9">
      <w:pPr>
        <w:keepLines w:val="0"/>
        <w:spacing w:after="0" w:line="240" w:lineRule="auto"/>
        <w:rPr>
          <w:rFonts w:eastAsiaTheme="majorEastAsia"/>
        </w:rPr>
      </w:pPr>
    </w:p>
    <w:p w14:paraId="73D62464" w14:textId="77777777" w:rsidR="0086765F" w:rsidRPr="00DA1E18" w:rsidRDefault="0086765F" w:rsidP="0086765F">
      <w:pPr>
        <w:rPr>
          <w:rStyle w:val="Strong"/>
          <w:rFonts w:eastAsiaTheme="majorEastAsia"/>
        </w:rPr>
      </w:pPr>
      <w:r w:rsidRPr="00DA1E18">
        <w:rPr>
          <w:rStyle w:val="Strong"/>
          <w:rFonts w:eastAsiaTheme="majorEastAsia"/>
        </w:rPr>
        <w:t>Liquidity Risk and interest rate exposure</w:t>
      </w:r>
    </w:p>
    <w:p w14:paraId="793F15B3" w14:textId="77777777" w:rsidR="0086765F" w:rsidRPr="0086765F" w:rsidRDefault="0086765F" w:rsidP="0086765F">
      <w:pPr>
        <w:rPr>
          <w:rFonts w:eastAsiaTheme="majorEastAsia"/>
        </w:rPr>
      </w:pPr>
      <w:r w:rsidRPr="0086765F">
        <w:rPr>
          <w:rFonts w:eastAsiaTheme="majorEastAsia"/>
        </w:rPr>
        <w:t>The following table details the Authority's interest rate exposure and the contractual maturity analysis of financial assets and liabilities. The maturity analysis section includes interest and principal cash flows. The interest rate exposure section analyses only the carrying amounts of each item.</w:t>
      </w:r>
    </w:p>
    <w:p w14:paraId="3A08D30D" w14:textId="4CA37E15" w:rsidR="0086765F" w:rsidRPr="00DA1E18" w:rsidRDefault="0086765F" w:rsidP="0086765F">
      <w:pPr>
        <w:rPr>
          <w:rStyle w:val="Strong"/>
          <w:rFonts w:eastAsiaTheme="majorEastAsia"/>
        </w:rPr>
      </w:pPr>
      <w:r w:rsidRPr="00DA1E18">
        <w:rPr>
          <w:rStyle w:val="Strong"/>
          <w:rFonts w:eastAsiaTheme="majorEastAsia"/>
        </w:rPr>
        <w:t>Interest rate exposure and maturity analysis for financial assets and financial liabilities</w:t>
      </w:r>
    </w:p>
    <w:tbl>
      <w:tblPr>
        <w:tblStyle w:val="TableGrid"/>
        <w:tblW w:w="0" w:type="auto"/>
        <w:tblLook w:val="04A0" w:firstRow="1" w:lastRow="0" w:firstColumn="1" w:lastColumn="0" w:noHBand="0" w:noVBand="1"/>
      </w:tblPr>
      <w:tblGrid>
        <w:gridCol w:w="1810"/>
        <w:gridCol w:w="8"/>
        <w:gridCol w:w="1230"/>
        <w:gridCol w:w="1149"/>
        <w:gridCol w:w="1136"/>
        <w:gridCol w:w="1094"/>
        <w:gridCol w:w="1109"/>
        <w:gridCol w:w="31"/>
        <w:gridCol w:w="1106"/>
        <w:gridCol w:w="1060"/>
        <w:gridCol w:w="1088"/>
        <w:gridCol w:w="1088"/>
        <w:gridCol w:w="1088"/>
        <w:gridCol w:w="932"/>
        <w:gridCol w:w="29"/>
      </w:tblGrid>
      <w:tr w:rsidR="007A6861" w14:paraId="25B84784" w14:textId="3E908771" w:rsidTr="007A6861">
        <w:trPr>
          <w:gridAfter w:val="1"/>
          <w:wAfter w:w="32" w:type="dxa"/>
        </w:trPr>
        <w:tc>
          <w:tcPr>
            <w:tcW w:w="1809" w:type="dxa"/>
            <w:tcBorders>
              <w:top w:val="nil"/>
              <w:left w:val="nil"/>
              <w:bottom w:val="nil"/>
              <w:right w:val="nil"/>
            </w:tcBorders>
          </w:tcPr>
          <w:p w14:paraId="0C3F26FF" w14:textId="77777777" w:rsidR="007A6861" w:rsidRDefault="007A6861" w:rsidP="0086765F">
            <w:pPr>
              <w:rPr>
                <w:rFonts w:eastAsiaTheme="majorEastAsia"/>
                <w:b/>
              </w:rPr>
            </w:pPr>
          </w:p>
        </w:tc>
        <w:tc>
          <w:tcPr>
            <w:tcW w:w="5812" w:type="dxa"/>
            <w:gridSpan w:val="7"/>
            <w:tcBorders>
              <w:top w:val="nil"/>
              <w:left w:val="nil"/>
              <w:bottom w:val="nil"/>
              <w:right w:val="nil"/>
            </w:tcBorders>
          </w:tcPr>
          <w:p w14:paraId="6DC7C692" w14:textId="4FCD32A3" w:rsidR="007A6861" w:rsidRDefault="007A6861" w:rsidP="007A6861">
            <w:pPr>
              <w:jc w:val="center"/>
              <w:rPr>
                <w:rFonts w:eastAsiaTheme="majorEastAsia"/>
                <w:b/>
              </w:rPr>
            </w:pPr>
            <w:r>
              <w:rPr>
                <w:rFonts w:eastAsiaTheme="majorEastAsia"/>
                <w:b/>
              </w:rPr>
              <w:t>Interest Rate Exposure</w:t>
            </w:r>
          </w:p>
        </w:tc>
        <w:tc>
          <w:tcPr>
            <w:tcW w:w="6521" w:type="dxa"/>
            <w:gridSpan w:val="6"/>
            <w:tcBorders>
              <w:top w:val="nil"/>
              <w:left w:val="nil"/>
              <w:bottom w:val="nil"/>
              <w:right w:val="nil"/>
            </w:tcBorders>
          </w:tcPr>
          <w:p w14:paraId="2419C940" w14:textId="0E1C67FE" w:rsidR="007A6861" w:rsidRDefault="007A6861" w:rsidP="007A6861">
            <w:pPr>
              <w:jc w:val="center"/>
              <w:rPr>
                <w:rFonts w:eastAsiaTheme="majorEastAsia"/>
                <w:b/>
              </w:rPr>
            </w:pPr>
            <w:r>
              <w:rPr>
                <w:rFonts w:eastAsiaTheme="majorEastAsia"/>
                <w:b/>
              </w:rPr>
              <w:t>Maturity Dates</w:t>
            </w:r>
          </w:p>
        </w:tc>
      </w:tr>
      <w:tr w:rsidR="007A6861" w14:paraId="23F4CC24"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tcPr>
          <w:p w14:paraId="3F6D7780" w14:textId="72FAF759" w:rsidR="007A6861" w:rsidRDefault="007A6861" w:rsidP="0086765F">
            <w:pPr>
              <w:rPr>
                <w:rFonts w:eastAsiaTheme="majorEastAsia"/>
              </w:rPr>
            </w:pPr>
            <w:r w:rsidRPr="0086765F">
              <w:rPr>
                <w:rFonts w:eastAsiaTheme="majorEastAsia"/>
                <w:b/>
              </w:rPr>
              <w:t>2015</w:t>
            </w:r>
            <w:r>
              <w:rPr>
                <w:rFonts w:eastAsiaTheme="majorEastAsia"/>
              </w:rPr>
              <w:br/>
            </w:r>
            <w:r w:rsidRPr="0086765F">
              <w:rPr>
                <w:rFonts w:eastAsiaTheme="majorEastAsia"/>
                <w:i/>
              </w:rPr>
              <w:t>Financial Assets</w:t>
            </w:r>
          </w:p>
        </w:tc>
        <w:tc>
          <w:tcPr>
            <w:tcW w:w="1230" w:type="dxa"/>
          </w:tcPr>
          <w:p w14:paraId="658E33E7" w14:textId="241AA7E0" w:rsidR="007A6861" w:rsidRDefault="007A6861" w:rsidP="00672196">
            <w:pPr>
              <w:jc w:val="right"/>
              <w:rPr>
                <w:rFonts w:eastAsiaTheme="majorEastAsia"/>
              </w:rPr>
            </w:pPr>
            <w:r>
              <w:rPr>
                <w:rFonts w:eastAsiaTheme="majorEastAsia"/>
              </w:rPr>
              <w:t>Weighted Average Effective Interest Rate</w:t>
            </w:r>
          </w:p>
        </w:tc>
        <w:tc>
          <w:tcPr>
            <w:tcW w:w="1156" w:type="dxa"/>
          </w:tcPr>
          <w:p w14:paraId="1B6A0CEC" w14:textId="36FF1D1D" w:rsidR="007A6861" w:rsidRDefault="007A6861" w:rsidP="00672196">
            <w:pPr>
              <w:jc w:val="right"/>
              <w:rPr>
                <w:rFonts w:eastAsiaTheme="majorEastAsia"/>
              </w:rPr>
            </w:pPr>
            <w:r>
              <w:rPr>
                <w:rFonts w:eastAsiaTheme="majorEastAsia"/>
              </w:rPr>
              <w:t>Carrying Amount</w:t>
            </w:r>
          </w:p>
        </w:tc>
        <w:tc>
          <w:tcPr>
            <w:tcW w:w="1146" w:type="dxa"/>
          </w:tcPr>
          <w:p w14:paraId="4E7E71B5" w14:textId="7D9F418A" w:rsidR="007A6861" w:rsidRDefault="007A6861" w:rsidP="00672196">
            <w:pPr>
              <w:jc w:val="right"/>
              <w:rPr>
                <w:rFonts w:eastAsiaTheme="majorEastAsia"/>
              </w:rPr>
            </w:pPr>
            <w:r>
              <w:rPr>
                <w:rFonts w:eastAsiaTheme="majorEastAsia"/>
              </w:rPr>
              <w:t>Variable Interest Rate</w:t>
            </w:r>
          </w:p>
        </w:tc>
        <w:tc>
          <w:tcPr>
            <w:tcW w:w="1115" w:type="dxa"/>
          </w:tcPr>
          <w:p w14:paraId="63DCFA87" w14:textId="11206C23" w:rsidR="007A6861" w:rsidRDefault="007A6861" w:rsidP="00672196">
            <w:pPr>
              <w:jc w:val="right"/>
              <w:rPr>
                <w:rFonts w:eastAsiaTheme="majorEastAsia"/>
              </w:rPr>
            </w:pPr>
            <w:r>
              <w:rPr>
                <w:rFonts w:eastAsiaTheme="majorEastAsia"/>
              </w:rPr>
              <w:t>Fixed Interest Rate</w:t>
            </w:r>
          </w:p>
        </w:tc>
        <w:tc>
          <w:tcPr>
            <w:tcW w:w="1126" w:type="dxa"/>
          </w:tcPr>
          <w:p w14:paraId="2F83FBB7" w14:textId="582E4168" w:rsidR="007A6861" w:rsidRDefault="007A6861" w:rsidP="00672196">
            <w:pPr>
              <w:jc w:val="right"/>
              <w:rPr>
                <w:rFonts w:eastAsiaTheme="majorEastAsia"/>
              </w:rPr>
            </w:pPr>
            <w:r>
              <w:rPr>
                <w:rFonts w:eastAsiaTheme="majorEastAsia"/>
              </w:rPr>
              <w:t>Non Interest Bearing</w:t>
            </w:r>
          </w:p>
        </w:tc>
        <w:tc>
          <w:tcPr>
            <w:tcW w:w="1148" w:type="dxa"/>
            <w:gridSpan w:val="2"/>
          </w:tcPr>
          <w:p w14:paraId="755C59D1" w14:textId="31EF7589" w:rsidR="007A6861" w:rsidRDefault="007A6861" w:rsidP="00672196">
            <w:pPr>
              <w:jc w:val="right"/>
              <w:rPr>
                <w:rFonts w:eastAsiaTheme="majorEastAsia"/>
              </w:rPr>
            </w:pPr>
            <w:r>
              <w:rPr>
                <w:rFonts w:eastAsiaTheme="majorEastAsia"/>
              </w:rPr>
              <w:t>Nominal Amount</w:t>
            </w:r>
          </w:p>
        </w:tc>
        <w:tc>
          <w:tcPr>
            <w:tcW w:w="1089" w:type="dxa"/>
          </w:tcPr>
          <w:p w14:paraId="72EEABEC" w14:textId="68BC78DC" w:rsidR="007A6861" w:rsidRDefault="007A6861" w:rsidP="00672196">
            <w:pPr>
              <w:jc w:val="right"/>
              <w:rPr>
                <w:rFonts w:eastAsiaTheme="majorEastAsia"/>
              </w:rPr>
            </w:pPr>
            <w:r>
              <w:rPr>
                <w:rFonts w:eastAsiaTheme="majorEastAsia"/>
              </w:rPr>
              <w:t>Up to 1 Month</w:t>
            </w:r>
          </w:p>
        </w:tc>
        <w:tc>
          <w:tcPr>
            <w:tcW w:w="1111" w:type="dxa"/>
          </w:tcPr>
          <w:p w14:paraId="49466675" w14:textId="033193D6" w:rsidR="007A6861" w:rsidRDefault="007A6861" w:rsidP="00672196">
            <w:pPr>
              <w:jc w:val="right"/>
              <w:rPr>
                <w:rFonts w:eastAsiaTheme="majorEastAsia"/>
              </w:rPr>
            </w:pPr>
            <w:r>
              <w:rPr>
                <w:rFonts w:eastAsiaTheme="majorEastAsia"/>
              </w:rPr>
              <w:t>1 to 3 Months</w:t>
            </w:r>
          </w:p>
        </w:tc>
        <w:tc>
          <w:tcPr>
            <w:tcW w:w="1111" w:type="dxa"/>
          </w:tcPr>
          <w:p w14:paraId="2CD57BBC" w14:textId="2A8D10F7" w:rsidR="007A6861" w:rsidRDefault="007A6861" w:rsidP="00672196">
            <w:pPr>
              <w:jc w:val="right"/>
              <w:rPr>
                <w:rFonts w:eastAsiaTheme="majorEastAsia"/>
              </w:rPr>
            </w:pPr>
            <w:r>
              <w:rPr>
                <w:rFonts w:eastAsiaTheme="majorEastAsia"/>
              </w:rPr>
              <w:t>3 to 6 Months</w:t>
            </w:r>
          </w:p>
        </w:tc>
        <w:tc>
          <w:tcPr>
            <w:tcW w:w="1111" w:type="dxa"/>
          </w:tcPr>
          <w:p w14:paraId="14F89DFC" w14:textId="244D0378" w:rsidR="007A6861" w:rsidRDefault="007A6861" w:rsidP="00672196">
            <w:pPr>
              <w:jc w:val="right"/>
              <w:rPr>
                <w:rFonts w:eastAsiaTheme="majorEastAsia"/>
              </w:rPr>
            </w:pPr>
            <w:r>
              <w:rPr>
                <w:rFonts w:eastAsiaTheme="majorEastAsia"/>
              </w:rPr>
              <w:t>6 to 12 Months</w:t>
            </w:r>
          </w:p>
        </w:tc>
        <w:tc>
          <w:tcPr>
            <w:tcW w:w="1014" w:type="dxa"/>
            <w:gridSpan w:val="2"/>
          </w:tcPr>
          <w:p w14:paraId="20D1995A" w14:textId="218E7E3F" w:rsidR="007A6861" w:rsidRDefault="007A6861" w:rsidP="00672196">
            <w:pPr>
              <w:jc w:val="right"/>
              <w:rPr>
                <w:rFonts w:eastAsiaTheme="majorEastAsia"/>
              </w:rPr>
            </w:pPr>
            <w:r>
              <w:rPr>
                <w:rFonts w:eastAsiaTheme="majorEastAsia"/>
              </w:rPr>
              <w:t>More than 1 Year</w:t>
            </w:r>
          </w:p>
        </w:tc>
      </w:tr>
      <w:tr w:rsidR="00710FC1" w14:paraId="1D33D0E2" w14:textId="2E83695A"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tcPr>
          <w:p w14:paraId="586921DC" w14:textId="77777777" w:rsidR="0086765F" w:rsidRDefault="0086765F" w:rsidP="0086765F">
            <w:pPr>
              <w:rPr>
                <w:rFonts w:eastAsiaTheme="majorEastAsia"/>
              </w:rPr>
            </w:pPr>
          </w:p>
        </w:tc>
        <w:tc>
          <w:tcPr>
            <w:tcW w:w="1230" w:type="dxa"/>
          </w:tcPr>
          <w:p w14:paraId="5444C731" w14:textId="248B4A66" w:rsidR="0086765F" w:rsidRPr="0086765F" w:rsidRDefault="0086765F" w:rsidP="00672196">
            <w:pPr>
              <w:jc w:val="right"/>
              <w:rPr>
                <w:rFonts w:eastAsiaTheme="majorEastAsia"/>
              </w:rPr>
            </w:pPr>
            <w:r>
              <w:rPr>
                <w:rFonts w:eastAsiaTheme="majorEastAsia"/>
              </w:rPr>
              <w:t>%</w:t>
            </w:r>
          </w:p>
        </w:tc>
        <w:tc>
          <w:tcPr>
            <w:tcW w:w="1156" w:type="dxa"/>
          </w:tcPr>
          <w:p w14:paraId="6D9A8D92" w14:textId="0EB203D9" w:rsidR="0086765F" w:rsidRPr="0086765F" w:rsidRDefault="0086765F" w:rsidP="00672196">
            <w:pPr>
              <w:jc w:val="right"/>
              <w:rPr>
                <w:rFonts w:eastAsiaTheme="majorEastAsia"/>
              </w:rPr>
            </w:pPr>
            <w:r>
              <w:rPr>
                <w:rFonts w:eastAsiaTheme="majorEastAsia"/>
              </w:rPr>
              <w:t>$000</w:t>
            </w:r>
          </w:p>
        </w:tc>
        <w:tc>
          <w:tcPr>
            <w:tcW w:w="1146" w:type="dxa"/>
          </w:tcPr>
          <w:p w14:paraId="5D361405" w14:textId="5E4A58AC" w:rsidR="0086765F" w:rsidRPr="0086765F" w:rsidRDefault="0086765F" w:rsidP="00672196">
            <w:pPr>
              <w:jc w:val="right"/>
              <w:rPr>
                <w:rFonts w:eastAsiaTheme="majorEastAsia"/>
              </w:rPr>
            </w:pPr>
            <w:r>
              <w:rPr>
                <w:rFonts w:eastAsiaTheme="majorEastAsia"/>
              </w:rPr>
              <w:t>$000</w:t>
            </w:r>
          </w:p>
        </w:tc>
        <w:tc>
          <w:tcPr>
            <w:tcW w:w="1115" w:type="dxa"/>
          </w:tcPr>
          <w:p w14:paraId="7EAAF8ED" w14:textId="6538AB34" w:rsidR="0086765F" w:rsidRPr="0086765F" w:rsidRDefault="0086765F" w:rsidP="00672196">
            <w:pPr>
              <w:jc w:val="right"/>
              <w:rPr>
                <w:rFonts w:eastAsiaTheme="majorEastAsia"/>
              </w:rPr>
            </w:pPr>
            <w:r>
              <w:rPr>
                <w:rFonts w:eastAsiaTheme="majorEastAsia"/>
              </w:rPr>
              <w:t>$000</w:t>
            </w:r>
          </w:p>
        </w:tc>
        <w:tc>
          <w:tcPr>
            <w:tcW w:w="1126" w:type="dxa"/>
          </w:tcPr>
          <w:p w14:paraId="001C98A2" w14:textId="4A0CD93C" w:rsidR="0086765F" w:rsidRPr="0086765F" w:rsidRDefault="0086765F" w:rsidP="00672196">
            <w:pPr>
              <w:jc w:val="right"/>
              <w:rPr>
                <w:rFonts w:eastAsiaTheme="majorEastAsia"/>
              </w:rPr>
            </w:pPr>
            <w:r>
              <w:rPr>
                <w:rFonts w:eastAsiaTheme="majorEastAsia"/>
              </w:rPr>
              <w:t>$000</w:t>
            </w:r>
          </w:p>
        </w:tc>
        <w:tc>
          <w:tcPr>
            <w:tcW w:w="1148" w:type="dxa"/>
            <w:gridSpan w:val="2"/>
          </w:tcPr>
          <w:p w14:paraId="64182DFB" w14:textId="69F6A97D" w:rsidR="0086765F" w:rsidRPr="0086765F" w:rsidRDefault="0086765F" w:rsidP="00672196">
            <w:pPr>
              <w:jc w:val="right"/>
              <w:rPr>
                <w:rFonts w:eastAsiaTheme="majorEastAsia"/>
              </w:rPr>
            </w:pPr>
            <w:r>
              <w:rPr>
                <w:rFonts w:eastAsiaTheme="majorEastAsia"/>
              </w:rPr>
              <w:t>$000</w:t>
            </w:r>
          </w:p>
        </w:tc>
        <w:tc>
          <w:tcPr>
            <w:tcW w:w="1089" w:type="dxa"/>
          </w:tcPr>
          <w:p w14:paraId="0EA8D9B1" w14:textId="36D10052" w:rsidR="0086765F" w:rsidRPr="0086765F" w:rsidRDefault="0086765F" w:rsidP="00672196">
            <w:pPr>
              <w:jc w:val="right"/>
              <w:rPr>
                <w:rFonts w:eastAsiaTheme="majorEastAsia"/>
              </w:rPr>
            </w:pPr>
            <w:r>
              <w:rPr>
                <w:rFonts w:eastAsiaTheme="majorEastAsia"/>
              </w:rPr>
              <w:t>$000</w:t>
            </w:r>
          </w:p>
        </w:tc>
        <w:tc>
          <w:tcPr>
            <w:tcW w:w="1111" w:type="dxa"/>
          </w:tcPr>
          <w:p w14:paraId="7EB4258D" w14:textId="0B061073" w:rsidR="0086765F" w:rsidRPr="0086765F" w:rsidRDefault="0086765F" w:rsidP="00672196">
            <w:pPr>
              <w:jc w:val="right"/>
              <w:rPr>
                <w:rFonts w:eastAsiaTheme="majorEastAsia"/>
              </w:rPr>
            </w:pPr>
            <w:r>
              <w:rPr>
                <w:rFonts w:eastAsiaTheme="majorEastAsia"/>
              </w:rPr>
              <w:t>$000</w:t>
            </w:r>
          </w:p>
        </w:tc>
        <w:tc>
          <w:tcPr>
            <w:tcW w:w="1111" w:type="dxa"/>
          </w:tcPr>
          <w:p w14:paraId="601192A6" w14:textId="02B1CA46" w:rsidR="0086765F" w:rsidRPr="0086765F" w:rsidRDefault="0086765F" w:rsidP="00672196">
            <w:pPr>
              <w:jc w:val="right"/>
              <w:rPr>
                <w:rFonts w:eastAsiaTheme="majorEastAsia"/>
              </w:rPr>
            </w:pPr>
            <w:r>
              <w:rPr>
                <w:rFonts w:eastAsiaTheme="majorEastAsia"/>
              </w:rPr>
              <w:t>$000</w:t>
            </w:r>
          </w:p>
        </w:tc>
        <w:tc>
          <w:tcPr>
            <w:tcW w:w="1111" w:type="dxa"/>
          </w:tcPr>
          <w:p w14:paraId="55F24187" w14:textId="79A97F45" w:rsidR="0086765F" w:rsidRPr="0086765F" w:rsidRDefault="0086765F" w:rsidP="00672196">
            <w:pPr>
              <w:jc w:val="right"/>
              <w:rPr>
                <w:rFonts w:eastAsiaTheme="majorEastAsia"/>
              </w:rPr>
            </w:pPr>
            <w:r>
              <w:rPr>
                <w:rFonts w:eastAsiaTheme="majorEastAsia"/>
              </w:rPr>
              <w:t>$000</w:t>
            </w:r>
          </w:p>
        </w:tc>
        <w:tc>
          <w:tcPr>
            <w:tcW w:w="1014" w:type="dxa"/>
            <w:gridSpan w:val="2"/>
          </w:tcPr>
          <w:p w14:paraId="026D61C3" w14:textId="768481D6" w:rsidR="0086765F" w:rsidRPr="0086765F" w:rsidRDefault="0086765F" w:rsidP="00672196">
            <w:pPr>
              <w:jc w:val="right"/>
              <w:rPr>
                <w:rFonts w:eastAsiaTheme="majorEastAsia"/>
              </w:rPr>
            </w:pPr>
            <w:r>
              <w:rPr>
                <w:rFonts w:eastAsiaTheme="majorEastAsia"/>
              </w:rPr>
              <w:t>$000</w:t>
            </w:r>
          </w:p>
        </w:tc>
      </w:tr>
      <w:tr w:rsidR="00710FC1" w14:paraId="146C948B"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tcPr>
          <w:p w14:paraId="09EA687D" w14:textId="7F97F78C" w:rsidR="0086765F" w:rsidRDefault="00710FC1" w:rsidP="0086765F">
            <w:pPr>
              <w:rPr>
                <w:rFonts w:eastAsiaTheme="majorEastAsia"/>
              </w:rPr>
            </w:pPr>
            <w:r>
              <w:rPr>
                <w:rFonts w:eastAsiaTheme="majorEastAsia"/>
              </w:rPr>
              <w:t>Cash and cash equivalents</w:t>
            </w:r>
          </w:p>
        </w:tc>
        <w:tc>
          <w:tcPr>
            <w:tcW w:w="1230" w:type="dxa"/>
            <w:shd w:val="clear" w:color="auto" w:fill="EFE29B" w:themeFill="accent4" w:themeFillShade="E6"/>
          </w:tcPr>
          <w:p w14:paraId="00B74367" w14:textId="1F2650DB" w:rsidR="0086765F" w:rsidRDefault="00710FC1" w:rsidP="00710FC1">
            <w:pPr>
              <w:jc w:val="right"/>
              <w:rPr>
                <w:rFonts w:eastAsiaTheme="majorEastAsia"/>
              </w:rPr>
            </w:pPr>
            <w:r>
              <w:rPr>
                <w:rFonts w:eastAsiaTheme="majorEastAsia"/>
              </w:rPr>
              <w:t>2.6</w:t>
            </w:r>
            <w:r w:rsidR="00FA01B5">
              <w:rPr>
                <w:rFonts w:eastAsiaTheme="majorEastAsia"/>
              </w:rPr>
              <w:t>0</w:t>
            </w:r>
          </w:p>
        </w:tc>
        <w:tc>
          <w:tcPr>
            <w:tcW w:w="1156" w:type="dxa"/>
            <w:shd w:val="clear" w:color="auto" w:fill="F5EDC1" w:themeFill="accent4"/>
          </w:tcPr>
          <w:p w14:paraId="11A17E8B" w14:textId="18C3849F" w:rsidR="0086765F" w:rsidRDefault="00710FC1" w:rsidP="00710FC1">
            <w:pPr>
              <w:jc w:val="right"/>
              <w:rPr>
                <w:rFonts w:eastAsiaTheme="majorEastAsia"/>
              </w:rPr>
            </w:pPr>
            <w:r>
              <w:rPr>
                <w:rFonts w:eastAsiaTheme="majorEastAsia"/>
              </w:rPr>
              <w:t>9704</w:t>
            </w:r>
          </w:p>
        </w:tc>
        <w:tc>
          <w:tcPr>
            <w:tcW w:w="1146" w:type="dxa"/>
            <w:shd w:val="clear" w:color="auto" w:fill="EFE29B" w:themeFill="accent4" w:themeFillShade="E6"/>
          </w:tcPr>
          <w:p w14:paraId="7B804FD8" w14:textId="1FC385F4" w:rsidR="0086765F" w:rsidRDefault="00710FC1" w:rsidP="00710FC1">
            <w:pPr>
              <w:jc w:val="right"/>
              <w:rPr>
                <w:rFonts w:eastAsiaTheme="majorEastAsia"/>
              </w:rPr>
            </w:pPr>
            <w:r>
              <w:rPr>
                <w:rFonts w:eastAsiaTheme="majorEastAsia"/>
              </w:rPr>
              <w:t>1,953</w:t>
            </w:r>
          </w:p>
        </w:tc>
        <w:tc>
          <w:tcPr>
            <w:tcW w:w="1115" w:type="dxa"/>
            <w:shd w:val="clear" w:color="auto" w:fill="EFE29B" w:themeFill="accent4" w:themeFillShade="E6"/>
          </w:tcPr>
          <w:p w14:paraId="04840367" w14:textId="2AF6B257" w:rsidR="0086765F" w:rsidRDefault="00710FC1" w:rsidP="00710FC1">
            <w:pPr>
              <w:jc w:val="right"/>
              <w:rPr>
                <w:rFonts w:eastAsiaTheme="majorEastAsia"/>
              </w:rPr>
            </w:pPr>
            <w:r>
              <w:rPr>
                <w:rFonts w:eastAsiaTheme="majorEastAsia"/>
              </w:rPr>
              <w:t>7,750</w:t>
            </w:r>
          </w:p>
        </w:tc>
        <w:tc>
          <w:tcPr>
            <w:tcW w:w="1126" w:type="dxa"/>
            <w:shd w:val="clear" w:color="auto" w:fill="EFE29B" w:themeFill="accent4" w:themeFillShade="E6"/>
          </w:tcPr>
          <w:p w14:paraId="57832DC1" w14:textId="55247F22" w:rsidR="0086765F" w:rsidRDefault="00710FC1" w:rsidP="00710FC1">
            <w:pPr>
              <w:jc w:val="right"/>
              <w:rPr>
                <w:rFonts w:eastAsiaTheme="majorEastAsia"/>
              </w:rPr>
            </w:pPr>
            <w:r>
              <w:rPr>
                <w:rFonts w:eastAsiaTheme="majorEastAsia"/>
              </w:rPr>
              <w:t>1</w:t>
            </w:r>
          </w:p>
        </w:tc>
        <w:tc>
          <w:tcPr>
            <w:tcW w:w="1148" w:type="dxa"/>
            <w:gridSpan w:val="2"/>
            <w:shd w:val="clear" w:color="auto" w:fill="F5EDC1" w:themeFill="accent4"/>
          </w:tcPr>
          <w:p w14:paraId="5E7F2CD0" w14:textId="742E18C9" w:rsidR="0086765F" w:rsidRDefault="00710FC1" w:rsidP="00710FC1">
            <w:pPr>
              <w:jc w:val="right"/>
              <w:rPr>
                <w:rFonts w:eastAsiaTheme="majorEastAsia"/>
              </w:rPr>
            </w:pPr>
            <w:r>
              <w:rPr>
                <w:rFonts w:eastAsiaTheme="majorEastAsia"/>
              </w:rPr>
              <w:t>9,704</w:t>
            </w:r>
          </w:p>
        </w:tc>
        <w:tc>
          <w:tcPr>
            <w:tcW w:w="1089" w:type="dxa"/>
            <w:shd w:val="clear" w:color="auto" w:fill="EFE29B" w:themeFill="accent4" w:themeFillShade="E6"/>
          </w:tcPr>
          <w:p w14:paraId="4FE71063" w14:textId="2779C444" w:rsidR="0086765F" w:rsidRDefault="00710FC1" w:rsidP="00710FC1">
            <w:pPr>
              <w:jc w:val="right"/>
              <w:rPr>
                <w:rFonts w:eastAsiaTheme="majorEastAsia"/>
              </w:rPr>
            </w:pPr>
            <w:r>
              <w:rPr>
                <w:rFonts w:eastAsiaTheme="majorEastAsia"/>
              </w:rPr>
              <w:t>6,351</w:t>
            </w:r>
          </w:p>
        </w:tc>
        <w:tc>
          <w:tcPr>
            <w:tcW w:w="1111" w:type="dxa"/>
            <w:shd w:val="clear" w:color="auto" w:fill="EFE29B" w:themeFill="accent4" w:themeFillShade="E6"/>
          </w:tcPr>
          <w:p w14:paraId="6E6C8439" w14:textId="056B381A" w:rsidR="0086765F" w:rsidRDefault="00710FC1" w:rsidP="00710FC1">
            <w:pPr>
              <w:jc w:val="right"/>
              <w:rPr>
                <w:rFonts w:eastAsiaTheme="majorEastAsia"/>
              </w:rPr>
            </w:pPr>
            <w:r>
              <w:rPr>
                <w:rFonts w:eastAsiaTheme="majorEastAsia"/>
              </w:rPr>
              <w:t>3,353</w:t>
            </w:r>
          </w:p>
        </w:tc>
        <w:tc>
          <w:tcPr>
            <w:tcW w:w="1111" w:type="dxa"/>
            <w:shd w:val="clear" w:color="auto" w:fill="EFE29B" w:themeFill="accent4" w:themeFillShade="E6"/>
          </w:tcPr>
          <w:p w14:paraId="54196BE0" w14:textId="7D53F749" w:rsidR="0086765F" w:rsidRDefault="00710FC1" w:rsidP="00710FC1">
            <w:pPr>
              <w:jc w:val="right"/>
              <w:rPr>
                <w:rFonts w:eastAsiaTheme="majorEastAsia"/>
              </w:rPr>
            </w:pPr>
            <w:r>
              <w:rPr>
                <w:rFonts w:eastAsiaTheme="majorEastAsia"/>
              </w:rPr>
              <w:t>-</w:t>
            </w:r>
          </w:p>
        </w:tc>
        <w:tc>
          <w:tcPr>
            <w:tcW w:w="1111" w:type="dxa"/>
            <w:shd w:val="clear" w:color="auto" w:fill="EFE29B" w:themeFill="accent4" w:themeFillShade="E6"/>
          </w:tcPr>
          <w:p w14:paraId="6E4C633D" w14:textId="1942B46B" w:rsidR="0086765F" w:rsidRDefault="00710FC1" w:rsidP="00710FC1">
            <w:pPr>
              <w:jc w:val="right"/>
              <w:rPr>
                <w:rFonts w:eastAsiaTheme="majorEastAsia"/>
              </w:rPr>
            </w:pPr>
            <w:r>
              <w:rPr>
                <w:rFonts w:eastAsiaTheme="majorEastAsia"/>
              </w:rPr>
              <w:t>-</w:t>
            </w:r>
          </w:p>
        </w:tc>
        <w:tc>
          <w:tcPr>
            <w:tcW w:w="1014" w:type="dxa"/>
            <w:gridSpan w:val="2"/>
            <w:shd w:val="clear" w:color="auto" w:fill="EFE29B" w:themeFill="accent4" w:themeFillShade="E6"/>
          </w:tcPr>
          <w:p w14:paraId="03880676" w14:textId="2F101AF4" w:rsidR="0086765F" w:rsidRDefault="00710FC1" w:rsidP="00710FC1">
            <w:pPr>
              <w:jc w:val="right"/>
              <w:rPr>
                <w:rFonts w:eastAsiaTheme="majorEastAsia"/>
              </w:rPr>
            </w:pPr>
            <w:r>
              <w:rPr>
                <w:rFonts w:eastAsiaTheme="majorEastAsia"/>
              </w:rPr>
              <w:t>-</w:t>
            </w:r>
          </w:p>
        </w:tc>
      </w:tr>
      <w:tr w:rsidR="00710FC1" w14:paraId="19001499"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tcPr>
          <w:p w14:paraId="6665E143" w14:textId="3322FCE3" w:rsidR="00710FC1" w:rsidRDefault="00710FC1" w:rsidP="0086765F">
            <w:pPr>
              <w:rPr>
                <w:rFonts w:eastAsiaTheme="majorEastAsia"/>
              </w:rPr>
            </w:pPr>
            <w:r>
              <w:rPr>
                <w:rFonts w:eastAsiaTheme="majorEastAsia"/>
              </w:rPr>
              <w:t>Restricted cash Receivables(a)</w:t>
            </w:r>
          </w:p>
        </w:tc>
        <w:tc>
          <w:tcPr>
            <w:tcW w:w="1230" w:type="dxa"/>
            <w:shd w:val="clear" w:color="auto" w:fill="EFE29B" w:themeFill="accent4" w:themeFillShade="E6"/>
          </w:tcPr>
          <w:p w14:paraId="6D7FC25F" w14:textId="17E6D151" w:rsidR="00710FC1" w:rsidRDefault="00710FC1" w:rsidP="00710FC1">
            <w:pPr>
              <w:jc w:val="right"/>
              <w:rPr>
                <w:rFonts w:eastAsiaTheme="majorEastAsia"/>
              </w:rPr>
            </w:pPr>
            <w:r>
              <w:rPr>
                <w:rFonts w:eastAsiaTheme="majorEastAsia"/>
              </w:rPr>
              <w:t>2.69</w:t>
            </w:r>
          </w:p>
        </w:tc>
        <w:tc>
          <w:tcPr>
            <w:tcW w:w="1156" w:type="dxa"/>
            <w:shd w:val="clear" w:color="auto" w:fill="F5EDC1" w:themeFill="accent4"/>
          </w:tcPr>
          <w:p w14:paraId="59509A17" w14:textId="0CF8DFA1" w:rsidR="00710FC1" w:rsidRDefault="00710FC1" w:rsidP="00710FC1">
            <w:pPr>
              <w:jc w:val="right"/>
              <w:rPr>
                <w:rFonts w:eastAsiaTheme="majorEastAsia"/>
              </w:rPr>
            </w:pPr>
            <w:r>
              <w:rPr>
                <w:rFonts w:eastAsiaTheme="majorEastAsia"/>
              </w:rPr>
              <w:t>82,678</w:t>
            </w:r>
          </w:p>
        </w:tc>
        <w:tc>
          <w:tcPr>
            <w:tcW w:w="1146" w:type="dxa"/>
            <w:shd w:val="clear" w:color="auto" w:fill="EFE29B" w:themeFill="accent4" w:themeFillShade="E6"/>
          </w:tcPr>
          <w:p w14:paraId="04344DA2" w14:textId="42A7D6BD" w:rsidR="00710FC1" w:rsidRDefault="00710FC1" w:rsidP="00710FC1">
            <w:pPr>
              <w:jc w:val="right"/>
              <w:rPr>
                <w:rFonts w:eastAsiaTheme="majorEastAsia"/>
              </w:rPr>
            </w:pPr>
            <w:r>
              <w:rPr>
                <w:rFonts w:eastAsiaTheme="majorEastAsia"/>
              </w:rPr>
              <w:t>82,678</w:t>
            </w:r>
          </w:p>
        </w:tc>
        <w:tc>
          <w:tcPr>
            <w:tcW w:w="1115" w:type="dxa"/>
            <w:shd w:val="clear" w:color="auto" w:fill="EFE29B" w:themeFill="accent4" w:themeFillShade="E6"/>
          </w:tcPr>
          <w:p w14:paraId="6592FB31" w14:textId="3BE5F3CA" w:rsidR="00710FC1" w:rsidRDefault="00710FC1" w:rsidP="00710FC1">
            <w:pPr>
              <w:jc w:val="right"/>
              <w:rPr>
                <w:rFonts w:eastAsiaTheme="majorEastAsia"/>
              </w:rPr>
            </w:pPr>
            <w:r>
              <w:rPr>
                <w:rFonts w:eastAsiaTheme="majorEastAsia"/>
              </w:rPr>
              <w:t>-</w:t>
            </w:r>
          </w:p>
        </w:tc>
        <w:tc>
          <w:tcPr>
            <w:tcW w:w="1126" w:type="dxa"/>
            <w:shd w:val="clear" w:color="auto" w:fill="EFE29B" w:themeFill="accent4" w:themeFillShade="E6"/>
          </w:tcPr>
          <w:p w14:paraId="52BB819C" w14:textId="7FC67222" w:rsidR="00710FC1" w:rsidRDefault="00710FC1" w:rsidP="00710FC1">
            <w:pPr>
              <w:jc w:val="right"/>
              <w:rPr>
                <w:rFonts w:eastAsiaTheme="majorEastAsia"/>
              </w:rPr>
            </w:pPr>
            <w:r>
              <w:rPr>
                <w:rFonts w:eastAsiaTheme="majorEastAsia"/>
              </w:rPr>
              <w:t>-</w:t>
            </w:r>
          </w:p>
        </w:tc>
        <w:tc>
          <w:tcPr>
            <w:tcW w:w="1148" w:type="dxa"/>
            <w:gridSpan w:val="2"/>
            <w:shd w:val="clear" w:color="auto" w:fill="F5EDC1" w:themeFill="accent4"/>
          </w:tcPr>
          <w:p w14:paraId="7E680C58" w14:textId="7B1575D0" w:rsidR="00710FC1" w:rsidRDefault="00710FC1" w:rsidP="00710FC1">
            <w:pPr>
              <w:jc w:val="right"/>
              <w:rPr>
                <w:rFonts w:eastAsiaTheme="majorEastAsia"/>
              </w:rPr>
            </w:pPr>
            <w:r>
              <w:rPr>
                <w:rFonts w:eastAsiaTheme="majorEastAsia"/>
              </w:rPr>
              <w:t>82,678</w:t>
            </w:r>
          </w:p>
        </w:tc>
        <w:tc>
          <w:tcPr>
            <w:tcW w:w="1089" w:type="dxa"/>
            <w:shd w:val="clear" w:color="auto" w:fill="EFE29B" w:themeFill="accent4" w:themeFillShade="E6"/>
          </w:tcPr>
          <w:p w14:paraId="78AE8187" w14:textId="0155A952" w:rsidR="00710FC1" w:rsidRDefault="00710FC1" w:rsidP="00710FC1">
            <w:pPr>
              <w:jc w:val="right"/>
              <w:rPr>
                <w:rFonts w:eastAsiaTheme="majorEastAsia"/>
              </w:rPr>
            </w:pPr>
            <w:r>
              <w:rPr>
                <w:rFonts w:eastAsiaTheme="majorEastAsia"/>
              </w:rPr>
              <w:t>82,678</w:t>
            </w:r>
          </w:p>
        </w:tc>
        <w:tc>
          <w:tcPr>
            <w:tcW w:w="1111" w:type="dxa"/>
            <w:shd w:val="clear" w:color="auto" w:fill="EFE29B" w:themeFill="accent4" w:themeFillShade="E6"/>
          </w:tcPr>
          <w:p w14:paraId="59AC1818" w14:textId="4E4D72E6" w:rsidR="00710FC1" w:rsidRDefault="00710FC1" w:rsidP="00710FC1">
            <w:pPr>
              <w:jc w:val="right"/>
              <w:rPr>
                <w:rFonts w:eastAsiaTheme="majorEastAsia"/>
              </w:rPr>
            </w:pPr>
            <w:r>
              <w:rPr>
                <w:rFonts w:eastAsiaTheme="majorEastAsia"/>
              </w:rPr>
              <w:t>-</w:t>
            </w:r>
          </w:p>
        </w:tc>
        <w:tc>
          <w:tcPr>
            <w:tcW w:w="1111" w:type="dxa"/>
            <w:shd w:val="clear" w:color="auto" w:fill="EFE29B" w:themeFill="accent4" w:themeFillShade="E6"/>
          </w:tcPr>
          <w:p w14:paraId="3A253AE5" w14:textId="0C3DBFAB" w:rsidR="00710FC1" w:rsidRDefault="00710FC1" w:rsidP="00710FC1">
            <w:pPr>
              <w:jc w:val="right"/>
              <w:rPr>
                <w:rFonts w:eastAsiaTheme="majorEastAsia"/>
              </w:rPr>
            </w:pPr>
            <w:r>
              <w:rPr>
                <w:rFonts w:eastAsiaTheme="majorEastAsia"/>
              </w:rPr>
              <w:t>-</w:t>
            </w:r>
          </w:p>
        </w:tc>
        <w:tc>
          <w:tcPr>
            <w:tcW w:w="1111" w:type="dxa"/>
            <w:shd w:val="clear" w:color="auto" w:fill="EFE29B" w:themeFill="accent4" w:themeFillShade="E6"/>
          </w:tcPr>
          <w:p w14:paraId="4151256E" w14:textId="37EEC775" w:rsidR="00710FC1" w:rsidRDefault="00710FC1" w:rsidP="00710FC1">
            <w:pPr>
              <w:jc w:val="right"/>
              <w:rPr>
                <w:rFonts w:eastAsiaTheme="majorEastAsia"/>
              </w:rPr>
            </w:pPr>
            <w:r>
              <w:rPr>
                <w:rFonts w:eastAsiaTheme="majorEastAsia"/>
              </w:rPr>
              <w:t>-</w:t>
            </w:r>
          </w:p>
        </w:tc>
        <w:tc>
          <w:tcPr>
            <w:tcW w:w="1014" w:type="dxa"/>
            <w:gridSpan w:val="2"/>
            <w:shd w:val="clear" w:color="auto" w:fill="EFE29B" w:themeFill="accent4" w:themeFillShade="E6"/>
          </w:tcPr>
          <w:p w14:paraId="6115B650" w14:textId="5E66A027" w:rsidR="00710FC1" w:rsidRDefault="00710FC1" w:rsidP="00710FC1">
            <w:pPr>
              <w:jc w:val="right"/>
              <w:rPr>
                <w:rFonts w:eastAsiaTheme="majorEastAsia"/>
              </w:rPr>
            </w:pPr>
            <w:r>
              <w:rPr>
                <w:rFonts w:eastAsiaTheme="majorEastAsia"/>
              </w:rPr>
              <w:t>-</w:t>
            </w:r>
          </w:p>
        </w:tc>
      </w:tr>
      <w:tr w:rsidR="00710FC1" w14:paraId="415DD448"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tcPr>
          <w:p w14:paraId="33BB5E6F" w14:textId="4C52B782" w:rsidR="00710FC1" w:rsidRDefault="00710FC1" w:rsidP="0086765F">
            <w:pPr>
              <w:rPr>
                <w:rFonts w:eastAsiaTheme="majorEastAsia"/>
              </w:rPr>
            </w:pPr>
            <w:r>
              <w:rPr>
                <w:rFonts w:eastAsiaTheme="majorEastAsia"/>
              </w:rPr>
              <w:t>Other financial assets</w:t>
            </w:r>
          </w:p>
        </w:tc>
        <w:tc>
          <w:tcPr>
            <w:tcW w:w="1230" w:type="dxa"/>
            <w:shd w:val="clear" w:color="auto" w:fill="EFE29B" w:themeFill="accent4" w:themeFillShade="E6"/>
          </w:tcPr>
          <w:p w14:paraId="36229B0C" w14:textId="221AF167" w:rsidR="00710FC1" w:rsidRDefault="00710FC1" w:rsidP="00710FC1">
            <w:pPr>
              <w:jc w:val="right"/>
              <w:rPr>
                <w:rFonts w:eastAsiaTheme="majorEastAsia"/>
              </w:rPr>
            </w:pPr>
            <w:r>
              <w:rPr>
                <w:rFonts w:eastAsiaTheme="majorEastAsia"/>
              </w:rPr>
              <w:t>-</w:t>
            </w:r>
          </w:p>
        </w:tc>
        <w:tc>
          <w:tcPr>
            <w:tcW w:w="1156" w:type="dxa"/>
            <w:shd w:val="clear" w:color="auto" w:fill="F5EDC1" w:themeFill="accent4"/>
          </w:tcPr>
          <w:p w14:paraId="68A2E337" w14:textId="7EABD235" w:rsidR="00710FC1" w:rsidRDefault="00710FC1" w:rsidP="00710FC1">
            <w:pPr>
              <w:jc w:val="right"/>
              <w:rPr>
                <w:rFonts w:eastAsiaTheme="majorEastAsia"/>
              </w:rPr>
            </w:pPr>
            <w:r>
              <w:rPr>
                <w:rFonts w:eastAsiaTheme="majorEastAsia"/>
              </w:rPr>
              <w:t>999</w:t>
            </w:r>
          </w:p>
        </w:tc>
        <w:tc>
          <w:tcPr>
            <w:tcW w:w="1146" w:type="dxa"/>
            <w:shd w:val="clear" w:color="auto" w:fill="EFE29B" w:themeFill="accent4" w:themeFillShade="E6"/>
          </w:tcPr>
          <w:p w14:paraId="4BF3963D" w14:textId="20AC3AA2" w:rsidR="00710FC1" w:rsidRDefault="00710FC1" w:rsidP="00710FC1">
            <w:pPr>
              <w:jc w:val="right"/>
              <w:rPr>
                <w:rFonts w:eastAsiaTheme="majorEastAsia"/>
              </w:rPr>
            </w:pPr>
            <w:r>
              <w:rPr>
                <w:rFonts w:eastAsiaTheme="majorEastAsia"/>
              </w:rPr>
              <w:t>-</w:t>
            </w:r>
          </w:p>
        </w:tc>
        <w:tc>
          <w:tcPr>
            <w:tcW w:w="1115" w:type="dxa"/>
            <w:shd w:val="clear" w:color="auto" w:fill="EFE29B" w:themeFill="accent4" w:themeFillShade="E6"/>
          </w:tcPr>
          <w:p w14:paraId="5AD77328" w14:textId="0A522A9A" w:rsidR="00710FC1" w:rsidRDefault="00710FC1" w:rsidP="00710FC1">
            <w:pPr>
              <w:jc w:val="right"/>
              <w:rPr>
                <w:rFonts w:eastAsiaTheme="majorEastAsia"/>
              </w:rPr>
            </w:pPr>
            <w:r>
              <w:rPr>
                <w:rFonts w:eastAsiaTheme="majorEastAsia"/>
              </w:rPr>
              <w:t>-</w:t>
            </w:r>
          </w:p>
        </w:tc>
        <w:tc>
          <w:tcPr>
            <w:tcW w:w="1126" w:type="dxa"/>
            <w:shd w:val="clear" w:color="auto" w:fill="EFE29B" w:themeFill="accent4" w:themeFillShade="E6"/>
          </w:tcPr>
          <w:p w14:paraId="1669ACEF" w14:textId="0D390FF1" w:rsidR="00710FC1" w:rsidRDefault="00710FC1" w:rsidP="00710FC1">
            <w:pPr>
              <w:jc w:val="right"/>
              <w:rPr>
                <w:rFonts w:eastAsiaTheme="majorEastAsia"/>
              </w:rPr>
            </w:pPr>
            <w:r>
              <w:rPr>
                <w:rFonts w:eastAsiaTheme="majorEastAsia"/>
              </w:rPr>
              <w:t>999</w:t>
            </w:r>
          </w:p>
        </w:tc>
        <w:tc>
          <w:tcPr>
            <w:tcW w:w="1148" w:type="dxa"/>
            <w:gridSpan w:val="2"/>
            <w:shd w:val="clear" w:color="auto" w:fill="F5EDC1" w:themeFill="accent4"/>
          </w:tcPr>
          <w:p w14:paraId="6F1C19C6" w14:textId="61255AA7" w:rsidR="00710FC1" w:rsidRDefault="00710FC1" w:rsidP="00710FC1">
            <w:pPr>
              <w:jc w:val="right"/>
              <w:rPr>
                <w:rFonts w:eastAsiaTheme="majorEastAsia"/>
              </w:rPr>
            </w:pPr>
            <w:r>
              <w:rPr>
                <w:rFonts w:eastAsiaTheme="majorEastAsia"/>
              </w:rPr>
              <w:t>999</w:t>
            </w:r>
          </w:p>
        </w:tc>
        <w:tc>
          <w:tcPr>
            <w:tcW w:w="1089" w:type="dxa"/>
            <w:shd w:val="clear" w:color="auto" w:fill="EFE29B" w:themeFill="accent4" w:themeFillShade="E6"/>
          </w:tcPr>
          <w:p w14:paraId="2415AFAD" w14:textId="7113AB28" w:rsidR="00710FC1" w:rsidRDefault="00710FC1" w:rsidP="00710FC1">
            <w:pPr>
              <w:jc w:val="right"/>
              <w:rPr>
                <w:rFonts w:eastAsiaTheme="majorEastAsia"/>
              </w:rPr>
            </w:pPr>
            <w:r>
              <w:rPr>
                <w:rFonts w:eastAsiaTheme="majorEastAsia"/>
              </w:rPr>
              <w:t>999</w:t>
            </w:r>
          </w:p>
        </w:tc>
        <w:tc>
          <w:tcPr>
            <w:tcW w:w="1111" w:type="dxa"/>
            <w:shd w:val="clear" w:color="auto" w:fill="EFE29B" w:themeFill="accent4" w:themeFillShade="E6"/>
          </w:tcPr>
          <w:p w14:paraId="6F014527" w14:textId="1A9A0C5A" w:rsidR="00710FC1" w:rsidRDefault="00710FC1" w:rsidP="00710FC1">
            <w:pPr>
              <w:jc w:val="right"/>
              <w:rPr>
                <w:rFonts w:eastAsiaTheme="majorEastAsia"/>
              </w:rPr>
            </w:pPr>
            <w:r>
              <w:rPr>
                <w:rFonts w:eastAsiaTheme="majorEastAsia"/>
              </w:rPr>
              <w:t>-</w:t>
            </w:r>
          </w:p>
        </w:tc>
        <w:tc>
          <w:tcPr>
            <w:tcW w:w="1111" w:type="dxa"/>
            <w:shd w:val="clear" w:color="auto" w:fill="EFE29B" w:themeFill="accent4" w:themeFillShade="E6"/>
          </w:tcPr>
          <w:p w14:paraId="1EC6EA0C" w14:textId="22D8A50D" w:rsidR="00710FC1" w:rsidRDefault="00710FC1" w:rsidP="00710FC1">
            <w:pPr>
              <w:jc w:val="right"/>
              <w:rPr>
                <w:rFonts w:eastAsiaTheme="majorEastAsia"/>
              </w:rPr>
            </w:pPr>
            <w:r>
              <w:rPr>
                <w:rFonts w:eastAsiaTheme="majorEastAsia"/>
              </w:rPr>
              <w:t>-</w:t>
            </w:r>
          </w:p>
        </w:tc>
        <w:tc>
          <w:tcPr>
            <w:tcW w:w="1111" w:type="dxa"/>
            <w:shd w:val="clear" w:color="auto" w:fill="EFE29B" w:themeFill="accent4" w:themeFillShade="E6"/>
          </w:tcPr>
          <w:p w14:paraId="500D9205" w14:textId="6C409AB8" w:rsidR="00710FC1" w:rsidRDefault="00710FC1" w:rsidP="00710FC1">
            <w:pPr>
              <w:jc w:val="right"/>
              <w:rPr>
                <w:rFonts w:eastAsiaTheme="majorEastAsia"/>
              </w:rPr>
            </w:pPr>
            <w:r>
              <w:rPr>
                <w:rFonts w:eastAsiaTheme="majorEastAsia"/>
              </w:rPr>
              <w:t>-</w:t>
            </w:r>
          </w:p>
        </w:tc>
        <w:tc>
          <w:tcPr>
            <w:tcW w:w="1014" w:type="dxa"/>
            <w:gridSpan w:val="2"/>
            <w:shd w:val="clear" w:color="auto" w:fill="EFE29B" w:themeFill="accent4" w:themeFillShade="E6"/>
          </w:tcPr>
          <w:p w14:paraId="33A7A47B" w14:textId="057C6B20" w:rsidR="00710FC1" w:rsidRDefault="00710FC1" w:rsidP="00710FC1">
            <w:pPr>
              <w:jc w:val="right"/>
              <w:rPr>
                <w:rFonts w:eastAsiaTheme="majorEastAsia"/>
              </w:rPr>
            </w:pPr>
            <w:r>
              <w:rPr>
                <w:rFonts w:eastAsiaTheme="majorEastAsia"/>
              </w:rPr>
              <w:t>-</w:t>
            </w:r>
          </w:p>
        </w:tc>
      </w:tr>
      <w:tr w:rsidR="00710FC1" w14:paraId="46803789"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shd w:val="clear" w:color="auto" w:fill="FFFFFF" w:themeFill="background2"/>
          </w:tcPr>
          <w:p w14:paraId="0385CA73" w14:textId="77777777" w:rsidR="00710FC1" w:rsidRDefault="00710FC1" w:rsidP="0086765F">
            <w:pPr>
              <w:rPr>
                <w:rFonts w:eastAsiaTheme="majorEastAsia"/>
              </w:rPr>
            </w:pPr>
          </w:p>
        </w:tc>
        <w:tc>
          <w:tcPr>
            <w:tcW w:w="1230" w:type="dxa"/>
            <w:shd w:val="clear" w:color="auto" w:fill="FFFFFF" w:themeFill="background2"/>
          </w:tcPr>
          <w:p w14:paraId="3EB45167" w14:textId="77777777" w:rsidR="00710FC1" w:rsidRDefault="00710FC1" w:rsidP="00710FC1">
            <w:pPr>
              <w:jc w:val="right"/>
              <w:rPr>
                <w:rFonts w:eastAsiaTheme="majorEastAsia"/>
              </w:rPr>
            </w:pPr>
          </w:p>
        </w:tc>
        <w:tc>
          <w:tcPr>
            <w:tcW w:w="1156" w:type="dxa"/>
            <w:tcBorders>
              <w:bottom w:val="single" w:sz="4" w:space="0" w:color="auto"/>
            </w:tcBorders>
            <w:shd w:val="clear" w:color="auto" w:fill="F5EDC1" w:themeFill="accent4"/>
          </w:tcPr>
          <w:p w14:paraId="26A3BC07" w14:textId="3FDF533E" w:rsidR="00710FC1" w:rsidRPr="00434140" w:rsidRDefault="00710FC1" w:rsidP="00710FC1">
            <w:pPr>
              <w:jc w:val="right"/>
              <w:rPr>
                <w:rFonts w:eastAsiaTheme="majorEastAsia"/>
                <w:b/>
              </w:rPr>
            </w:pPr>
            <w:r w:rsidRPr="00434140">
              <w:rPr>
                <w:rFonts w:eastAsiaTheme="majorEastAsia"/>
                <w:b/>
              </w:rPr>
              <w:t>106,805</w:t>
            </w:r>
          </w:p>
        </w:tc>
        <w:tc>
          <w:tcPr>
            <w:tcW w:w="1146" w:type="dxa"/>
            <w:tcBorders>
              <w:bottom w:val="single" w:sz="4" w:space="0" w:color="auto"/>
            </w:tcBorders>
            <w:shd w:val="clear" w:color="auto" w:fill="EFE29B" w:themeFill="accent4" w:themeFillShade="E6"/>
          </w:tcPr>
          <w:p w14:paraId="727129B0" w14:textId="75894E82" w:rsidR="00710FC1" w:rsidRPr="00434140" w:rsidRDefault="00710FC1" w:rsidP="00710FC1">
            <w:pPr>
              <w:jc w:val="right"/>
              <w:rPr>
                <w:rFonts w:eastAsiaTheme="majorEastAsia"/>
                <w:b/>
              </w:rPr>
            </w:pPr>
            <w:r w:rsidRPr="00434140">
              <w:rPr>
                <w:rFonts w:eastAsiaTheme="majorEastAsia"/>
                <w:b/>
              </w:rPr>
              <w:t>84,631</w:t>
            </w:r>
          </w:p>
        </w:tc>
        <w:tc>
          <w:tcPr>
            <w:tcW w:w="1115" w:type="dxa"/>
            <w:tcBorders>
              <w:bottom w:val="single" w:sz="4" w:space="0" w:color="auto"/>
            </w:tcBorders>
            <w:shd w:val="clear" w:color="auto" w:fill="EFE29B" w:themeFill="accent4" w:themeFillShade="E6"/>
          </w:tcPr>
          <w:p w14:paraId="7A593A46" w14:textId="2F95BB07" w:rsidR="00710FC1" w:rsidRPr="00434140" w:rsidRDefault="00710FC1" w:rsidP="00710FC1">
            <w:pPr>
              <w:jc w:val="right"/>
              <w:rPr>
                <w:rFonts w:eastAsiaTheme="majorEastAsia"/>
                <w:b/>
              </w:rPr>
            </w:pPr>
            <w:r w:rsidRPr="00434140">
              <w:rPr>
                <w:rFonts w:eastAsiaTheme="majorEastAsia"/>
                <w:b/>
              </w:rPr>
              <w:t>21,174</w:t>
            </w:r>
          </w:p>
        </w:tc>
        <w:tc>
          <w:tcPr>
            <w:tcW w:w="1126" w:type="dxa"/>
            <w:tcBorders>
              <w:bottom w:val="single" w:sz="4" w:space="0" w:color="auto"/>
            </w:tcBorders>
            <w:shd w:val="clear" w:color="auto" w:fill="EFE29B" w:themeFill="accent4" w:themeFillShade="E6"/>
          </w:tcPr>
          <w:p w14:paraId="4C1D7A80" w14:textId="1E34C14E" w:rsidR="00710FC1" w:rsidRPr="00434140" w:rsidRDefault="00710FC1" w:rsidP="00710FC1">
            <w:pPr>
              <w:jc w:val="right"/>
              <w:rPr>
                <w:rFonts w:eastAsiaTheme="majorEastAsia"/>
                <w:b/>
              </w:rPr>
            </w:pPr>
            <w:r w:rsidRPr="00434140">
              <w:rPr>
                <w:rFonts w:eastAsiaTheme="majorEastAsia"/>
                <w:b/>
              </w:rPr>
              <w:t>1,000</w:t>
            </w:r>
          </w:p>
        </w:tc>
        <w:tc>
          <w:tcPr>
            <w:tcW w:w="1148" w:type="dxa"/>
            <w:gridSpan w:val="2"/>
            <w:tcBorders>
              <w:bottom w:val="single" w:sz="4" w:space="0" w:color="auto"/>
            </w:tcBorders>
            <w:shd w:val="clear" w:color="auto" w:fill="F5EDC1" w:themeFill="accent4"/>
          </w:tcPr>
          <w:p w14:paraId="21F17012" w14:textId="68E884EE" w:rsidR="00710FC1" w:rsidRPr="00434140" w:rsidRDefault="00710FC1" w:rsidP="00710FC1">
            <w:pPr>
              <w:jc w:val="right"/>
              <w:rPr>
                <w:rFonts w:eastAsiaTheme="majorEastAsia"/>
                <w:b/>
              </w:rPr>
            </w:pPr>
            <w:r w:rsidRPr="00434140">
              <w:rPr>
                <w:rFonts w:eastAsiaTheme="majorEastAsia"/>
                <w:b/>
              </w:rPr>
              <w:t>106,805</w:t>
            </w:r>
          </w:p>
        </w:tc>
        <w:tc>
          <w:tcPr>
            <w:tcW w:w="1089" w:type="dxa"/>
            <w:tcBorders>
              <w:bottom w:val="single" w:sz="4" w:space="0" w:color="auto"/>
            </w:tcBorders>
            <w:shd w:val="clear" w:color="auto" w:fill="EFE29B" w:themeFill="accent4" w:themeFillShade="E6"/>
          </w:tcPr>
          <w:p w14:paraId="466527C6" w14:textId="3B40961F" w:rsidR="00710FC1" w:rsidRPr="00434140" w:rsidRDefault="00710FC1" w:rsidP="00710FC1">
            <w:pPr>
              <w:jc w:val="right"/>
              <w:rPr>
                <w:rFonts w:eastAsiaTheme="majorEastAsia"/>
                <w:b/>
              </w:rPr>
            </w:pPr>
            <w:r w:rsidRPr="00434140">
              <w:rPr>
                <w:rFonts w:eastAsiaTheme="majorEastAsia"/>
                <w:b/>
              </w:rPr>
              <w:t>90,028</w:t>
            </w:r>
          </w:p>
        </w:tc>
        <w:tc>
          <w:tcPr>
            <w:tcW w:w="1111" w:type="dxa"/>
            <w:tcBorders>
              <w:bottom w:val="single" w:sz="4" w:space="0" w:color="auto"/>
            </w:tcBorders>
            <w:shd w:val="clear" w:color="auto" w:fill="EFE29B" w:themeFill="accent4" w:themeFillShade="E6"/>
          </w:tcPr>
          <w:p w14:paraId="31B3AA7A" w14:textId="37CC002C" w:rsidR="00710FC1" w:rsidRPr="00434140" w:rsidRDefault="00710FC1" w:rsidP="00710FC1">
            <w:pPr>
              <w:jc w:val="right"/>
              <w:rPr>
                <w:rFonts w:eastAsiaTheme="majorEastAsia"/>
                <w:b/>
              </w:rPr>
            </w:pPr>
            <w:r w:rsidRPr="00434140">
              <w:rPr>
                <w:rFonts w:eastAsiaTheme="majorEastAsia"/>
                <w:b/>
              </w:rPr>
              <w:t>3,353</w:t>
            </w:r>
          </w:p>
        </w:tc>
        <w:tc>
          <w:tcPr>
            <w:tcW w:w="1111" w:type="dxa"/>
            <w:tcBorders>
              <w:bottom w:val="single" w:sz="4" w:space="0" w:color="auto"/>
            </w:tcBorders>
            <w:shd w:val="clear" w:color="auto" w:fill="EFE29B" w:themeFill="accent4" w:themeFillShade="E6"/>
          </w:tcPr>
          <w:p w14:paraId="549FD21A" w14:textId="282F7AD1" w:rsidR="00710FC1" w:rsidRPr="00434140" w:rsidRDefault="00710FC1" w:rsidP="00710FC1">
            <w:pPr>
              <w:jc w:val="right"/>
              <w:rPr>
                <w:rFonts w:eastAsiaTheme="majorEastAsia"/>
                <w:b/>
              </w:rPr>
            </w:pPr>
            <w:r w:rsidRPr="00434140">
              <w:rPr>
                <w:rFonts w:eastAsiaTheme="majorEastAsia"/>
                <w:b/>
              </w:rPr>
              <w:t>10,870</w:t>
            </w:r>
          </w:p>
        </w:tc>
        <w:tc>
          <w:tcPr>
            <w:tcW w:w="1111" w:type="dxa"/>
            <w:tcBorders>
              <w:bottom w:val="single" w:sz="4" w:space="0" w:color="auto"/>
            </w:tcBorders>
            <w:shd w:val="clear" w:color="auto" w:fill="EFE29B" w:themeFill="accent4" w:themeFillShade="E6"/>
          </w:tcPr>
          <w:p w14:paraId="124C09BD" w14:textId="40876DCE" w:rsidR="00710FC1" w:rsidRPr="00434140" w:rsidRDefault="00710FC1" w:rsidP="00710FC1">
            <w:pPr>
              <w:jc w:val="right"/>
              <w:rPr>
                <w:rFonts w:eastAsiaTheme="majorEastAsia"/>
                <w:b/>
              </w:rPr>
            </w:pPr>
            <w:r w:rsidRPr="00434140">
              <w:rPr>
                <w:rFonts w:eastAsiaTheme="majorEastAsia"/>
                <w:b/>
              </w:rPr>
              <w:t>2,554</w:t>
            </w:r>
          </w:p>
        </w:tc>
        <w:tc>
          <w:tcPr>
            <w:tcW w:w="1014" w:type="dxa"/>
            <w:gridSpan w:val="2"/>
            <w:tcBorders>
              <w:bottom w:val="single" w:sz="4" w:space="0" w:color="auto"/>
            </w:tcBorders>
            <w:shd w:val="clear" w:color="auto" w:fill="EFE29B" w:themeFill="accent4" w:themeFillShade="E6"/>
          </w:tcPr>
          <w:p w14:paraId="0A1E466B" w14:textId="268C556C" w:rsidR="00710FC1" w:rsidRPr="00434140" w:rsidRDefault="00710FC1" w:rsidP="00710FC1">
            <w:pPr>
              <w:jc w:val="right"/>
              <w:rPr>
                <w:rFonts w:eastAsiaTheme="majorEastAsia"/>
                <w:b/>
              </w:rPr>
            </w:pPr>
            <w:r w:rsidRPr="00434140">
              <w:rPr>
                <w:rFonts w:eastAsiaTheme="majorEastAsia"/>
                <w:b/>
              </w:rPr>
              <w:t>-</w:t>
            </w:r>
          </w:p>
        </w:tc>
      </w:tr>
      <w:tr w:rsidR="00710FC1" w14:paraId="4423A9BE"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tcPr>
          <w:p w14:paraId="425732A1" w14:textId="6C362933" w:rsidR="00710FC1" w:rsidRPr="00710FC1" w:rsidRDefault="00710FC1" w:rsidP="0086765F">
            <w:pPr>
              <w:rPr>
                <w:rFonts w:eastAsiaTheme="majorEastAsia"/>
                <w:i/>
              </w:rPr>
            </w:pPr>
            <w:r w:rsidRPr="00710FC1">
              <w:rPr>
                <w:rFonts w:eastAsiaTheme="majorEastAsia"/>
                <w:i/>
              </w:rPr>
              <w:t>Financial Liabilities</w:t>
            </w:r>
          </w:p>
        </w:tc>
        <w:tc>
          <w:tcPr>
            <w:tcW w:w="1230" w:type="dxa"/>
            <w:shd w:val="clear" w:color="auto" w:fill="FFFFFF" w:themeFill="background2"/>
          </w:tcPr>
          <w:p w14:paraId="263E242F" w14:textId="77777777" w:rsidR="00710FC1" w:rsidRDefault="00710FC1" w:rsidP="00710FC1">
            <w:pPr>
              <w:jc w:val="right"/>
              <w:rPr>
                <w:rFonts w:eastAsiaTheme="majorEastAsia"/>
              </w:rPr>
            </w:pPr>
          </w:p>
        </w:tc>
        <w:tc>
          <w:tcPr>
            <w:tcW w:w="1156" w:type="dxa"/>
            <w:tcBorders>
              <w:top w:val="single" w:sz="4" w:space="0" w:color="auto"/>
            </w:tcBorders>
            <w:shd w:val="clear" w:color="auto" w:fill="FFFFFF" w:themeFill="background2"/>
          </w:tcPr>
          <w:p w14:paraId="38FED373" w14:textId="77777777" w:rsidR="00710FC1" w:rsidRDefault="00710FC1" w:rsidP="00710FC1">
            <w:pPr>
              <w:jc w:val="right"/>
              <w:rPr>
                <w:rFonts w:eastAsiaTheme="majorEastAsia"/>
              </w:rPr>
            </w:pPr>
          </w:p>
        </w:tc>
        <w:tc>
          <w:tcPr>
            <w:tcW w:w="1146" w:type="dxa"/>
            <w:tcBorders>
              <w:top w:val="single" w:sz="4" w:space="0" w:color="auto"/>
            </w:tcBorders>
            <w:shd w:val="clear" w:color="auto" w:fill="FFFFFF" w:themeFill="background2"/>
          </w:tcPr>
          <w:p w14:paraId="2302BB58" w14:textId="77777777" w:rsidR="00710FC1" w:rsidRDefault="00710FC1" w:rsidP="00710FC1">
            <w:pPr>
              <w:jc w:val="right"/>
              <w:rPr>
                <w:rFonts w:eastAsiaTheme="majorEastAsia"/>
              </w:rPr>
            </w:pPr>
          </w:p>
        </w:tc>
        <w:tc>
          <w:tcPr>
            <w:tcW w:w="1115" w:type="dxa"/>
            <w:tcBorders>
              <w:top w:val="single" w:sz="4" w:space="0" w:color="auto"/>
            </w:tcBorders>
            <w:shd w:val="clear" w:color="auto" w:fill="FFFFFF" w:themeFill="background2"/>
          </w:tcPr>
          <w:p w14:paraId="3AD9ED45" w14:textId="77777777" w:rsidR="00710FC1" w:rsidRDefault="00710FC1" w:rsidP="00710FC1">
            <w:pPr>
              <w:jc w:val="right"/>
              <w:rPr>
                <w:rFonts w:eastAsiaTheme="majorEastAsia"/>
              </w:rPr>
            </w:pPr>
          </w:p>
        </w:tc>
        <w:tc>
          <w:tcPr>
            <w:tcW w:w="1126" w:type="dxa"/>
            <w:tcBorders>
              <w:top w:val="single" w:sz="4" w:space="0" w:color="auto"/>
            </w:tcBorders>
            <w:shd w:val="clear" w:color="auto" w:fill="FFFFFF" w:themeFill="background2"/>
          </w:tcPr>
          <w:p w14:paraId="557042C9" w14:textId="77777777" w:rsidR="00710FC1" w:rsidRDefault="00710FC1" w:rsidP="00710FC1">
            <w:pPr>
              <w:jc w:val="right"/>
              <w:rPr>
                <w:rFonts w:eastAsiaTheme="majorEastAsia"/>
              </w:rPr>
            </w:pPr>
          </w:p>
        </w:tc>
        <w:tc>
          <w:tcPr>
            <w:tcW w:w="1148" w:type="dxa"/>
            <w:gridSpan w:val="2"/>
            <w:tcBorders>
              <w:top w:val="single" w:sz="4" w:space="0" w:color="auto"/>
            </w:tcBorders>
            <w:shd w:val="clear" w:color="auto" w:fill="FFFFFF" w:themeFill="background2"/>
          </w:tcPr>
          <w:p w14:paraId="4EBF073D" w14:textId="77777777" w:rsidR="00710FC1" w:rsidRDefault="00710FC1" w:rsidP="00710FC1">
            <w:pPr>
              <w:jc w:val="right"/>
              <w:rPr>
                <w:rFonts w:eastAsiaTheme="majorEastAsia"/>
              </w:rPr>
            </w:pPr>
          </w:p>
        </w:tc>
        <w:tc>
          <w:tcPr>
            <w:tcW w:w="1089" w:type="dxa"/>
            <w:tcBorders>
              <w:top w:val="single" w:sz="4" w:space="0" w:color="auto"/>
            </w:tcBorders>
            <w:shd w:val="clear" w:color="auto" w:fill="FFFFFF" w:themeFill="background2"/>
          </w:tcPr>
          <w:p w14:paraId="1185906C" w14:textId="77777777" w:rsidR="00710FC1" w:rsidRDefault="00710FC1" w:rsidP="00710FC1">
            <w:pPr>
              <w:jc w:val="right"/>
              <w:rPr>
                <w:rFonts w:eastAsiaTheme="majorEastAsia"/>
              </w:rPr>
            </w:pPr>
          </w:p>
        </w:tc>
        <w:tc>
          <w:tcPr>
            <w:tcW w:w="1111" w:type="dxa"/>
            <w:tcBorders>
              <w:top w:val="single" w:sz="4" w:space="0" w:color="auto"/>
            </w:tcBorders>
            <w:shd w:val="clear" w:color="auto" w:fill="FFFFFF" w:themeFill="background2"/>
          </w:tcPr>
          <w:p w14:paraId="4C0229DE" w14:textId="77777777" w:rsidR="00710FC1" w:rsidRDefault="00710FC1" w:rsidP="00710FC1">
            <w:pPr>
              <w:jc w:val="right"/>
              <w:rPr>
                <w:rFonts w:eastAsiaTheme="majorEastAsia"/>
              </w:rPr>
            </w:pPr>
          </w:p>
        </w:tc>
        <w:tc>
          <w:tcPr>
            <w:tcW w:w="1111" w:type="dxa"/>
            <w:tcBorders>
              <w:top w:val="single" w:sz="4" w:space="0" w:color="auto"/>
            </w:tcBorders>
            <w:shd w:val="clear" w:color="auto" w:fill="FFFFFF" w:themeFill="background2"/>
          </w:tcPr>
          <w:p w14:paraId="0A0D110E" w14:textId="77777777" w:rsidR="00710FC1" w:rsidRDefault="00710FC1" w:rsidP="00710FC1">
            <w:pPr>
              <w:jc w:val="right"/>
              <w:rPr>
                <w:rFonts w:eastAsiaTheme="majorEastAsia"/>
              </w:rPr>
            </w:pPr>
          </w:p>
        </w:tc>
        <w:tc>
          <w:tcPr>
            <w:tcW w:w="1111" w:type="dxa"/>
            <w:tcBorders>
              <w:top w:val="single" w:sz="4" w:space="0" w:color="auto"/>
            </w:tcBorders>
            <w:shd w:val="clear" w:color="auto" w:fill="FFFFFF" w:themeFill="background2"/>
          </w:tcPr>
          <w:p w14:paraId="3253ECAD" w14:textId="77777777" w:rsidR="00710FC1" w:rsidRDefault="00710FC1" w:rsidP="00710FC1">
            <w:pPr>
              <w:jc w:val="right"/>
              <w:rPr>
                <w:rFonts w:eastAsiaTheme="majorEastAsia"/>
              </w:rPr>
            </w:pPr>
          </w:p>
        </w:tc>
        <w:tc>
          <w:tcPr>
            <w:tcW w:w="1014" w:type="dxa"/>
            <w:gridSpan w:val="2"/>
            <w:tcBorders>
              <w:top w:val="single" w:sz="4" w:space="0" w:color="auto"/>
            </w:tcBorders>
            <w:shd w:val="clear" w:color="auto" w:fill="FFFFFF" w:themeFill="background2"/>
          </w:tcPr>
          <w:p w14:paraId="58AB713A" w14:textId="77777777" w:rsidR="00710FC1" w:rsidRDefault="00710FC1" w:rsidP="00710FC1">
            <w:pPr>
              <w:jc w:val="right"/>
              <w:rPr>
                <w:rFonts w:eastAsiaTheme="majorEastAsia"/>
              </w:rPr>
            </w:pPr>
          </w:p>
        </w:tc>
      </w:tr>
      <w:tr w:rsidR="00710FC1" w14:paraId="3BDCE37A"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tcPr>
          <w:p w14:paraId="330EBF13" w14:textId="74D77AE4" w:rsidR="00710FC1" w:rsidRDefault="00710FC1" w:rsidP="0086765F">
            <w:pPr>
              <w:rPr>
                <w:rFonts w:eastAsiaTheme="majorEastAsia"/>
              </w:rPr>
            </w:pPr>
            <w:r>
              <w:rPr>
                <w:rFonts w:eastAsiaTheme="majorEastAsia"/>
              </w:rPr>
              <w:t>Payables</w:t>
            </w:r>
          </w:p>
        </w:tc>
        <w:tc>
          <w:tcPr>
            <w:tcW w:w="1230" w:type="dxa"/>
            <w:shd w:val="clear" w:color="auto" w:fill="EFE29B" w:themeFill="accent4" w:themeFillShade="E6"/>
          </w:tcPr>
          <w:p w14:paraId="57C515AA" w14:textId="0992764A" w:rsidR="00710FC1" w:rsidRDefault="00710FC1" w:rsidP="00710FC1">
            <w:pPr>
              <w:jc w:val="right"/>
              <w:rPr>
                <w:rFonts w:eastAsiaTheme="majorEastAsia"/>
              </w:rPr>
            </w:pPr>
            <w:r>
              <w:rPr>
                <w:rFonts w:eastAsiaTheme="majorEastAsia"/>
              </w:rPr>
              <w:t>-</w:t>
            </w:r>
          </w:p>
        </w:tc>
        <w:tc>
          <w:tcPr>
            <w:tcW w:w="1156" w:type="dxa"/>
            <w:shd w:val="clear" w:color="auto" w:fill="F5EDC1" w:themeFill="accent4"/>
          </w:tcPr>
          <w:p w14:paraId="3EDD0BD3" w14:textId="52D0B94B" w:rsidR="00710FC1" w:rsidRDefault="00710FC1" w:rsidP="00710FC1">
            <w:pPr>
              <w:jc w:val="right"/>
              <w:rPr>
                <w:rFonts w:eastAsiaTheme="majorEastAsia"/>
              </w:rPr>
            </w:pPr>
            <w:r>
              <w:rPr>
                <w:rFonts w:eastAsiaTheme="majorEastAsia"/>
              </w:rPr>
              <w:t>1,238</w:t>
            </w:r>
          </w:p>
        </w:tc>
        <w:tc>
          <w:tcPr>
            <w:tcW w:w="1146" w:type="dxa"/>
            <w:shd w:val="clear" w:color="auto" w:fill="EFE29B" w:themeFill="accent4" w:themeFillShade="E6"/>
          </w:tcPr>
          <w:p w14:paraId="411B7B2A" w14:textId="2C6145DE" w:rsidR="00710FC1" w:rsidRDefault="00710FC1" w:rsidP="00710FC1">
            <w:pPr>
              <w:jc w:val="right"/>
              <w:rPr>
                <w:rFonts w:eastAsiaTheme="majorEastAsia"/>
              </w:rPr>
            </w:pPr>
            <w:r>
              <w:rPr>
                <w:rFonts w:eastAsiaTheme="majorEastAsia"/>
              </w:rPr>
              <w:t>-</w:t>
            </w:r>
          </w:p>
        </w:tc>
        <w:tc>
          <w:tcPr>
            <w:tcW w:w="1115" w:type="dxa"/>
            <w:shd w:val="clear" w:color="auto" w:fill="EFE29B" w:themeFill="accent4" w:themeFillShade="E6"/>
          </w:tcPr>
          <w:p w14:paraId="5650C81B" w14:textId="2AC22466" w:rsidR="00710FC1" w:rsidRDefault="00710FC1" w:rsidP="00710FC1">
            <w:pPr>
              <w:jc w:val="right"/>
              <w:rPr>
                <w:rFonts w:eastAsiaTheme="majorEastAsia"/>
              </w:rPr>
            </w:pPr>
            <w:r>
              <w:rPr>
                <w:rFonts w:eastAsiaTheme="majorEastAsia"/>
              </w:rPr>
              <w:t>-</w:t>
            </w:r>
          </w:p>
        </w:tc>
        <w:tc>
          <w:tcPr>
            <w:tcW w:w="1126" w:type="dxa"/>
            <w:shd w:val="clear" w:color="auto" w:fill="EFE29B" w:themeFill="accent4" w:themeFillShade="E6"/>
          </w:tcPr>
          <w:p w14:paraId="7419A971" w14:textId="18434682" w:rsidR="00710FC1" w:rsidRDefault="00710FC1" w:rsidP="00710FC1">
            <w:pPr>
              <w:jc w:val="right"/>
              <w:rPr>
                <w:rFonts w:eastAsiaTheme="majorEastAsia"/>
              </w:rPr>
            </w:pPr>
            <w:r>
              <w:rPr>
                <w:rFonts w:eastAsiaTheme="majorEastAsia"/>
              </w:rPr>
              <w:t>1,238</w:t>
            </w:r>
          </w:p>
        </w:tc>
        <w:tc>
          <w:tcPr>
            <w:tcW w:w="1148" w:type="dxa"/>
            <w:gridSpan w:val="2"/>
            <w:shd w:val="clear" w:color="auto" w:fill="F5EDC1" w:themeFill="accent4"/>
          </w:tcPr>
          <w:p w14:paraId="17865B00" w14:textId="63E8E733" w:rsidR="00710FC1" w:rsidRDefault="00710FC1" w:rsidP="00710FC1">
            <w:pPr>
              <w:jc w:val="right"/>
              <w:rPr>
                <w:rFonts w:eastAsiaTheme="majorEastAsia"/>
              </w:rPr>
            </w:pPr>
            <w:r>
              <w:rPr>
                <w:rFonts w:eastAsiaTheme="majorEastAsia"/>
              </w:rPr>
              <w:t>1,238</w:t>
            </w:r>
          </w:p>
        </w:tc>
        <w:tc>
          <w:tcPr>
            <w:tcW w:w="1089" w:type="dxa"/>
            <w:shd w:val="clear" w:color="auto" w:fill="EFE29B" w:themeFill="accent4" w:themeFillShade="E6"/>
          </w:tcPr>
          <w:p w14:paraId="185DC7B9" w14:textId="78FA731B" w:rsidR="00710FC1" w:rsidRDefault="00710FC1" w:rsidP="00710FC1">
            <w:pPr>
              <w:jc w:val="right"/>
              <w:rPr>
                <w:rFonts w:eastAsiaTheme="majorEastAsia"/>
              </w:rPr>
            </w:pPr>
            <w:r>
              <w:rPr>
                <w:rFonts w:eastAsiaTheme="majorEastAsia"/>
              </w:rPr>
              <w:t>1,238</w:t>
            </w:r>
          </w:p>
        </w:tc>
        <w:tc>
          <w:tcPr>
            <w:tcW w:w="1111" w:type="dxa"/>
            <w:shd w:val="clear" w:color="auto" w:fill="EFE29B" w:themeFill="accent4" w:themeFillShade="E6"/>
          </w:tcPr>
          <w:p w14:paraId="60C3CAF0" w14:textId="4E9CCB59" w:rsidR="00710FC1" w:rsidRDefault="00710FC1" w:rsidP="00710FC1">
            <w:pPr>
              <w:jc w:val="right"/>
              <w:rPr>
                <w:rFonts w:eastAsiaTheme="majorEastAsia"/>
              </w:rPr>
            </w:pPr>
            <w:r>
              <w:rPr>
                <w:rFonts w:eastAsiaTheme="majorEastAsia"/>
              </w:rPr>
              <w:t>-</w:t>
            </w:r>
          </w:p>
        </w:tc>
        <w:tc>
          <w:tcPr>
            <w:tcW w:w="1111" w:type="dxa"/>
            <w:shd w:val="clear" w:color="auto" w:fill="EFE29B" w:themeFill="accent4" w:themeFillShade="E6"/>
          </w:tcPr>
          <w:p w14:paraId="524D4502" w14:textId="251F7377" w:rsidR="00710FC1" w:rsidRDefault="00710FC1" w:rsidP="00710FC1">
            <w:pPr>
              <w:jc w:val="right"/>
              <w:rPr>
                <w:rFonts w:eastAsiaTheme="majorEastAsia"/>
              </w:rPr>
            </w:pPr>
            <w:r>
              <w:rPr>
                <w:rFonts w:eastAsiaTheme="majorEastAsia"/>
              </w:rPr>
              <w:t>-</w:t>
            </w:r>
          </w:p>
        </w:tc>
        <w:tc>
          <w:tcPr>
            <w:tcW w:w="1111" w:type="dxa"/>
            <w:shd w:val="clear" w:color="auto" w:fill="EFE29B" w:themeFill="accent4" w:themeFillShade="E6"/>
          </w:tcPr>
          <w:p w14:paraId="795D462C" w14:textId="429D74CC" w:rsidR="00710FC1" w:rsidRDefault="00710FC1" w:rsidP="00710FC1">
            <w:pPr>
              <w:jc w:val="right"/>
              <w:rPr>
                <w:rFonts w:eastAsiaTheme="majorEastAsia"/>
              </w:rPr>
            </w:pPr>
            <w:r>
              <w:rPr>
                <w:rFonts w:eastAsiaTheme="majorEastAsia"/>
              </w:rPr>
              <w:t>-</w:t>
            </w:r>
          </w:p>
        </w:tc>
        <w:tc>
          <w:tcPr>
            <w:tcW w:w="1014" w:type="dxa"/>
            <w:gridSpan w:val="2"/>
            <w:shd w:val="clear" w:color="auto" w:fill="EFE29B" w:themeFill="accent4" w:themeFillShade="E6"/>
          </w:tcPr>
          <w:p w14:paraId="0A5A0E22" w14:textId="2D968469" w:rsidR="00710FC1" w:rsidRDefault="00710FC1" w:rsidP="00710FC1">
            <w:pPr>
              <w:jc w:val="right"/>
              <w:rPr>
                <w:rFonts w:eastAsiaTheme="majorEastAsia"/>
              </w:rPr>
            </w:pPr>
            <w:r>
              <w:rPr>
                <w:rFonts w:eastAsiaTheme="majorEastAsia"/>
              </w:rPr>
              <w:t>-</w:t>
            </w:r>
          </w:p>
        </w:tc>
      </w:tr>
      <w:tr w:rsidR="00710FC1" w14:paraId="10D1BC39"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shd w:val="clear" w:color="auto" w:fill="FFFFFF" w:themeFill="background2"/>
          </w:tcPr>
          <w:p w14:paraId="26002B95" w14:textId="77777777" w:rsidR="00710FC1" w:rsidRDefault="00710FC1" w:rsidP="0086765F">
            <w:pPr>
              <w:rPr>
                <w:rFonts w:eastAsiaTheme="majorEastAsia"/>
              </w:rPr>
            </w:pPr>
          </w:p>
        </w:tc>
        <w:tc>
          <w:tcPr>
            <w:tcW w:w="1230" w:type="dxa"/>
            <w:shd w:val="clear" w:color="auto" w:fill="FFFFFF" w:themeFill="background2"/>
          </w:tcPr>
          <w:p w14:paraId="6F94ABB2" w14:textId="77777777" w:rsidR="00710FC1" w:rsidRDefault="00710FC1" w:rsidP="00710FC1">
            <w:pPr>
              <w:jc w:val="right"/>
              <w:rPr>
                <w:rFonts w:eastAsiaTheme="majorEastAsia"/>
              </w:rPr>
            </w:pPr>
          </w:p>
        </w:tc>
        <w:tc>
          <w:tcPr>
            <w:tcW w:w="1156" w:type="dxa"/>
            <w:shd w:val="clear" w:color="auto" w:fill="F5EDC1" w:themeFill="accent4"/>
          </w:tcPr>
          <w:p w14:paraId="358BD130" w14:textId="592E822A" w:rsidR="00710FC1" w:rsidRPr="00434140" w:rsidRDefault="00710FC1" w:rsidP="00710FC1">
            <w:pPr>
              <w:jc w:val="right"/>
              <w:rPr>
                <w:rFonts w:eastAsiaTheme="majorEastAsia"/>
                <w:b/>
              </w:rPr>
            </w:pPr>
            <w:r w:rsidRPr="00434140">
              <w:rPr>
                <w:rFonts w:eastAsiaTheme="majorEastAsia"/>
                <w:b/>
              </w:rPr>
              <w:t>1,238</w:t>
            </w:r>
          </w:p>
        </w:tc>
        <w:tc>
          <w:tcPr>
            <w:tcW w:w="1146" w:type="dxa"/>
            <w:shd w:val="clear" w:color="auto" w:fill="EFE29B" w:themeFill="accent4" w:themeFillShade="E6"/>
          </w:tcPr>
          <w:p w14:paraId="4FE4EC23" w14:textId="68446C95" w:rsidR="00710FC1" w:rsidRPr="00434140" w:rsidRDefault="00710FC1" w:rsidP="00710FC1">
            <w:pPr>
              <w:jc w:val="right"/>
              <w:rPr>
                <w:rFonts w:eastAsiaTheme="majorEastAsia"/>
                <w:b/>
              </w:rPr>
            </w:pPr>
            <w:r w:rsidRPr="00434140">
              <w:rPr>
                <w:rFonts w:eastAsiaTheme="majorEastAsia"/>
                <w:b/>
              </w:rPr>
              <w:t>-</w:t>
            </w:r>
          </w:p>
        </w:tc>
        <w:tc>
          <w:tcPr>
            <w:tcW w:w="1115" w:type="dxa"/>
            <w:shd w:val="clear" w:color="auto" w:fill="EFE29B" w:themeFill="accent4" w:themeFillShade="E6"/>
          </w:tcPr>
          <w:p w14:paraId="1C43E26B" w14:textId="24067C7A" w:rsidR="00710FC1" w:rsidRPr="00434140" w:rsidRDefault="00710FC1" w:rsidP="00710FC1">
            <w:pPr>
              <w:jc w:val="right"/>
              <w:rPr>
                <w:rFonts w:eastAsiaTheme="majorEastAsia"/>
                <w:b/>
              </w:rPr>
            </w:pPr>
            <w:r w:rsidRPr="00434140">
              <w:rPr>
                <w:rFonts w:eastAsiaTheme="majorEastAsia"/>
                <w:b/>
              </w:rPr>
              <w:t>-</w:t>
            </w:r>
          </w:p>
        </w:tc>
        <w:tc>
          <w:tcPr>
            <w:tcW w:w="1126" w:type="dxa"/>
            <w:shd w:val="clear" w:color="auto" w:fill="EFE29B" w:themeFill="accent4" w:themeFillShade="E6"/>
          </w:tcPr>
          <w:p w14:paraId="7351E554" w14:textId="27E220D3" w:rsidR="00710FC1" w:rsidRPr="00434140" w:rsidRDefault="00710FC1" w:rsidP="00710FC1">
            <w:pPr>
              <w:jc w:val="right"/>
              <w:rPr>
                <w:rFonts w:eastAsiaTheme="majorEastAsia"/>
                <w:b/>
              </w:rPr>
            </w:pPr>
            <w:r w:rsidRPr="00434140">
              <w:rPr>
                <w:rFonts w:eastAsiaTheme="majorEastAsia"/>
                <w:b/>
              </w:rPr>
              <w:t>1,238</w:t>
            </w:r>
          </w:p>
        </w:tc>
        <w:tc>
          <w:tcPr>
            <w:tcW w:w="1148" w:type="dxa"/>
            <w:gridSpan w:val="2"/>
            <w:shd w:val="clear" w:color="auto" w:fill="F5EDC1" w:themeFill="accent4"/>
          </w:tcPr>
          <w:p w14:paraId="27D7CC24" w14:textId="29120397" w:rsidR="00710FC1" w:rsidRPr="00434140" w:rsidRDefault="00710FC1" w:rsidP="00710FC1">
            <w:pPr>
              <w:jc w:val="right"/>
              <w:rPr>
                <w:rFonts w:eastAsiaTheme="majorEastAsia"/>
                <w:b/>
              </w:rPr>
            </w:pPr>
            <w:r w:rsidRPr="00434140">
              <w:rPr>
                <w:rFonts w:eastAsiaTheme="majorEastAsia"/>
                <w:b/>
              </w:rPr>
              <w:t>1,238</w:t>
            </w:r>
          </w:p>
        </w:tc>
        <w:tc>
          <w:tcPr>
            <w:tcW w:w="1089" w:type="dxa"/>
            <w:shd w:val="clear" w:color="auto" w:fill="EFE29B" w:themeFill="accent4" w:themeFillShade="E6"/>
          </w:tcPr>
          <w:p w14:paraId="1CBF47E3" w14:textId="33206F87" w:rsidR="00710FC1" w:rsidRPr="00434140" w:rsidRDefault="00710FC1" w:rsidP="00710FC1">
            <w:pPr>
              <w:jc w:val="right"/>
              <w:rPr>
                <w:rFonts w:eastAsiaTheme="majorEastAsia"/>
                <w:b/>
              </w:rPr>
            </w:pPr>
            <w:r w:rsidRPr="00434140">
              <w:rPr>
                <w:rFonts w:eastAsiaTheme="majorEastAsia"/>
                <w:b/>
              </w:rPr>
              <w:t>1,238</w:t>
            </w:r>
          </w:p>
        </w:tc>
        <w:tc>
          <w:tcPr>
            <w:tcW w:w="1111" w:type="dxa"/>
            <w:shd w:val="clear" w:color="auto" w:fill="EFE29B" w:themeFill="accent4" w:themeFillShade="E6"/>
          </w:tcPr>
          <w:p w14:paraId="71359BE4" w14:textId="7E63664E" w:rsidR="00710FC1" w:rsidRPr="00434140" w:rsidRDefault="00710FC1" w:rsidP="00710FC1">
            <w:pPr>
              <w:jc w:val="right"/>
              <w:rPr>
                <w:rFonts w:eastAsiaTheme="majorEastAsia"/>
                <w:b/>
              </w:rPr>
            </w:pPr>
            <w:r w:rsidRPr="00434140">
              <w:rPr>
                <w:rFonts w:eastAsiaTheme="majorEastAsia"/>
                <w:b/>
              </w:rPr>
              <w:t>-</w:t>
            </w:r>
          </w:p>
        </w:tc>
        <w:tc>
          <w:tcPr>
            <w:tcW w:w="1111" w:type="dxa"/>
            <w:shd w:val="clear" w:color="auto" w:fill="EFE29B" w:themeFill="accent4" w:themeFillShade="E6"/>
          </w:tcPr>
          <w:p w14:paraId="30AA5E29" w14:textId="4658BD7D" w:rsidR="00710FC1" w:rsidRPr="00434140" w:rsidRDefault="00710FC1" w:rsidP="00710FC1">
            <w:pPr>
              <w:jc w:val="right"/>
              <w:rPr>
                <w:rFonts w:eastAsiaTheme="majorEastAsia"/>
                <w:b/>
              </w:rPr>
            </w:pPr>
            <w:r w:rsidRPr="00434140">
              <w:rPr>
                <w:rFonts w:eastAsiaTheme="majorEastAsia"/>
                <w:b/>
              </w:rPr>
              <w:t>-</w:t>
            </w:r>
          </w:p>
        </w:tc>
        <w:tc>
          <w:tcPr>
            <w:tcW w:w="1111" w:type="dxa"/>
            <w:shd w:val="clear" w:color="auto" w:fill="EFE29B" w:themeFill="accent4" w:themeFillShade="E6"/>
          </w:tcPr>
          <w:p w14:paraId="12EB06C4" w14:textId="556A47B0" w:rsidR="00710FC1" w:rsidRPr="00434140" w:rsidRDefault="00710FC1" w:rsidP="00710FC1">
            <w:pPr>
              <w:jc w:val="right"/>
              <w:rPr>
                <w:rFonts w:eastAsiaTheme="majorEastAsia"/>
                <w:b/>
              </w:rPr>
            </w:pPr>
            <w:r w:rsidRPr="00434140">
              <w:rPr>
                <w:rFonts w:eastAsiaTheme="majorEastAsia"/>
                <w:b/>
              </w:rPr>
              <w:t>-</w:t>
            </w:r>
          </w:p>
        </w:tc>
        <w:tc>
          <w:tcPr>
            <w:tcW w:w="1014" w:type="dxa"/>
            <w:gridSpan w:val="2"/>
            <w:shd w:val="clear" w:color="auto" w:fill="EFE29B" w:themeFill="accent4" w:themeFillShade="E6"/>
          </w:tcPr>
          <w:p w14:paraId="5D6F45B3" w14:textId="694D1EA0" w:rsidR="00710FC1" w:rsidRPr="00434140" w:rsidRDefault="00710FC1" w:rsidP="00710FC1">
            <w:pPr>
              <w:jc w:val="right"/>
              <w:rPr>
                <w:rFonts w:eastAsiaTheme="majorEastAsia"/>
                <w:b/>
              </w:rPr>
            </w:pPr>
            <w:r w:rsidRPr="00434140">
              <w:rPr>
                <w:rFonts w:eastAsiaTheme="majorEastAsia"/>
                <w:b/>
              </w:rPr>
              <w:t>-</w:t>
            </w:r>
          </w:p>
        </w:tc>
      </w:tr>
      <w:tr w:rsidR="00434140" w14:paraId="777919AE"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shd w:val="clear" w:color="auto" w:fill="FFFFFF" w:themeFill="background2"/>
          </w:tcPr>
          <w:p w14:paraId="506E08CE" w14:textId="7BDB2483" w:rsidR="00434140" w:rsidRDefault="00434140" w:rsidP="0086765F">
            <w:pPr>
              <w:rPr>
                <w:rFonts w:eastAsiaTheme="majorEastAsia"/>
              </w:rPr>
            </w:pPr>
            <w:r w:rsidRPr="00434140">
              <w:rPr>
                <w:rFonts w:eastAsiaTheme="majorEastAsia"/>
                <w:b/>
              </w:rPr>
              <w:t>2014</w:t>
            </w:r>
            <w:r>
              <w:rPr>
                <w:rFonts w:eastAsiaTheme="majorEastAsia"/>
              </w:rPr>
              <w:br/>
            </w:r>
            <w:r w:rsidRPr="00434140">
              <w:rPr>
                <w:rFonts w:eastAsiaTheme="majorEastAsia"/>
                <w:i/>
              </w:rPr>
              <w:t>Financial Assets</w:t>
            </w:r>
          </w:p>
        </w:tc>
        <w:tc>
          <w:tcPr>
            <w:tcW w:w="1230" w:type="dxa"/>
            <w:shd w:val="clear" w:color="auto" w:fill="FFFFFF" w:themeFill="background2"/>
          </w:tcPr>
          <w:p w14:paraId="2114C2FB" w14:textId="77777777" w:rsidR="00434140" w:rsidRDefault="00434140" w:rsidP="00710FC1">
            <w:pPr>
              <w:jc w:val="right"/>
              <w:rPr>
                <w:rFonts w:eastAsiaTheme="majorEastAsia"/>
              </w:rPr>
            </w:pPr>
          </w:p>
          <w:p w14:paraId="28549536" w14:textId="3488E7BC" w:rsidR="00434140" w:rsidRPr="002B151A" w:rsidRDefault="00434140" w:rsidP="00710FC1">
            <w:pPr>
              <w:jc w:val="right"/>
              <w:rPr>
                <w:rFonts w:eastAsiaTheme="majorEastAsia"/>
                <w:b/>
              </w:rPr>
            </w:pPr>
            <w:r w:rsidRPr="002B151A">
              <w:rPr>
                <w:rFonts w:eastAsiaTheme="majorEastAsia"/>
                <w:b/>
              </w:rPr>
              <w:t>%</w:t>
            </w:r>
          </w:p>
        </w:tc>
        <w:tc>
          <w:tcPr>
            <w:tcW w:w="1156" w:type="dxa"/>
            <w:shd w:val="clear" w:color="auto" w:fill="FFFFFF" w:themeFill="background2"/>
          </w:tcPr>
          <w:p w14:paraId="032ED4E4" w14:textId="77777777" w:rsidR="00434140" w:rsidRDefault="00434140" w:rsidP="00710FC1">
            <w:pPr>
              <w:jc w:val="right"/>
              <w:rPr>
                <w:rFonts w:eastAsiaTheme="majorEastAsia"/>
                <w:b/>
              </w:rPr>
            </w:pPr>
          </w:p>
          <w:p w14:paraId="4FED124E" w14:textId="36A9EE25" w:rsidR="00434140" w:rsidRPr="00434140" w:rsidRDefault="00434140" w:rsidP="00710FC1">
            <w:pPr>
              <w:jc w:val="right"/>
              <w:rPr>
                <w:rFonts w:eastAsiaTheme="majorEastAsia"/>
                <w:b/>
              </w:rPr>
            </w:pPr>
            <w:r>
              <w:rPr>
                <w:rFonts w:eastAsiaTheme="majorEastAsia"/>
                <w:b/>
              </w:rPr>
              <w:t>$000</w:t>
            </w:r>
          </w:p>
        </w:tc>
        <w:tc>
          <w:tcPr>
            <w:tcW w:w="1146" w:type="dxa"/>
            <w:shd w:val="clear" w:color="auto" w:fill="FFFFFF" w:themeFill="background2"/>
          </w:tcPr>
          <w:p w14:paraId="5B218F75" w14:textId="77777777" w:rsidR="00434140" w:rsidRDefault="00434140" w:rsidP="00434140">
            <w:pPr>
              <w:jc w:val="right"/>
              <w:rPr>
                <w:rFonts w:eastAsiaTheme="majorEastAsia"/>
                <w:b/>
              </w:rPr>
            </w:pPr>
          </w:p>
          <w:p w14:paraId="54E4246F" w14:textId="31895B1D" w:rsidR="00434140" w:rsidRPr="00434140" w:rsidRDefault="00434140" w:rsidP="00434140">
            <w:pPr>
              <w:jc w:val="right"/>
              <w:rPr>
                <w:rFonts w:eastAsiaTheme="majorEastAsia"/>
                <w:b/>
              </w:rPr>
            </w:pPr>
            <w:r>
              <w:rPr>
                <w:rFonts w:eastAsiaTheme="majorEastAsia"/>
                <w:b/>
              </w:rPr>
              <w:t>$000</w:t>
            </w:r>
          </w:p>
        </w:tc>
        <w:tc>
          <w:tcPr>
            <w:tcW w:w="1115" w:type="dxa"/>
            <w:shd w:val="clear" w:color="auto" w:fill="FFFFFF" w:themeFill="background2"/>
          </w:tcPr>
          <w:p w14:paraId="7D7938AE" w14:textId="77777777" w:rsidR="00434140" w:rsidRDefault="00434140" w:rsidP="00434140">
            <w:pPr>
              <w:jc w:val="right"/>
              <w:rPr>
                <w:rFonts w:eastAsiaTheme="majorEastAsia"/>
                <w:b/>
              </w:rPr>
            </w:pPr>
          </w:p>
          <w:p w14:paraId="4F5697F5" w14:textId="2E80608D" w:rsidR="00434140" w:rsidRPr="00434140" w:rsidRDefault="00434140" w:rsidP="00434140">
            <w:pPr>
              <w:jc w:val="right"/>
              <w:rPr>
                <w:rFonts w:eastAsiaTheme="majorEastAsia"/>
                <w:b/>
              </w:rPr>
            </w:pPr>
            <w:r>
              <w:rPr>
                <w:rFonts w:eastAsiaTheme="majorEastAsia"/>
                <w:b/>
              </w:rPr>
              <w:t>$000</w:t>
            </w:r>
          </w:p>
        </w:tc>
        <w:tc>
          <w:tcPr>
            <w:tcW w:w="1126" w:type="dxa"/>
            <w:shd w:val="clear" w:color="auto" w:fill="FFFFFF" w:themeFill="background2"/>
          </w:tcPr>
          <w:p w14:paraId="0E04C5EF" w14:textId="77777777" w:rsidR="00434140" w:rsidRDefault="00434140" w:rsidP="00434140">
            <w:pPr>
              <w:jc w:val="right"/>
              <w:rPr>
                <w:rFonts w:eastAsiaTheme="majorEastAsia"/>
                <w:b/>
              </w:rPr>
            </w:pPr>
          </w:p>
          <w:p w14:paraId="48105F7B" w14:textId="682A2AF4" w:rsidR="00434140" w:rsidRPr="00434140" w:rsidRDefault="00434140" w:rsidP="00434140">
            <w:pPr>
              <w:jc w:val="right"/>
              <w:rPr>
                <w:rFonts w:eastAsiaTheme="majorEastAsia"/>
                <w:b/>
              </w:rPr>
            </w:pPr>
            <w:r>
              <w:rPr>
                <w:rFonts w:eastAsiaTheme="majorEastAsia"/>
                <w:b/>
              </w:rPr>
              <w:t>$000</w:t>
            </w:r>
          </w:p>
        </w:tc>
        <w:tc>
          <w:tcPr>
            <w:tcW w:w="1148" w:type="dxa"/>
            <w:gridSpan w:val="2"/>
            <w:shd w:val="clear" w:color="auto" w:fill="FFFFFF" w:themeFill="background2"/>
          </w:tcPr>
          <w:p w14:paraId="34BEB745" w14:textId="77777777" w:rsidR="00434140" w:rsidRDefault="00434140" w:rsidP="00434140">
            <w:pPr>
              <w:jc w:val="right"/>
              <w:rPr>
                <w:rFonts w:eastAsiaTheme="majorEastAsia"/>
                <w:b/>
              </w:rPr>
            </w:pPr>
          </w:p>
          <w:p w14:paraId="372BC47B" w14:textId="1389A9BC" w:rsidR="00434140" w:rsidRPr="00434140" w:rsidRDefault="00434140" w:rsidP="00434140">
            <w:pPr>
              <w:jc w:val="right"/>
              <w:rPr>
                <w:rFonts w:eastAsiaTheme="majorEastAsia"/>
                <w:b/>
              </w:rPr>
            </w:pPr>
            <w:r>
              <w:rPr>
                <w:rFonts w:eastAsiaTheme="majorEastAsia"/>
                <w:b/>
              </w:rPr>
              <w:t>$000</w:t>
            </w:r>
          </w:p>
        </w:tc>
        <w:tc>
          <w:tcPr>
            <w:tcW w:w="1089" w:type="dxa"/>
            <w:shd w:val="clear" w:color="auto" w:fill="FFFFFF" w:themeFill="background2"/>
          </w:tcPr>
          <w:p w14:paraId="234158B5" w14:textId="77777777" w:rsidR="00434140" w:rsidRDefault="00434140" w:rsidP="00434140">
            <w:pPr>
              <w:jc w:val="right"/>
              <w:rPr>
                <w:rFonts w:eastAsiaTheme="majorEastAsia"/>
                <w:b/>
              </w:rPr>
            </w:pPr>
          </w:p>
          <w:p w14:paraId="251D7183" w14:textId="1CF4CF34" w:rsidR="00434140" w:rsidRPr="00434140" w:rsidRDefault="00434140" w:rsidP="00434140">
            <w:pPr>
              <w:jc w:val="right"/>
              <w:rPr>
                <w:rFonts w:eastAsiaTheme="majorEastAsia"/>
                <w:b/>
              </w:rPr>
            </w:pPr>
            <w:r>
              <w:rPr>
                <w:rFonts w:eastAsiaTheme="majorEastAsia"/>
                <w:b/>
              </w:rPr>
              <w:t>$000</w:t>
            </w:r>
          </w:p>
        </w:tc>
        <w:tc>
          <w:tcPr>
            <w:tcW w:w="1111" w:type="dxa"/>
            <w:shd w:val="clear" w:color="auto" w:fill="FFFFFF" w:themeFill="background2"/>
          </w:tcPr>
          <w:p w14:paraId="76BDC140" w14:textId="77777777" w:rsidR="00434140" w:rsidRDefault="00434140" w:rsidP="00434140">
            <w:pPr>
              <w:jc w:val="right"/>
              <w:rPr>
                <w:rFonts w:eastAsiaTheme="majorEastAsia"/>
                <w:b/>
              </w:rPr>
            </w:pPr>
          </w:p>
          <w:p w14:paraId="7598655C" w14:textId="68AB9967" w:rsidR="00434140" w:rsidRPr="00434140" w:rsidRDefault="00434140" w:rsidP="00434140">
            <w:pPr>
              <w:jc w:val="right"/>
              <w:rPr>
                <w:rFonts w:eastAsiaTheme="majorEastAsia"/>
                <w:b/>
              </w:rPr>
            </w:pPr>
            <w:r>
              <w:rPr>
                <w:rFonts w:eastAsiaTheme="majorEastAsia"/>
                <w:b/>
              </w:rPr>
              <w:t>$000</w:t>
            </w:r>
          </w:p>
        </w:tc>
        <w:tc>
          <w:tcPr>
            <w:tcW w:w="1111" w:type="dxa"/>
            <w:shd w:val="clear" w:color="auto" w:fill="FFFFFF" w:themeFill="background2"/>
          </w:tcPr>
          <w:p w14:paraId="1A28E680" w14:textId="77777777" w:rsidR="00434140" w:rsidRDefault="00434140" w:rsidP="00434140">
            <w:pPr>
              <w:jc w:val="right"/>
              <w:rPr>
                <w:rFonts w:eastAsiaTheme="majorEastAsia"/>
                <w:b/>
              </w:rPr>
            </w:pPr>
          </w:p>
          <w:p w14:paraId="72757228" w14:textId="2E1F8D6D" w:rsidR="00434140" w:rsidRPr="00434140" w:rsidRDefault="00434140" w:rsidP="00434140">
            <w:pPr>
              <w:jc w:val="right"/>
              <w:rPr>
                <w:rFonts w:eastAsiaTheme="majorEastAsia"/>
                <w:b/>
              </w:rPr>
            </w:pPr>
            <w:r>
              <w:rPr>
                <w:rFonts w:eastAsiaTheme="majorEastAsia"/>
                <w:b/>
              </w:rPr>
              <w:t>$000</w:t>
            </w:r>
          </w:p>
        </w:tc>
        <w:tc>
          <w:tcPr>
            <w:tcW w:w="1111" w:type="dxa"/>
            <w:shd w:val="clear" w:color="auto" w:fill="FFFFFF" w:themeFill="background2"/>
          </w:tcPr>
          <w:p w14:paraId="0B8148AC" w14:textId="77777777" w:rsidR="00434140" w:rsidRDefault="00434140" w:rsidP="00434140">
            <w:pPr>
              <w:jc w:val="right"/>
              <w:rPr>
                <w:rFonts w:eastAsiaTheme="majorEastAsia"/>
                <w:b/>
              </w:rPr>
            </w:pPr>
          </w:p>
          <w:p w14:paraId="1EA94C6A" w14:textId="79CD9931" w:rsidR="00434140" w:rsidRPr="00434140" w:rsidRDefault="00434140" w:rsidP="00434140">
            <w:pPr>
              <w:jc w:val="right"/>
              <w:rPr>
                <w:rFonts w:eastAsiaTheme="majorEastAsia"/>
                <w:b/>
              </w:rPr>
            </w:pPr>
            <w:r>
              <w:rPr>
                <w:rFonts w:eastAsiaTheme="majorEastAsia"/>
                <w:b/>
              </w:rPr>
              <w:t>$000</w:t>
            </w:r>
          </w:p>
        </w:tc>
        <w:tc>
          <w:tcPr>
            <w:tcW w:w="1014" w:type="dxa"/>
            <w:gridSpan w:val="2"/>
            <w:shd w:val="clear" w:color="auto" w:fill="FFFFFF" w:themeFill="background2"/>
          </w:tcPr>
          <w:p w14:paraId="5F7ADB2B" w14:textId="77777777" w:rsidR="00434140" w:rsidRDefault="00434140" w:rsidP="00434140">
            <w:pPr>
              <w:jc w:val="right"/>
              <w:rPr>
                <w:rFonts w:eastAsiaTheme="majorEastAsia"/>
                <w:b/>
              </w:rPr>
            </w:pPr>
          </w:p>
          <w:p w14:paraId="5FE536ED" w14:textId="0736EFE5" w:rsidR="00434140" w:rsidRPr="00434140" w:rsidRDefault="00434140" w:rsidP="00434140">
            <w:pPr>
              <w:jc w:val="right"/>
              <w:rPr>
                <w:rFonts w:eastAsiaTheme="majorEastAsia"/>
                <w:b/>
              </w:rPr>
            </w:pPr>
            <w:r>
              <w:rPr>
                <w:rFonts w:eastAsiaTheme="majorEastAsia"/>
                <w:b/>
              </w:rPr>
              <w:t>$000</w:t>
            </w:r>
          </w:p>
        </w:tc>
      </w:tr>
      <w:tr w:rsidR="00434140" w:rsidRPr="002B151A" w14:paraId="59637E20"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shd w:val="clear" w:color="auto" w:fill="FFFFFF" w:themeFill="background2"/>
          </w:tcPr>
          <w:p w14:paraId="448BFCD0" w14:textId="58EA7DD2" w:rsidR="00434140" w:rsidRPr="00434140" w:rsidRDefault="00434140" w:rsidP="0086765F">
            <w:pPr>
              <w:rPr>
                <w:rFonts w:eastAsiaTheme="majorEastAsia"/>
              </w:rPr>
            </w:pPr>
            <w:r>
              <w:rPr>
                <w:rFonts w:eastAsiaTheme="majorEastAsia"/>
              </w:rPr>
              <w:t>Cash and cash equivalents</w:t>
            </w:r>
          </w:p>
        </w:tc>
        <w:tc>
          <w:tcPr>
            <w:tcW w:w="1230" w:type="dxa"/>
            <w:shd w:val="clear" w:color="auto" w:fill="BAD0CD" w:themeFill="accent5" w:themeFillShade="E6"/>
          </w:tcPr>
          <w:p w14:paraId="496E894F" w14:textId="36E9C638" w:rsidR="00434140" w:rsidRPr="002B151A" w:rsidRDefault="00434140" w:rsidP="00710FC1">
            <w:pPr>
              <w:jc w:val="right"/>
              <w:rPr>
                <w:rFonts w:eastAsiaTheme="majorEastAsia"/>
              </w:rPr>
            </w:pPr>
            <w:r w:rsidRPr="002B151A">
              <w:rPr>
                <w:rFonts w:eastAsiaTheme="majorEastAsia"/>
              </w:rPr>
              <w:t>3.18</w:t>
            </w:r>
          </w:p>
        </w:tc>
        <w:tc>
          <w:tcPr>
            <w:tcW w:w="1156" w:type="dxa"/>
            <w:shd w:val="clear" w:color="auto" w:fill="D4E2E0" w:themeFill="accent5"/>
          </w:tcPr>
          <w:p w14:paraId="30967C0F" w14:textId="3ABB2CC4" w:rsidR="00434140" w:rsidRPr="002B151A" w:rsidRDefault="002B151A" w:rsidP="00710FC1">
            <w:pPr>
              <w:jc w:val="right"/>
              <w:rPr>
                <w:rFonts w:eastAsiaTheme="majorEastAsia"/>
              </w:rPr>
            </w:pPr>
            <w:r w:rsidRPr="002B151A">
              <w:rPr>
                <w:rFonts w:eastAsiaTheme="majorEastAsia"/>
              </w:rPr>
              <w:t>8,917</w:t>
            </w:r>
          </w:p>
        </w:tc>
        <w:tc>
          <w:tcPr>
            <w:tcW w:w="1146" w:type="dxa"/>
            <w:shd w:val="clear" w:color="auto" w:fill="BAD0CD" w:themeFill="accent5" w:themeFillShade="E6"/>
          </w:tcPr>
          <w:p w14:paraId="1822158E" w14:textId="39B141A1" w:rsidR="00434140" w:rsidRPr="002B151A" w:rsidRDefault="002B151A" w:rsidP="00434140">
            <w:pPr>
              <w:jc w:val="right"/>
              <w:rPr>
                <w:rFonts w:eastAsiaTheme="majorEastAsia"/>
              </w:rPr>
            </w:pPr>
            <w:r>
              <w:rPr>
                <w:rFonts w:eastAsiaTheme="majorEastAsia"/>
              </w:rPr>
              <w:t>878</w:t>
            </w:r>
          </w:p>
        </w:tc>
        <w:tc>
          <w:tcPr>
            <w:tcW w:w="1115" w:type="dxa"/>
            <w:shd w:val="clear" w:color="auto" w:fill="BAD0CD" w:themeFill="accent5" w:themeFillShade="E6"/>
          </w:tcPr>
          <w:p w14:paraId="6EA1B4B6" w14:textId="602FA2F1" w:rsidR="00434140" w:rsidRPr="002B151A" w:rsidRDefault="002B151A" w:rsidP="00434140">
            <w:pPr>
              <w:jc w:val="right"/>
              <w:rPr>
                <w:rFonts w:eastAsiaTheme="majorEastAsia"/>
              </w:rPr>
            </w:pPr>
            <w:r>
              <w:rPr>
                <w:rFonts w:eastAsiaTheme="majorEastAsia"/>
              </w:rPr>
              <w:t>8,038</w:t>
            </w:r>
          </w:p>
        </w:tc>
        <w:tc>
          <w:tcPr>
            <w:tcW w:w="1126" w:type="dxa"/>
            <w:shd w:val="clear" w:color="auto" w:fill="BAD0CD" w:themeFill="accent5" w:themeFillShade="E6"/>
          </w:tcPr>
          <w:p w14:paraId="4C9E98F0" w14:textId="1E8ACF25" w:rsidR="00434140" w:rsidRPr="002B151A" w:rsidRDefault="002B151A" w:rsidP="00434140">
            <w:pPr>
              <w:jc w:val="right"/>
              <w:rPr>
                <w:rFonts w:eastAsiaTheme="majorEastAsia"/>
              </w:rPr>
            </w:pPr>
            <w:r>
              <w:rPr>
                <w:rFonts w:eastAsiaTheme="majorEastAsia"/>
              </w:rPr>
              <w:t>1</w:t>
            </w:r>
          </w:p>
        </w:tc>
        <w:tc>
          <w:tcPr>
            <w:tcW w:w="1148" w:type="dxa"/>
            <w:gridSpan w:val="2"/>
            <w:shd w:val="clear" w:color="auto" w:fill="D4E2E0" w:themeFill="accent5"/>
          </w:tcPr>
          <w:p w14:paraId="7B5DFB89" w14:textId="4E397EE1" w:rsidR="00434140" w:rsidRPr="002B151A" w:rsidRDefault="002B151A" w:rsidP="00434140">
            <w:pPr>
              <w:jc w:val="right"/>
              <w:rPr>
                <w:rFonts w:eastAsiaTheme="majorEastAsia"/>
              </w:rPr>
            </w:pPr>
            <w:r>
              <w:rPr>
                <w:rFonts w:eastAsiaTheme="majorEastAsia"/>
              </w:rPr>
              <w:t>8,917</w:t>
            </w:r>
          </w:p>
        </w:tc>
        <w:tc>
          <w:tcPr>
            <w:tcW w:w="1089" w:type="dxa"/>
            <w:shd w:val="clear" w:color="auto" w:fill="BAD0CD" w:themeFill="accent5" w:themeFillShade="E6"/>
          </w:tcPr>
          <w:p w14:paraId="5F87BA7E" w14:textId="0EC55FAC" w:rsidR="00434140" w:rsidRPr="002B151A" w:rsidRDefault="002B151A" w:rsidP="00434140">
            <w:pPr>
              <w:jc w:val="right"/>
              <w:rPr>
                <w:rFonts w:eastAsiaTheme="majorEastAsia"/>
              </w:rPr>
            </w:pPr>
            <w:r>
              <w:rPr>
                <w:rFonts w:eastAsiaTheme="majorEastAsia"/>
              </w:rPr>
              <w:t>3,023</w:t>
            </w:r>
          </w:p>
        </w:tc>
        <w:tc>
          <w:tcPr>
            <w:tcW w:w="1111" w:type="dxa"/>
            <w:shd w:val="clear" w:color="auto" w:fill="BAD0CD" w:themeFill="accent5" w:themeFillShade="E6"/>
          </w:tcPr>
          <w:p w14:paraId="750A5A0C" w14:textId="44F40C78" w:rsidR="00434140" w:rsidRPr="002B151A" w:rsidRDefault="002B151A" w:rsidP="00434140">
            <w:pPr>
              <w:jc w:val="right"/>
              <w:rPr>
                <w:rFonts w:eastAsiaTheme="majorEastAsia"/>
              </w:rPr>
            </w:pPr>
            <w:r>
              <w:rPr>
                <w:rFonts w:eastAsiaTheme="majorEastAsia"/>
              </w:rPr>
              <w:t>5,894</w:t>
            </w:r>
          </w:p>
        </w:tc>
        <w:tc>
          <w:tcPr>
            <w:tcW w:w="1111" w:type="dxa"/>
            <w:shd w:val="clear" w:color="auto" w:fill="BAD0CD" w:themeFill="accent5" w:themeFillShade="E6"/>
          </w:tcPr>
          <w:p w14:paraId="292D7C3E" w14:textId="618F4044" w:rsidR="00434140" w:rsidRPr="002B151A" w:rsidRDefault="002B151A" w:rsidP="00434140">
            <w:pPr>
              <w:jc w:val="right"/>
              <w:rPr>
                <w:rFonts w:eastAsiaTheme="majorEastAsia"/>
              </w:rPr>
            </w:pPr>
            <w:r>
              <w:rPr>
                <w:rFonts w:eastAsiaTheme="majorEastAsia"/>
              </w:rPr>
              <w:t>-</w:t>
            </w:r>
          </w:p>
        </w:tc>
        <w:tc>
          <w:tcPr>
            <w:tcW w:w="1111" w:type="dxa"/>
            <w:shd w:val="clear" w:color="auto" w:fill="BAD0CD" w:themeFill="accent5" w:themeFillShade="E6"/>
          </w:tcPr>
          <w:p w14:paraId="51040FFE" w14:textId="4FA16764" w:rsidR="00434140" w:rsidRPr="002B151A" w:rsidRDefault="002B151A" w:rsidP="00434140">
            <w:pPr>
              <w:jc w:val="right"/>
              <w:rPr>
                <w:rFonts w:eastAsiaTheme="majorEastAsia"/>
              </w:rPr>
            </w:pPr>
            <w:r>
              <w:rPr>
                <w:rFonts w:eastAsiaTheme="majorEastAsia"/>
              </w:rPr>
              <w:t>-</w:t>
            </w:r>
          </w:p>
        </w:tc>
        <w:tc>
          <w:tcPr>
            <w:tcW w:w="1014" w:type="dxa"/>
            <w:gridSpan w:val="2"/>
            <w:shd w:val="clear" w:color="auto" w:fill="BAD0CD" w:themeFill="accent5" w:themeFillShade="E6"/>
          </w:tcPr>
          <w:p w14:paraId="23E66954" w14:textId="7E083660" w:rsidR="00434140" w:rsidRPr="002B151A" w:rsidRDefault="002B151A" w:rsidP="00434140">
            <w:pPr>
              <w:jc w:val="right"/>
              <w:rPr>
                <w:rFonts w:eastAsiaTheme="majorEastAsia"/>
              </w:rPr>
            </w:pPr>
            <w:r>
              <w:rPr>
                <w:rFonts w:eastAsiaTheme="majorEastAsia"/>
              </w:rPr>
              <w:t>-</w:t>
            </w:r>
          </w:p>
        </w:tc>
      </w:tr>
      <w:tr w:rsidR="002B151A" w:rsidRPr="002B151A" w14:paraId="057F5BB6"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shd w:val="clear" w:color="auto" w:fill="FFFFFF" w:themeFill="background2"/>
          </w:tcPr>
          <w:p w14:paraId="403ACD53" w14:textId="2CBC76EE" w:rsidR="002B151A" w:rsidRDefault="00341837" w:rsidP="0086765F">
            <w:pPr>
              <w:rPr>
                <w:rFonts w:eastAsiaTheme="majorEastAsia"/>
              </w:rPr>
            </w:pPr>
            <w:r>
              <w:rPr>
                <w:rFonts w:eastAsiaTheme="majorEastAsia"/>
              </w:rPr>
              <w:t>Restricted cash</w:t>
            </w:r>
          </w:p>
        </w:tc>
        <w:tc>
          <w:tcPr>
            <w:tcW w:w="1230" w:type="dxa"/>
            <w:shd w:val="clear" w:color="auto" w:fill="BAD0CD" w:themeFill="accent5" w:themeFillShade="E6"/>
          </w:tcPr>
          <w:p w14:paraId="2AE3BE6C" w14:textId="552B6226" w:rsidR="002B151A" w:rsidRPr="002B151A" w:rsidRDefault="00341837" w:rsidP="00710FC1">
            <w:pPr>
              <w:jc w:val="right"/>
              <w:rPr>
                <w:rFonts w:eastAsiaTheme="majorEastAsia"/>
              </w:rPr>
            </w:pPr>
            <w:r>
              <w:rPr>
                <w:rFonts w:eastAsiaTheme="majorEastAsia"/>
              </w:rPr>
              <w:t>2.82</w:t>
            </w:r>
          </w:p>
        </w:tc>
        <w:tc>
          <w:tcPr>
            <w:tcW w:w="1156" w:type="dxa"/>
            <w:shd w:val="clear" w:color="auto" w:fill="D4E2E0" w:themeFill="accent5"/>
          </w:tcPr>
          <w:p w14:paraId="7E0D03D5" w14:textId="7C6135E6" w:rsidR="002B151A" w:rsidRPr="002B151A" w:rsidRDefault="00341837" w:rsidP="00710FC1">
            <w:pPr>
              <w:jc w:val="right"/>
              <w:rPr>
                <w:rFonts w:eastAsiaTheme="majorEastAsia"/>
              </w:rPr>
            </w:pPr>
            <w:r>
              <w:rPr>
                <w:rFonts w:eastAsiaTheme="majorEastAsia"/>
              </w:rPr>
              <w:t>72,607</w:t>
            </w:r>
          </w:p>
        </w:tc>
        <w:tc>
          <w:tcPr>
            <w:tcW w:w="1146" w:type="dxa"/>
            <w:shd w:val="clear" w:color="auto" w:fill="BAD0CD" w:themeFill="accent5" w:themeFillShade="E6"/>
          </w:tcPr>
          <w:p w14:paraId="5458F0F9" w14:textId="385DC08D" w:rsidR="002B151A" w:rsidRDefault="00341837" w:rsidP="00434140">
            <w:pPr>
              <w:jc w:val="right"/>
              <w:rPr>
                <w:rFonts w:eastAsiaTheme="majorEastAsia"/>
              </w:rPr>
            </w:pPr>
            <w:r>
              <w:rPr>
                <w:rFonts w:eastAsiaTheme="majorEastAsia"/>
              </w:rPr>
              <w:t>72,607</w:t>
            </w:r>
          </w:p>
        </w:tc>
        <w:tc>
          <w:tcPr>
            <w:tcW w:w="1115" w:type="dxa"/>
            <w:shd w:val="clear" w:color="auto" w:fill="BAD0CD" w:themeFill="accent5" w:themeFillShade="E6"/>
          </w:tcPr>
          <w:p w14:paraId="73215E31" w14:textId="7FB0AEC5" w:rsidR="002B151A" w:rsidRDefault="00341837" w:rsidP="00434140">
            <w:pPr>
              <w:jc w:val="right"/>
              <w:rPr>
                <w:rFonts w:eastAsiaTheme="majorEastAsia"/>
              </w:rPr>
            </w:pPr>
            <w:r>
              <w:rPr>
                <w:rFonts w:eastAsiaTheme="majorEastAsia"/>
              </w:rPr>
              <w:t>-</w:t>
            </w:r>
          </w:p>
        </w:tc>
        <w:tc>
          <w:tcPr>
            <w:tcW w:w="1126" w:type="dxa"/>
            <w:shd w:val="clear" w:color="auto" w:fill="BAD0CD" w:themeFill="accent5" w:themeFillShade="E6"/>
          </w:tcPr>
          <w:p w14:paraId="6227608E" w14:textId="382DBBB2" w:rsidR="002B151A" w:rsidRDefault="00341837" w:rsidP="00434140">
            <w:pPr>
              <w:jc w:val="right"/>
              <w:rPr>
                <w:rFonts w:eastAsiaTheme="majorEastAsia"/>
              </w:rPr>
            </w:pPr>
            <w:r>
              <w:rPr>
                <w:rFonts w:eastAsiaTheme="majorEastAsia"/>
              </w:rPr>
              <w:t>-</w:t>
            </w:r>
          </w:p>
        </w:tc>
        <w:tc>
          <w:tcPr>
            <w:tcW w:w="1148" w:type="dxa"/>
            <w:gridSpan w:val="2"/>
            <w:shd w:val="clear" w:color="auto" w:fill="D4E2E0" w:themeFill="accent5"/>
          </w:tcPr>
          <w:p w14:paraId="1BB010DD" w14:textId="4D86665E" w:rsidR="002B151A" w:rsidRDefault="00341837" w:rsidP="00434140">
            <w:pPr>
              <w:jc w:val="right"/>
              <w:rPr>
                <w:rFonts w:eastAsiaTheme="majorEastAsia"/>
              </w:rPr>
            </w:pPr>
            <w:r>
              <w:rPr>
                <w:rFonts w:eastAsiaTheme="majorEastAsia"/>
              </w:rPr>
              <w:t>72,607</w:t>
            </w:r>
          </w:p>
        </w:tc>
        <w:tc>
          <w:tcPr>
            <w:tcW w:w="1089" w:type="dxa"/>
            <w:shd w:val="clear" w:color="auto" w:fill="BAD0CD" w:themeFill="accent5" w:themeFillShade="E6"/>
          </w:tcPr>
          <w:p w14:paraId="4C83A9A1" w14:textId="381201A9" w:rsidR="002B151A" w:rsidRDefault="00341837" w:rsidP="00434140">
            <w:pPr>
              <w:jc w:val="right"/>
              <w:rPr>
                <w:rFonts w:eastAsiaTheme="majorEastAsia"/>
              </w:rPr>
            </w:pPr>
            <w:r>
              <w:rPr>
                <w:rFonts w:eastAsiaTheme="majorEastAsia"/>
              </w:rPr>
              <w:t>72,607</w:t>
            </w:r>
          </w:p>
        </w:tc>
        <w:tc>
          <w:tcPr>
            <w:tcW w:w="1111" w:type="dxa"/>
            <w:shd w:val="clear" w:color="auto" w:fill="BAD0CD" w:themeFill="accent5" w:themeFillShade="E6"/>
          </w:tcPr>
          <w:p w14:paraId="720F59EE" w14:textId="25D67E3F" w:rsidR="002B151A" w:rsidRDefault="00341837" w:rsidP="00434140">
            <w:pPr>
              <w:jc w:val="right"/>
              <w:rPr>
                <w:rFonts w:eastAsiaTheme="majorEastAsia"/>
              </w:rPr>
            </w:pPr>
            <w:r>
              <w:rPr>
                <w:rFonts w:eastAsiaTheme="majorEastAsia"/>
              </w:rPr>
              <w:t>-</w:t>
            </w:r>
          </w:p>
        </w:tc>
        <w:tc>
          <w:tcPr>
            <w:tcW w:w="1111" w:type="dxa"/>
            <w:shd w:val="clear" w:color="auto" w:fill="BAD0CD" w:themeFill="accent5" w:themeFillShade="E6"/>
          </w:tcPr>
          <w:p w14:paraId="51F9F480" w14:textId="30B6062A" w:rsidR="002B151A" w:rsidRDefault="00341837" w:rsidP="00434140">
            <w:pPr>
              <w:jc w:val="right"/>
              <w:rPr>
                <w:rFonts w:eastAsiaTheme="majorEastAsia"/>
              </w:rPr>
            </w:pPr>
            <w:r>
              <w:rPr>
                <w:rFonts w:eastAsiaTheme="majorEastAsia"/>
              </w:rPr>
              <w:t>-</w:t>
            </w:r>
          </w:p>
        </w:tc>
        <w:tc>
          <w:tcPr>
            <w:tcW w:w="1111" w:type="dxa"/>
            <w:shd w:val="clear" w:color="auto" w:fill="BAD0CD" w:themeFill="accent5" w:themeFillShade="E6"/>
          </w:tcPr>
          <w:p w14:paraId="7D25A1B2" w14:textId="5217337A" w:rsidR="002B151A" w:rsidRDefault="00341837" w:rsidP="00434140">
            <w:pPr>
              <w:jc w:val="right"/>
              <w:rPr>
                <w:rFonts w:eastAsiaTheme="majorEastAsia"/>
              </w:rPr>
            </w:pPr>
            <w:r>
              <w:rPr>
                <w:rFonts w:eastAsiaTheme="majorEastAsia"/>
              </w:rPr>
              <w:t>-</w:t>
            </w:r>
          </w:p>
        </w:tc>
        <w:tc>
          <w:tcPr>
            <w:tcW w:w="1014" w:type="dxa"/>
            <w:gridSpan w:val="2"/>
            <w:shd w:val="clear" w:color="auto" w:fill="BAD0CD" w:themeFill="accent5" w:themeFillShade="E6"/>
          </w:tcPr>
          <w:p w14:paraId="27B929A5" w14:textId="5F1EAE54" w:rsidR="002B151A" w:rsidRDefault="00341837" w:rsidP="00434140">
            <w:pPr>
              <w:jc w:val="right"/>
              <w:rPr>
                <w:rFonts w:eastAsiaTheme="majorEastAsia"/>
              </w:rPr>
            </w:pPr>
            <w:r>
              <w:rPr>
                <w:rFonts w:eastAsiaTheme="majorEastAsia"/>
              </w:rPr>
              <w:t>-</w:t>
            </w:r>
          </w:p>
        </w:tc>
      </w:tr>
      <w:tr w:rsidR="00341837" w:rsidRPr="002B151A" w14:paraId="541DB45B"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shd w:val="clear" w:color="auto" w:fill="FFFFFF" w:themeFill="background2"/>
          </w:tcPr>
          <w:p w14:paraId="2F796FB4" w14:textId="129CE6AC" w:rsidR="00341837" w:rsidRDefault="00341837" w:rsidP="0086765F">
            <w:pPr>
              <w:rPr>
                <w:rFonts w:eastAsiaTheme="majorEastAsia"/>
              </w:rPr>
            </w:pPr>
            <w:r>
              <w:rPr>
                <w:rFonts w:eastAsiaTheme="majorEastAsia"/>
              </w:rPr>
              <w:t>Receivables(</w:t>
            </w:r>
            <w:r w:rsidRPr="00341837">
              <w:rPr>
                <w:rFonts w:eastAsiaTheme="majorEastAsia"/>
                <w:vertAlign w:val="superscript"/>
              </w:rPr>
              <w:t>a)</w:t>
            </w:r>
          </w:p>
        </w:tc>
        <w:tc>
          <w:tcPr>
            <w:tcW w:w="1230" w:type="dxa"/>
            <w:shd w:val="clear" w:color="auto" w:fill="BAD0CD" w:themeFill="accent5" w:themeFillShade="E6"/>
          </w:tcPr>
          <w:p w14:paraId="60BF191E" w14:textId="2849FF45" w:rsidR="00341837" w:rsidRDefault="00341837" w:rsidP="00710FC1">
            <w:pPr>
              <w:jc w:val="right"/>
              <w:rPr>
                <w:rFonts w:eastAsiaTheme="majorEastAsia"/>
              </w:rPr>
            </w:pPr>
            <w:r>
              <w:rPr>
                <w:rFonts w:eastAsiaTheme="majorEastAsia"/>
              </w:rPr>
              <w:t>-</w:t>
            </w:r>
          </w:p>
        </w:tc>
        <w:tc>
          <w:tcPr>
            <w:tcW w:w="1156" w:type="dxa"/>
            <w:shd w:val="clear" w:color="auto" w:fill="D4E2E0" w:themeFill="accent5"/>
          </w:tcPr>
          <w:p w14:paraId="1E336DBD" w14:textId="39D2C90B" w:rsidR="00341837" w:rsidRDefault="00341837" w:rsidP="00710FC1">
            <w:pPr>
              <w:jc w:val="right"/>
              <w:rPr>
                <w:rFonts w:eastAsiaTheme="majorEastAsia"/>
              </w:rPr>
            </w:pPr>
            <w:r>
              <w:rPr>
                <w:rFonts w:eastAsiaTheme="majorEastAsia"/>
              </w:rPr>
              <w:t>1,183</w:t>
            </w:r>
          </w:p>
        </w:tc>
        <w:tc>
          <w:tcPr>
            <w:tcW w:w="1146" w:type="dxa"/>
            <w:shd w:val="clear" w:color="auto" w:fill="BAD0CD" w:themeFill="accent5" w:themeFillShade="E6"/>
          </w:tcPr>
          <w:p w14:paraId="3605BD55" w14:textId="66776FB4" w:rsidR="00341837" w:rsidRDefault="00341837" w:rsidP="00434140">
            <w:pPr>
              <w:jc w:val="right"/>
              <w:rPr>
                <w:rFonts w:eastAsiaTheme="majorEastAsia"/>
              </w:rPr>
            </w:pPr>
            <w:r>
              <w:rPr>
                <w:rFonts w:eastAsiaTheme="majorEastAsia"/>
              </w:rPr>
              <w:t>-</w:t>
            </w:r>
          </w:p>
        </w:tc>
        <w:tc>
          <w:tcPr>
            <w:tcW w:w="1115" w:type="dxa"/>
            <w:shd w:val="clear" w:color="auto" w:fill="BAD0CD" w:themeFill="accent5" w:themeFillShade="E6"/>
          </w:tcPr>
          <w:p w14:paraId="153D3F45" w14:textId="0F053BE3" w:rsidR="00341837" w:rsidRDefault="00341837" w:rsidP="00434140">
            <w:pPr>
              <w:jc w:val="right"/>
              <w:rPr>
                <w:rFonts w:eastAsiaTheme="majorEastAsia"/>
              </w:rPr>
            </w:pPr>
            <w:r>
              <w:rPr>
                <w:rFonts w:eastAsiaTheme="majorEastAsia"/>
              </w:rPr>
              <w:t>-</w:t>
            </w:r>
          </w:p>
        </w:tc>
        <w:tc>
          <w:tcPr>
            <w:tcW w:w="1126" w:type="dxa"/>
            <w:shd w:val="clear" w:color="auto" w:fill="BAD0CD" w:themeFill="accent5" w:themeFillShade="E6"/>
          </w:tcPr>
          <w:p w14:paraId="69B1084A" w14:textId="56D731BB" w:rsidR="00341837" w:rsidRDefault="00341837" w:rsidP="00434140">
            <w:pPr>
              <w:jc w:val="right"/>
              <w:rPr>
                <w:rFonts w:eastAsiaTheme="majorEastAsia"/>
              </w:rPr>
            </w:pPr>
            <w:r>
              <w:rPr>
                <w:rFonts w:eastAsiaTheme="majorEastAsia"/>
              </w:rPr>
              <w:t>1,183</w:t>
            </w:r>
          </w:p>
        </w:tc>
        <w:tc>
          <w:tcPr>
            <w:tcW w:w="1148" w:type="dxa"/>
            <w:gridSpan w:val="2"/>
            <w:shd w:val="clear" w:color="auto" w:fill="D4E2E0" w:themeFill="accent5"/>
          </w:tcPr>
          <w:p w14:paraId="4797F100" w14:textId="189BAA9A" w:rsidR="00341837" w:rsidRDefault="00341837" w:rsidP="00434140">
            <w:pPr>
              <w:jc w:val="right"/>
              <w:rPr>
                <w:rFonts w:eastAsiaTheme="majorEastAsia"/>
              </w:rPr>
            </w:pPr>
            <w:r>
              <w:rPr>
                <w:rFonts w:eastAsiaTheme="majorEastAsia"/>
              </w:rPr>
              <w:t>1,183</w:t>
            </w:r>
          </w:p>
        </w:tc>
        <w:tc>
          <w:tcPr>
            <w:tcW w:w="1089" w:type="dxa"/>
            <w:shd w:val="clear" w:color="auto" w:fill="BAD0CD" w:themeFill="accent5" w:themeFillShade="E6"/>
          </w:tcPr>
          <w:p w14:paraId="2B0558FB" w14:textId="26EC9D5B" w:rsidR="00341837" w:rsidRDefault="00341837" w:rsidP="00434140">
            <w:pPr>
              <w:jc w:val="right"/>
              <w:rPr>
                <w:rFonts w:eastAsiaTheme="majorEastAsia"/>
              </w:rPr>
            </w:pPr>
            <w:r>
              <w:rPr>
                <w:rFonts w:eastAsiaTheme="majorEastAsia"/>
              </w:rPr>
              <w:t>1,183</w:t>
            </w:r>
          </w:p>
        </w:tc>
        <w:tc>
          <w:tcPr>
            <w:tcW w:w="1111" w:type="dxa"/>
            <w:shd w:val="clear" w:color="auto" w:fill="BAD0CD" w:themeFill="accent5" w:themeFillShade="E6"/>
          </w:tcPr>
          <w:p w14:paraId="07334FB5" w14:textId="5E5D6381" w:rsidR="00341837" w:rsidRDefault="00341837" w:rsidP="00434140">
            <w:pPr>
              <w:jc w:val="right"/>
              <w:rPr>
                <w:rFonts w:eastAsiaTheme="majorEastAsia"/>
              </w:rPr>
            </w:pPr>
            <w:r>
              <w:rPr>
                <w:rFonts w:eastAsiaTheme="majorEastAsia"/>
              </w:rPr>
              <w:t>-</w:t>
            </w:r>
          </w:p>
        </w:tc>
        <w:tc>
          <w:tcPr>
            <w:tcW w:w="1111" w:type="dxa"/>
            <w:shd w:val="clear" w:color="auto" w:fill="BAD0CD" w:themeFill="accent5" w:themeFillShade="E6"/>
          </w:tcPr>
          <w:p w14:paraId="568580E9" w14:textId="3FBF3596" w:rsidR="00341837" w:rsidRDefault="00341837" w:rsidP="00434140">
            <w:pPr>
              <w:jc w:val="right"/>
              <w:rPr>
                <w:rFonts w:eastAsiaTheme="majorEastAsia"/>
              </w:rPr>
            </w:pPr>
            <w:r>
              <w:rPr>
                <w:rFonts w:eastAsiaTheme="majorEastAsia"/>
              </w:rPr>
              <w:t>-</w:t>
            </w:r>
          </w:p>
        </w:tc>
        <w:tc>
          <w:tcPr>
            <w:tcW w:w="1111" w:type="dxa"/>
            <w:shd w:val="clear" w:color="auto" w:fill="BAD0CD" w:themeFill="accent5" w:themeFillShade="E6"/>
          </w:tcPr>
          <w:p w14:paraId="5AAF4049" w14:textId="2577A0A6" w:rsidR="00341837" w:rsidRDefault="00341837" w:rsidP="00434140">
            <w:pPr>
              <w:jc w:val="right"/>
              <w:rPr>
                <w:rFonts w:eastAsiaTheme="majorEastAsia"/>
              </w:rPr>
            </w:pPr>
            <w:r>
              <w:rPr>
                <w:rFonts w:eastAsiaTheme="majorEastAsia"/>
              </w:rPr>
              <w:t>-</w:t>
            </w:r>
          </w:p>
        </w:tc>
        <w:tc>
          <w:tcPr>
            <w:tcW w:w="1014" w:type="dxa"/>
            <w:gridSpan w:val="2"/>
            <w:shd w:val="clear" w:color="auto" w:fill="BAD0CD" w:themeFill="accent5" w:themeFillShade="E6"/>
          </w:tcPr>
          <w:p w14:paraId="104221F7" w14:textId="795ABC05" w:rsidR="00341837" w:rsidRDefault="00341837" w:rsidP="00434140">
            <w:pPr>
              <w:jc w:val="right"/>
              <w:rPr>
                <w:rFonts w:eastAsiaTheme="majorEastAsia"/>
              </w:rPr>
            </w:pPr>
            <w:r>
              <w:rPr>
                <w:rFonts w:eastAsiaTheme="majorEastAsia"/>
              </w:rPr>
              <w:t>-</w:t>
            </w:r>
          </w:p>
        </w:tc>
      </w:tr>
      <w:tr w:rsidR="00341837" w:rsidRPr="002B151A" w14:paraId="51ED3914"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shd w:val="clear" w:color="auto" w:fill="FFFFFF" w:themeFill="background2"/>
          </w:tcPr>
          <w:p w14:paraId="35AB0EA1" w14:textId="7B281A33" w:rsidR="00341837" w:rsidRDefault="00341837" w:rsidP="0086765F">
            <w:pPr>
              <w:rPr>
                <w:rFonts w:eastAsiaTheme="majorEastAsia"/>
              </w:rPr>
            </w:pPr>
            <w:r>
              <w:rPr>
                <w:rFonts w:eastAsiaTheme="majorEastAsia"/>
              </w:rPr>
              <w:t>Other financial assets</w:t>
            </w:r>
          </w:p>
        </w:tc>
        <w:tc>
          <w:tcPr>
            <w:tcW w:w="1230" w:type="dxa"/>
            <w:shd w:val="clear" w:color="auto" w:fill="BAD0CD" w:themeFill="accent5" w:themeFillShade="E6"/>
          </w:tcPr>
          <w:p w14:paraId="7E5D0E27" w14:textId="4C820858" w:rsidR="00341837" w:rsidRDefault="00341837" w:rsidP="00710FC1">
            <w:pPr>
              <w:jc w:val="right"/>
              <w:rPr>
                <w:rFonts w:eastAsiaTheme="majorEastAsia"/>
              </w:rPr>
            </w:pPr>
            <w:r>
              <w:rPr>
                <w:rFonts w:eastAsiaTheme="majorEastAsia"/>
              </w:rPr>
              <w:t>3.64</w:t>
            </w:r>
          </w:p>
        </w:tc>
        <w:tc>
          <w:tcPr>
            <w:tcW w:w="1156" w:type="dxa"/>
            <w:shd w:val="clear" w:color="auto" w:fill="D4E2E0" w:themeFill="accent5"/>
          </w:tcPr>
          <w:p w14:paraId="52F4DBF0" w14:textId="3386EE83" w:rsidR="00341837" w:rsidRDefault="00341837" w:rsidP="00710FC1">
            <w:pPr>
              <w:jc w:val="right"/>
              <w:rPr>
                <w:rFonts w:eastAsiaTheme="majorEastAsia"/>
              </w:rPr>
            </w:pPr>
            <w:r>
              <w:rPr>
                <w:rFonts w:eastAsiaTheme="majorEastAsia"/>
              </w:rPr>
              <w:t>9,908</w:t>
            </w:r>
          </w:p>
        </w:tc>
        <w:tc>
          <w:tcPr>
            <w:tcW w:w="1146" w:type="dxa"/>
            <w:shd w:val="clear" w:color="auto" w:fill="BAD0CD" w:themeFill="accent5" w:themeFillShade="E6"/>
          </w:tcPr>
          <w:p w14:paraId="16A66413" w14:textId="5A78E98F" w:rsidR="00341837" w:rsidRDefault="00341837" w:rsidP="00434140">
            <w:pPr>
              <w:jc w:val="right"/>
              <w:rPr>
                <w:rFonts w:eastAsiaTheme="majorEastAsia"/>
              </w:rPr>
            </w:pPr>
            <w:r>
              <w:rPr>
                <w:rFonts w:eastAsiaTheme="majorEastAsia"/>
              </w:rPr>
              <w:t>-</w:t>
            </w:r>
          </w:p>
        </w:tc>
        <w:tc>
          <w:tcPr>
            <w:tcW w:w="1115" w:type="dxa"/>
            <w:shd w:val="clear" w:color="auto" w:fill="BAD0CD" w:themeFill="accent5" w:themeFillShade="E6"/>
          </w:tcPr>
          <w:p w14:paraId="0859F73C" w14:textId="6BA50836" w:rsidR="00341837" w:rsidRDefault="00341837" w:rsidP="00434140">
            <w:pPr>
              <w:jc w:val="right"/>
              <w:rPr>
                <w:rFonts w:eastAsiaTheme="majorEastAsia"/>
              </w:rPr>
            </w:pPr>
            <w:r>
              <w:rPr>
                <w:rFonts w:eastAsiaTheme="majorEastAsia"/>
              </w:rPr>
              <w:t>9,908</w:t>
            </w:r>
          </w:p>
        </w:tc>
        <w:tc>
          <w:tcPr>
            <w:tcW w:w="1126" w:type="dxa"/>
            <w:shd w:val="clear" w:color="auto" w:fill="BAD0CD" w:themeFill="accent5" w:themeFillShade="E6"/>
          </w:tcPr>
          <w:p w14:paraId="7E6E7376" w14:textId="3538E3B9" w:rsidR="00341837" w:rsidRDefault="00341837" w:rsidP="00434140">
            <w:pPr>
              <w:jc w:val="right"/>
              <w:rPr>
                <w:rFonts w:eastAsiaTheme="majorEastAsia"/>
              </w:rPr>
            </w:pPr>
            <w:r>
              <w:rPr>
                <w:rFonts w:eastAsiaTheme="majorEastAsia"/>
              </w:rPr>
              <w:t>-</w:t>
            </w:r>
          </w:p>
        </w:tc>
        <w:tc>
          <w:tcPr>
            <w:tcW w:w="1148" w:type="dxa"/>
            <w:gridSpan w:val="2"/>
            <w:shd w:val="clear" w:color="auto" w:fill="D4E2E0" w:themeFill="accent5"/>
          </w:tcPr>
          <w:p w14:paraId="6E507EAF" w14:textId="6284FD75" w:rsidR="00341837" w:rsidRDefault="00341837" w:rsidP="00434140">
            <w:pPr>
              <w:jc w:val="right"/>
              <w:rPr>
                <w:rFonts w:eastAsiaTheme="majorEastAsia"/>
              </w:rPr>
            </w:pPr>
            <w:r>
              <w:rPr>
                <w:rFonts w:eastAsiaTheme="majorEastAsia"/>
              </w:rPr>
              <w:t>9,908</w:t>
            </w:r>
          </w:p>
        </w:tc>
        <w:tc>
          <w:tcPr>
            <w:tcW w:w="1089" w:type="dxa"/>
            <w:shd w:val="clear" w:color="auto" w:fill="BAD0CD" w:themeFill="accent5" w:themeFillShade="E6"/>
          </w:tcPr>
          <w:p w14:paraId="2118F357" w14:textId="22FC55C3" w:rsidR="00341837" w:rsidRDefault="00341837" w:rsidP="00434140">
            <w:pPr>
              <w:jc w:val="right"/>
              <w:rPr>
                <w:rFonts w:eastAsiaTheme="majorEastAsia"/>
              </w:rPr>
            </w:pPr>
            <w:r>
              <w:rPr>
                <w:rFonts w:eastAsiaTheme="majorEastAsia"/>
              </w:rPr>
              <w:t>-</w:t>
            </w:r>
          </w:p>
        </w:tc>
        <w:tc>
          <w:tcPr>
            <w:tcW w:w="1111" w:type="dxa"/>
            <w:shd w:val="clear" w:color="auto" w:fill="BAD0CD" w:themeFill="accent5" w:themeFillShade="E6"/>
          </w:tcPr>
          <w:p w14:paraId="553C1C82" w14:textId="4572CEAA" w:rsidR="00341837" w:rsidRDefault="00341837" w:rsidP="00434140">
            <w:pPr>
              <w:jc w:val="right"/>
              <w:rPr>
                <w:rFonts w:eastAsiaTheme="majorEastAsia"/>
              </w:rPr>
            </w:pPr>
            <w:r>
              <w:rPr>
                <w:rFonts w:eastAsiaTheme="majorEastAsia"/>
              </w:rPr>
              <w:t>-</w:t>
            </w:r>
          </w:p>
        </w:tc>
        <w:tc>
          <w:tcPr>
            <w:tcW w:w="1111" w:type="dxa"/>
            <w:shd w:val="clear" w:color="auto" w:fill="BAD0CD" w:themeFill="accent5" w:themeFillShade="E6"/>
          </w:tcPr>
          <w:p w14:paraId="7E1E8123" w14:textId="606F2BC5" w:rsidR="00341837" w:rsidRDefault="00341837" w:rsidP="00434140">
            <w:pPr>
              <w:jc w:val="right"/>
              <w:rPr>
                <w:rFonts w:eastAsiaTheme="majorEastAsia"/>
              </w:rPr>
            </w:pPr>
            <w:r>
              <w:rPr>
                <w:rFonts w:eastAsiaTheme="majorEastAsia"/>
              </w:rPr>
              <w:t>9,908</w:t>
            </w:r>
          </w:p>
        </w:tc>
        <w:tc>
          <w:tcPr>
            <w:tcW w:w="1111" w:type="dxa"/>
            <w:shd w:val="clear" w:color="auto" w:fill="BAD0CD" w:themeFill="accent5" w:themeFillShade="E6"/>
          </w:tcPr>
          <w:p w14:paraId="734D1AB7" w14:textId="23EF0081" w:rsidR="00341837" w:rsidRDefault="00341837" w:rsidP="00434140">
            <w:pPr>
              <w:jc w:val="right"/>
              <w:rPr>
                <w:rFonts w:eastAsiaTheme="majorEastAsia"/>
              </w:rPr>
            </w:pPr>
            <w:r>
              <w:rPr>
                <w:rFonts w:eastAsiaTheme="majorEastAsia"/>
              </w:rPr>
              <w:t>-</w:t>
            </w:r>
          </w:p>
        </w:tc>
        <w:tc>
          <w:tcPr>
            <w:tcW w:w="1014" w:type="dxa"/>
            <w:gridSpan w:val="2"/>
            <w:shd w:val="clear" w:color="auto" w:fill="BAD0CD" w:themeFill="accent5" w:themeFillShade="E6"/>
          </w:tcPr>
          <w:p w14:paraId="7006DA2F" w14:textId="22F329D6" w:rsidR="00341837" w:rsidRDefault="00341837" w:rsidP="00434140">
            <w:pPr>
              <w:jc w:val="right"/>
              <w:rPr>
                <w:rFonts w:eastAsiaTheme="majorEastAsia"/>
              </w:rPr>
            </w:pPr>
            <w:r>
              <w:rPr>
                <w:rFonts w:eastAsiaTheme="majorEastAsia"/>
              </w:rPr>
              <w:t>-</w:t>
            </w:r>
          </w:p>
        </w:tc>
      </w:tr>
      <w:tr w:rsidR="00341837" w:rsidRPr="002B151A" w14:paraId="6B52AD4F"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shd w:val="clear" w:color="auto" w:fill="FFFFFF" w:themeFill="background2"/>
          </w:tcPr>
          <w:p w14:paraId="60435ED7" w14:textId="77777777" w:rsidR="00341837" w:rsidRDefault="00341837" w:rsidP="0086765F">
            <w:pPr>
              <w:rPr>
                <w:rFonts w:eastAsiaTheme="majorEastAsia"/>
              </w:rPr>
            </w:pPr>
          </w:p>
        </w:tc>
        <w:tc>
          <w:tcPr>
            <w:tcW w:w="1230" w:type="dxa"/>
            <w:shd w:val="clear" w:color="auto" w:fill="FFFFFF" w:themeFill="background2"/>
          </w:tcPr>
          <w:p w14:paraId="139A36C0" w14:textId="77777777" w:rsidR="00341837" w:rsidRPr="00341837" w:rsidRDefault="00341837" w:rsidP="00710FC1">
            <w:pPr>
              <w:jc w:val="right"/>
              <w:rPr>
                <w:rFonts w:eastAsiaTheme="majorEastAsia"/>
                <w:b/>
              </w:rPr>
            </w:pPr>
          </w:p>
        </w:tc>
        <w:tc>
          <w:tcPr>
            <w:tcW w:w="1156" w:type="dxa"/>
            <w:tcBorders>
              <w:bottom w:val="single" w:sz="4" w:space="0" w:color="auto"/>
            </w:tcBorders>
            <w:shd w:val="clear" w:color="auto" w:fill="D4E2E0" w:themeFill="accent5"/>
          </w:tcPr>
          <w:p w14:paraId="1E3312A8" w14:textId="5DCFA975" w:rsidR="00341837" w:rsidRPr="00341837" w:rsidRDefault="00341837" w:rsidP="00710FC1">
            <w:pPr>
              <w:jc w:val="right"/>
              <w:rPr>
                <w:rFonts w:eastAsiaTheme="majorEastAsia"/>
                <w:b/>
              </w:rPr>
            </w:pPr>
            <w:r w:rsidRPr="00341837">
              <w:rPr>
                <w:rFonts w:eastAsiaTheme="majorEastAsia"/>
                <w:b/>
              </w:rPr>
              <w:t>92,615</w:t>
            </w:r>
          </w:p>
        </w:tc>
        <w:tc>
          <w:tcPr>
            <w:tcW w:w="1146" w:type="dxa"/>
            <w:tcBorders>
              <w:bottom w:val="single" w:sz="4" w:space="0" w:color="auto"/>
            </w:tcBorders>
            <w:shd w:val="clear" w:color="auto" w:fill="BAD0CD" w:themeFill="accent5" w:themeFillShade="E6"/>
          </w:tcPr>
          <w:p w14:paraId="285F85A2" w14:textId="02A4CDCA" w:rsidR="00341837" w:rsidRPr="00341837" w:rsidRDefault="00341837" w:rsidP="00434140">
            <w:pPr>
              <w:jc w:val="right"/>
              <w:rPr>
                <w:rFonts w:eastAsiaTheme="majorEastAsia"/>
                <w:b/>
              </w:rPr>
            </w:pPr>
            <w:r w:rsidRPr="00341837">
              <w:rPr>
                <w:rFonts w:eastAsiaTheme="majorEastAsia"/>
                <w:b/>
              </w:rPr>
              <w:t>73,485</w:t>
            </w:r>
          </w:p>
        </w:tc>
        <w:tc>
          <w:tcPr>
            <w:tcW w:w="1115" w:type="dxa"/>
            <w:tcBorders>
              <w:bottom w:val="single" w:sz="4" w:space="0" w:color="auto"/>
            </w:tcBorders>
            <w:shd w:val="clear" w:color="auto" w:fill="BAD0CD" w:themeFill="accent5" w:themeFillShade="E6"/>
          </w:tcPr>
          <w:p w14:paraId="73966014" w14:textId="07778186" w:rsidR="00341837" w:rsidRPr="00341837" w:rsidRDefault="00341837" w:rsidP="00434140">
            <w:pPr>
              <w:jc w:val="right"/>
              <w:rPr>
                <w:rFonts w:eastAsiaTheme="majorEastAsia"/>
                <w:b/>
              </w:rPr>
            </w:pPr>
            <w:r w:rsidRPr="00341837">
              <w:rPr>
                <w:rFonts w:eastAsiaTheme="majorEastAsia"/>
                <w:b/>
              </w:rPr>
              <w:t>17,946</w:t>
            </w:r>
          </w:p>
        </w:tc>
        <w:tc>
          <w:tcPr>
            <w:tcW w:w="1126" w:type="dxa"/>
            <w:tcBorders>
              <w:bottom w:val="single" w:sz="4" w:space="0" w:color="auto"/>
            </w:tcBorders>
            <w:shd w:val="clear" w:color="auto" w:fill="BAD0CD" w:themeFill="accent5" w:themeFillShade="E6"/>
          </w:tcPr>
          <w:p w14:paraId="6AF0E35D" w14:textId="0EB09B92" w:rsidR="00341837" w:rsidRPr="00341837" w:rsidRDefault="00341837" w:rsidP="00434140">
            <w:pPr>
              <w:jc w:val="right"/>
              <w:rPr>
                <w:rFonts w:eastAsiaTheme="majorEastAsia"/>
                <w:b/>
              </w:rPr>
            </w:pPr>
            <w:r w:rsidRPr="00341837">
              <w:rPr>
                <w:rFonts w:eastAsiaTheme="majorEastAsia"/>
                <w:b/>
              </w:rPr>
              <w:t>1,184</w:t>
            </w:r>
          </w:p>
        </w:tc>
        <w:tc>
          <w:tcPr>
            <w:tcW w:w="1148" w:type="dxa"/>
            <w:gridSpan w:val="2"/>
            <w:tcBorders>
              <w:bottom w:val="single" w:sz="4" w:space="0" w:color="auto"/>
            </w:tcBorders>
            <w:shd w:val="clear" w:color="auto" w:fill="D4E2E0" w:themeFill="accent5"/>
          </w:tcPr>
          <w:p w14:paraId="364F499E" w14:textId="284CE8C1" w:rsidR="00341837" w:rsidRPr="00341837" w:rsidRDefault="00341837" w:rsidP="00434140">
            <w:pPr>
              <w:jc w:val="right"/>
              <w:rPr>
                <w:rFonts w:eastAsiaTheme="majorEastAsia"/>
                <w:b/>
              </w:rPr>
            </w:pPr>
            <w:r w:rsidRPr="00341837">
              <w:rPr>
                <w:rFonts w:eastAsiaTheme="majorEastAsia"/>
                <w:b/>
              </w:rPr>
              <w:t>92,615</w:t>
            </w:r>
          </w:p>
        </w:tc>
        <w:tc>
          <w:tcPr>
            <w:tcW w:w="1089" w:type="dxa"/>
            <w:tcBorders>
              <w:bottom w:val="single" w:sz="4" w:space="0" w:color="auto"/>
            </w:tcBorders>
            <w:shd w:val="clear" w:color="auto" w:fill="BAD0CD" w:themeFill="accent5" w:themeFillShade="E6"/>
          </w:tcPr>
          <w:p w14:paraId="1AC7FC5B" w14:textId="2989EB99" w:rsidR="00341837" w:rsidRPr="00341837" w:rsidRDefault="00341837" w:rsidP="00434140">
            <w:pPr>
              <w:jc w:val="right"/>
              <w:rPr>
                <w:rFonts w:eastAsiaTheme="majorEastAsia"/>
                <w:b/>
              </w:rPr>
            </w:pPr>
            <w:r w:rsidRPr="00341837">
              <w:rPr>
                <w:rFonts w:eastAsiaTheme="majorEastAsia"/>
                <w:b/>
              </w:rPr>
              <w:t>76,813</w:t>
            </w:r>
          </w:p>
        </w:tc>
        <w:tc>
          <w:tcPr>
            <w:tcW w:w="1111" w:type="dxa"/>
            <w:tcBorders>
              <w:bottom w:val="single" w:sz="4" w:space="0" w:color="auto"/>
            </w:tcBorders>
            <w:shd w:val="clear" w:color="auto" w:fill="BAD0CD" w:themeFill="accent5" w:themeFillShade="E6"/>
          </w:tcPr>
          <w:p w14:paraId="0528ED41" w14:textId="2B20269C" w:rsidR="00341837" w:rsidRPr="00341837" w:rsidRDefault="00341837" w:rsidP="00434140">
            <w:pPr>
              <w:jc w:val="right"/>
              <w:rPr>
                <w:rFonts w:eastAsiaTheme="majorEastAsia"/>
                <w:b/>
              </w:rPr>
            </w:pPr>
            <w:r w:rsidRPr="00341837">
              <w:rPr>
                <w:rFonts w:eastAsiaTheme="majorEastAsia"/>
                <w:b/>
              </w:rPr>
              <w:t>5,894</w:t>
            </w:r>
          </w:p>
        </w:tc>
        <w:tc>
          <w:tcPr>
            <w:tcW w:w="1111" w:type="dxa"/>
            <w:tcBorders>
              <w:bottom w:val="single" w:sz="4" w:space="0" w:color="auto"/>
            </w:tcBorders>
            <w:shd w:val="clear" w:color="auto" w:fill="BAD0CD" w:themeFill="accent5" w:themeFillShade="E6"/>
          </w:tcPr>
          <w:p w14:paraId="0E2280F3" w14:textId="0B75FE96" w:rsidR="00341837" w:rsidRPr="00341837" w:rsidRDefault="00341837" w:rsidP="00434140">
            <w:pPr>
              <w:jc w:val="right"/>
              <w:rPr>
                <w:rFonts w:eastAsiaTheme="majorEastAsia"/>
                <w:b/>
              </w:rPr>
            </w:pPr>
            <w:r w:rsidRPr="00341837">
              <w:rPr>
                <w:rFonts w:eastAsiaTheme="majorEastAsia"/>
                <w:b/>
              </w:rPr>
              <w:t>9,908</w:t>
            </w:r>
          </w:p>
        </w:tc>
        <w:tc>
          <w:tcPr>
            <w:tcW w:w="1111" w:type="dxa"/>
            <w:tcBorders>
              <w:bottom w:val="single" w:sz="4" w:space="0" w:color="auto"/>
            </w:tcBorders>
            <w:shd w:val="clear" w:color="auto" w:fill="BAD0CD" w:themeFill="accent5" w:themeFillShade="E6"/>
          </w:tcPr>
          <w:p w14:paraId="5CB9B5CE" w14:textId="48B47C66" w:rsidR="00341837" w:rsidRPr="00341837" w:rsidRDefault="00341837" w:rsidP="00434140">
            <w:pPr>
              <w:jc w:val="right"/>
              <w:rPr>
                <w:rFonts w:eastAsiaTheme="majorEastAsia"/>
                <w:b/>
              </w:rPr>
            </w:pPr>
            <w:r w:rsidRPr="00341837">
              <w:rPr>
                <w:rFonts w:eastAsiaTheme="majorEastAsia"/>
                <w:b/>
              </w:rPr>
              <w:t>-</w:t>
            </w:r>
          </w:p>
        </w:tc>
        <w:tc>
          <w:tcPr>
            <w:tcW w:w="1014" w:type="dxa"/>
            <w:gridSpan w:val="2"/>
            <w:tcBorders>
              <w:bottom w:val="single" w:sz="4" w:space="0" w:color="auto"/>
            </w:tcBorders>
            <w:shd w:val="clear" w:color="auto" w:fill="BAD0CD" w:themeFill="accent5" w:themeFillShade="E6"/>
          </w:tcPr>
          <w:p w14:paraId="5B807D45" w14:textId="4F152437" w:rsidR="00341837" w:rsidRPr="00341837" w:rsidRDefault="00341837" w:rsidP="00434140">
            <w:pPr>
              <w:jc w:val="right"/>
              <w:rPr>
                <w:rFonts w:eastAsiaTheme="majorEastAsia"/>
                <w:b/>
              </w:rPr>
            </w:pPr>
            <w:r w:rsidRPr="00341837">
              <w:rPr>
                <w:rFonts w:eastAsiaTheme="majorEastAsia"/>
                <w:b/>
              </w:rPr>
              <w:t>-</w:t>
            </w:r>
          </w:p>
        </w:tc>
      </w:tr>
      <w:tr w:rsidR="00341837" w:rsidRPr="002B151A" w14:paraId="3874B924"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shd w:val="clear" w:color="auto" w:fill="FFFFFF" w:themeFill="background2"/>
          </w:tcPr>
          <w:p w14:paraId="18ABEA55" w14:textId="77777777" w:rsidR="00341837" w:rsidRDefault="00341837" w:rsidP="0086765F">
            <w:pPr>
              <w:rPr>
                <w:rFonts w:eastAsiaTheme="majorEastAsia"/>
              </w:rPr>
            </w:pPr>
          </w:p>
        </w:tc>
        <w:tc>
          <w:tcPr>
            <w:tcW w:w="1230" w:type="dxa"/>
            <w:shd w:val="clear" w:color="auto" w:fill="FFFFFF" w:themeFill="background2"/>
          </w:tcPr>
          <w:p w14:paraId="16497415" w14:textId="77777777" w:rsidR="00341837" w:rsidRDefault="00341837" w:rsidP="00710FC1">
            <w:pPr>
              <w:jc w:val="right"/>
              <w:rPr>
                <w:rFonts w:eastAsiaTheme="majorEastAsia"/>
              </w:rPr>
            </w:pPr>
          </w:p>
        </w:tc>
        <w:tc>
          <w:tcPr>
            <w:tcW w:w="1156" w:type="dxa"/>
            <w:tcBorders>
              <w:top w:val="single" w:sz="4" w:space="0" w:color="auto"/>
            </w:tcBorders>
            <w:shd w:val="clear" w:color="auto" w:fill="FFFFFF" w:themeFill="background2"/>
          </w:tcPr>
          <w:p w14:paraId="1AF6FBC2" w14:textId="77777777" w:rsidR="00341837" w:rsidRDefault="00341837" w:rsidP="00710FC1">
            <w:pPr>
              <w:jc w:val="right"/>
              <w:rPr>
                <w:rFonts w:eastAsiaTheme="majorEastAsia"/>
              </w:rPr>
            </w:pPr>
          </w:p>
        </w:tc>
        <w:tc>
          <w:tcPr>
            <w:tcW w:w="1146" w:type="dxa"/>
            <w:tcBorders>
              <w:top w:val="single" w:sz="4" w:space="0" w:color="auto"/>
            </w:tcBorders>
            <w:shd w:val="clear" w:color="auto" w:fill="FFFFFF" w:themeFill="background2"/>
          </w:tcPr>
          <w:p w14:paraId="102508D0" w14:textId="77777777" w:rsidR="00341837" w:rsidRDefault="00341837" w:rsidP="00434140">
            <w:pPr>
              <w:jc w:val="right"/>
              <w:rPr>
                <w:rFonts w:eastAsiaTheme="majorEastAsia"/>
              </w:rPr>
            </w:pPr>
          </w:p>
        </w:tc>
        <w:tc>
          <w:tcPr>
            <w:tcW w:w="1115" w:type="dxa"/>
            <w:tcBorders>
              <w:top w:val="single" w:sz="4" w:space="0" w:color="auto"/>
            </w:tcBorders>
            <w:shd w:val="clear" w:color="auto" w:fill="FFFFFF" w:themeFill="background2"/>
          </w:tcPr>
          <w:p w14:paraId="77CFC40A" w14:textId="77777777" w:rsidR="00341837" w:rsidRDefault="00341837" w:rsidP="00434140">
            <w:pPr>
              <w:jc w:val="right"/>
              <w:rPr>
                <w:rFonts w:eastAsiaTheme="majorEastAsia"/>
              </w:rPr>
            </w:pPr>
          </w:p>
        </w:tc>
        <w:tc>
          <w:tcPr>
            <w:tcW w:w="1126" w:type="dxa"/>
            <w:tcBorders>
              <w:top w:val="single" w:sz="4" w:space="0" w:color="auto"/>
            </w:tcBorders>
            <w:shd w:val="clear" w:color="auto" w:fill="FFFFFF" w:themeFill="background2"/>
          </w:tcPr>
          <w:p w14:paraId="78A0A179" w14:textId="77777777" w:rsidR="00341837" w:rsidRDefault="00341837" w:rsidP="00434140">
            <w:pPr>
              <w:jc w:val="right"/>
              <w:rPr>
                <w:rFonts w:eastAsiaTheme="majorEastAsia"/>
              </w:rPr>
            </w:pPr>
          </w:p>
        </w:tc>
        <w:tc>
          <w:tcPr>
            <w:tcW w:w="1148" w:type="dxa"/>
            <w:gridSpan w:val="2"/>
            <w:tcBorders>
              <w:top w:val="single" w:sz="4" w:space="0" w:color="auto"/>
            </w:tcBorders>
            <w:shd w:val="clear" w:color="auto" w:fill="FFFFFF" w:themeFill="background2"/>
          </w:tcPr>
          <w:p w14:paraId="455FAA19" w14:textId="77777777" w:rsidR="00341837" w:rsidRDefault="00341837" w:rsidP="00434140">
            <w:pPr>
              <w:jc w:val="right"/>
              <w:rPr>
                <w:rFonts w:eastAsiaTheme="majorEastAsia"/>
              </w:rPr>
            </w:pPr>
          </w:p>
        </w:tc>
        <w:tc>
          <w:tcPr>
            <w:tcW w:w="1089" w:type="dxa"/>
            <w:tcBorders>
              <w:top w:val="single" w:sz="4" w:space="0" w:color="auto"/>
            </w:tcBorders>
            <w:shd w:val="clear" w:color="auto" w:fill="FFFFFF" w:themeFill="background2"/>
          </w:tcPr>
          <w:p w14:paraId="020D66C4" w14:textId="77777777" w:rsidR="00341837" w:rsidRDefault="00341837" w:rsidP="00434140">
            <w:pPr>
              <w:jc w:val="right"/>
              <w:rPr>
                <w:rFonts w:eastAsiaTheme="majorEastAsia"/>
              </w:rPr>
            </w:pPr>
          </w:p>
        </w:tc>
        <w:tc>
          <w:tcPr>
            <w:tcW w:w="1111" w:type="dxa"/>
            <w:tcBorders>
              <w:top w:val="single" w:sz="4" w:space="0" w:color="auto"/>
            </w:tcBorders>
            <w:shd w:val="clear" w:color="auto" w:fill="FFFFFF" w:themeFill="background2"/>
          </w:tcPr>
          <w:p w14:paraId="572C0CF9" w14:textId="77777777" w:rsidR="00341837" w:rsidRDefault="00341837" w:rsidP="00434140">
            <w:pPr>
              <w:jc w:val="right"/>
              <w:rPr>
                <w:rFonts w:eastAsiaTheme="majorEastAsia"/>
              </w:rPr>
            </w:pPr>
          </w:p>
        </w:tc>
        <w:tc>
          <w:tcPr>
            <w:tcW w:w="1111" w:type="dxa"/>
            <w:tcBorders>
              <w:top w:val="single" w:sz="4" w:space="0" w:color="auto"/>
            </w:tcBorders>
            <w:shd w:val="clear" w:color="auto" w:fill="FFFFFF" w:themeFill="background2"/>
          </w:tcPr>
          <w:p w14:paraId="4FFA86E6" w14:textId="77777777" w:rsidR="00341837" w:rsidRDefault="00341837" w:rsidP="00434140">
            <w:pPr>
              <w:jc w:val="right"/>
              <w:rPr>
                <w:rFonts w:eastAsiaTheme="majorEastAsia"/>
              </w:rPr>
            </w:pPr>
          </w:p>
        </w:tc>
        <w:tc>
          <w:tcPr>
            <w:tcW w:w="1111" w:type="dxa"/>
            <w:tcBorders>
              <w:top w:val="single" w:sz="4" w:space="0" w:color="auto"/>
            </w:tcBorders>
            <w:shd w:val="clear" w:color="auto" w:fill="FFFFFF" w:themeFill="background2"/>
          </w:tcPr>
          <w:p w14:paraId="5915F940" w14:textId="77777777" w:rsidR="00341837" w:rsidRDefault="00341837" w:rsidP="00434140">
            <w:pPr>
              <w:jc w:val="right"/>
              <w:rPr>
                <w:rFonts w:eastAsiaTheme="majorEastAsia"/>
              </w:rPr>
            </w:pPr>
          </w:p>
        </w:tc>
        <w:tc>
          <w:tcPr>
            <w:tcW w:w="1014" w:type="dxa"/>
            <w:gridSpan w:val="2"/>
            <w:tcBorders>
              <w:top w:val="single" w:sz="4" w:space="0" w:color="auto"/>
            </w:tcBorders>
            <w:shd w:val="clear" w:color="auto" w:fill="FFFFFF" w:themeFill="background2"/>
          </w:tcPr>
          <w:p w14:paraId="3B07E1F8" w14:textId="77777777" w:rsidR="00341837" w:rsidRDefault="00341837" w:rsidP="00434140">
            <w:pPr>
              <w:jc w:val="right"/>
              <w:rPr>
                <w:rFonts w:eastAsiaTheme="majorEastAsia"/>
              </w:rPr>
            </w:pPr>
          </w:p>
        </w:tc>
      </w:tr>
      <w:tr w:rsidR="00341837" w:rsidRPr="002B151A" w14:paraId="437CA425"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shd w:val="clear" w:color="auto" w:fill="FFFFFF" w:themeFill="background2"/>
          </w:tcPr>
          <w:p w14:paraId="14C8564A" w14:textId="5AE89169" w:rsidR="00341837" w:rsidRPr="00341837" w:rsidRDefault="00341837" w:rsidP="0086765F">
            <w:pPr>
              <w:rPr>
                <w:rFonts w:eastAsiaTheme="majorEastAsia"/>
                <w:i/>
              </w:rPr>
            </w:pPr>
            <w:r w:rsidRPr="00341837">
              <w:rPr>
                <w:rFonts w:eastAsiaTheme="majorEastAsia"/>
                <w:i/>
              </w:rPr>
              <w:t>Financial Liabilities</w:t>
            </w:r>
          </w:p>
        </w:tc>
        <w:tc>
          <w:tcPr>
            <w:tcW w:w="1230" w:type="dxa"/>
            <w:shd w:val="clear" w:color="auto" w:fill="FFFFFF" w:themeFill="background2"/>
          </w:tcPr>
          <w:p w14:paraId="64A31432" w14:textId="77777777" w:rsidR="00341837" w:rsidRDefault="00341837" w:rsidP="00710FC1">
            <w:pPr>
              <w:jc w:val="right"/>
              <w:rPr>
                <w:rFonts w:eastAsiaTheme="majorEastAsia"/>
              </w:rPr>
            </w:pPr>
          </w:p>
        </w:tc>
        <w:tc>
          <w:tcPr>
            <w:tcW w:w="1156" w:type="dxa"/>
            <w:shd w:val="clear" w:color="auto" w:fill="FFFFFF" w:themeFill="background2"/>
          </w:tcPr>
          <w:p w14:paraId="5F4AAEA9" w14:textId="77777777" w:rsidR="00341837" w:rsidRDefault="00341837" w:rsidP="00710FC1">
            <w:pPr>
              <w:jc w:val="right"/>
              <w:rPr>
                <w:rFonts w:eastAsiaTheme="majorEastAsia"/>
              </w:rPr>
            </w:pPr>
          </w:p>
        </w:tc>
        <w:tc>
          <w:tcPr>
            <w:tcW w:w="1146" w:type="dxa"/>
            <w:shd w:val="clear" w:color="auto" w:fill="FFFFFF" w:themeFill="background2"/>
          </w:tcPr>
          <w:p w14:paraId="4F1B63D5" w14:textId="77777777" w:rsidR="00341837" w:rsidRDefault="00341837" w:rsidP="00434140">
            <w:pPr>
              <w:jc w:val="right"/>
              <w:rPr>
                <w:rFonts w:eastAsiaTheme="majorEastAsia"/>
              </w:rPr>
            </w:pPr>
          </w:p>
        </w:tc>
        <w:tc>
          <w:tcPr>
            <w:tcW w:w="1115" w:type="dxa"/>
            <w:shd w:val="clear" w:color="auto" w:fill="FFFFFF" w:themeFill="background2"/>
          </w:tcPr>
          <w:p w14:paraId="68D1C56F" w14:textId="77777777" w:rsidR="00341837" w:rsidRDefault="00341837" w:rsidP="00434140">
            <w:pPr>
              <w:jc w:val="right"/>
              <w:rPr>
                <w:rFonts w:eastAsiaTheme="majorEastAsia"/>
              </w:rPr>
            </w:pPr>
          </w:p>
        </w:tc>
        <w:tc>
          <w:tcPr>
            <w:tcW w:w="1126" w:type="dxa"/>
            <w:shd w:val="clear" w:color="auto" w:fill="FFFFFF" w:themeFill="background2"/>
          </w:tcPr>
          <w:p w14:paraId="5290121C" w14:textId="77777777" w:rsidR="00341837" w:rsidRDefault="00341837" w:rsidP="00434140">
            <w:pPr>
              <w:jc w:val="right"/>
              <w:rPr>
                <w:rFonts w:eastAsiaTheme="majorEastAsia"/>
              </w:rPr>
            </w:pPr>
          </w:p>
        </w:tc>
        <w:tc>
          <w:tcPr>
            <w:tcW w:w="1148" w:type="dxa"/>
            <w:gridSpan w:val="2"/>
            <w:shd w:val="clear" w:color="auto" w:fill="FFFFFF" w:themeFill="background2"/>
          </w:tcPr>
          <w:p w14:paraId="7C138D64" w14:textId="77777777" w:rsidR="00341837" w:rsidRDefault="00341837" w:rsidP="00434140">
            <w:pPr>
              <w:jc w:val="right"/>
              <w:rPr>
                <w:rFonts w:eastAsiaTheme="majorEastAsia"/>
              </w:rPr>
            </w:pPr>
          </w:p>
        </w:tc>
        <w:tc>
          <w:tcPr>
            <w:tcW w:w="1089" w:type="dxa"/>
            <w:shd w:val="clear" w:color="auto" w:fill="FFFFFF" w:themeFill="background2"/>
          </w:tcPr>
          <w:p w14:paraId="152431A3" w14:textId="77777777" w:rsidR="00341837" w:rsidRDefault="00341837" w:rsidP="00434140">
            <w:pPr>
              <w:jc w:val="right"/>
              <w:rPr>
                <w:rFonts w:eastAsiaTheme="majorEastAsia"/>
              </w:rPr>
            </w:pPr>
          </w:p>
        </w:tc>
        <w:tc>
          <w:tcPr>
            <w:tcW w:w="1111" w:type="dxa"/>
            <w:shd w:val="clear" w:color="auto" w:fill="FFFFFF" w:themeFill="background2"/>
          </w:tcPr>
          <w:p w14:paraId="2890FAE1" w14:textId="77777777" w:rsidR="00341837" w:rsidRDefault="00341837" w:rsidP="00434140">
            <w:pPr>
              <w:jc w:val="right"/>
              <w:rPr>
                <w:rFonts w:eastAsiaTheme="majorEastAsia"/>
              </w:rPr>
            </w:pPr>
          </w:p>
        </w:tc>
        <w:tc>
          <w:tcPr>
            <w:tcW w:w="1111" w:type="dxa"/>
            <w:shd w:val="clear" w:color="auto" w:fill="FFFFFF" w:themeFill="background2"/>
          </w:tcPr>
          <w:p w14:paraId="5CF55A36" w14:textId="77777777" w:rsidR="00341837" w:rsidRDefault="00341837" w:rsidP="00434140">
            <w:pPr>
              <w:jc w:val="right"/>
              <w:rPr>
                <w:rFonts w:eastAsiaTheme="majorEastAsia"/>
              </w:rPr>
            </w:pPr>
          </w:p>
        </w:tc>
        <w:tc>
          <w:tcPr>
            <w:tcW w:w="1111" w:type="dxa"/>
            <w:shd w:val="clear" w:color="auto" w:fill="FFFFFF" w:themeFill="background2"/>
          </w:tcPr>
          <w:p w14:paraId="4B92A69A" w14:textId="77777777" w:rsidR="00341837" w:rsidRDefault="00341837" w:rsidP="00434140">
            <w:pPr>
              <w:jc w:val="right"/>
              <w:rPr>
                <w:rFonts w:eastAsiaTheme="majorEastAsia"/>
              </w:rPr>
            </w:pPr>
          </w:p>
        </w:tc>
        <w:tc>
          <w:tcPr>
            <w:tcW w:w="1014" w:type="dxa"/>
            <w:gridSpan w:val="2"/>
            <w:shd w:val="clear" w:color="auto" w:fill="FFFFFF" w:themeFill="background2"/>
          </w:tcPr>
          <w:p w14:paraId="540E4BBE" w14:textId="77777777" w:rsidR="00341837" w:rsidRDefault="00341837" w:rsidP="00434140">
            <w:pPr>
              <w:jc w:val="right"/>
              <w:rPr>
                <w:rFonts w:eastAsiaTheme="majorEastAsia"/>
              </w:rPr>
            </w:pPr>
          </w:p>
        </w:tc>
      </w:tr>
      <w:tr w:rsidR="00341837" w:rsidRPr="002B151A" w14:paraId="44FDE28A"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shd w:val="clear" w:color="auto" w:fill="FFFFFF" w:themeFill="background2"/>
          </w:tcPr>
          <w:p w14:paraId="5A5126B8" w14:textId="2DA5E213" w:rsidR="00341837" w:rsidRDefault="009C4C31" w:rsidP="0086765F">
            <w:pPr>
              <w:rPr>
                <w:rFonts w:eastAsiaTheme="majorEastAsia"/>
              </w:rPr>
            </w:pPr>
            <w:r>
              <w:rPr>
                <w:rFonts w:eastAsiaTheme="majorEastAsia"/>
              </w:rPr>
              <w:t>Payables</w:t>
            </w:r>
          </w:p>
        </w:tc>
        <w:tc>
          <w:tcPr>
            <w:tcW w:w="1230" w:type="dxa"/>
            <w:shd w:val="clear" w:color="auto" w:fill="BAD0CD" w:themeFill="accent5" w:themeFillShade="E6"/>
          </w:tcPr>
          <w:p w14:paraId="76475235" w14:textId="4FDEB151" w:rsidR="00341837" w:rsidRDefault="009C4C31" w:rsidP="00710FC1">
            <w:pPr>
              <w:jc w:val="right"/>
              <w:rPr>
                <w:rFonts w:eastAsiaTheme="majorEastAsia"/>
              </w:rPr>
            </w:pPr>
            <w:r>
              <w:rPr>
                <w:rFonts w:eastAsiaTheme="majorEastAsia"/>
              </w:rPr>
              <w:t>-</w:t>
            </w:r>
          </w:p>
        </w:tc>
        <w:tc>
          <w:tcPr>
            <w:tcW w:w="1156" w:type="dxa"/>
            <w:shd w:val="clear" w:color="auto" w:fill="D4E2E0" w:themeFill="accent5"/>
          </w:tcPr>
          <w:p w14:paraId="2929B4A4" w14:textId="2D455608" w:rsidR="00341837" w:rsidRDefault="009C4C31" w:rsidP="00710FC1">
            <w:pPr>
              <w:jc w:val="right"/>
              <w:rPr>
                <w:rFonts w:eastAsiaTheme="majorEastAsia"/>
              </w:rPr>
            </w:pPr>
            <w:r>
              <w:rPr>
                <w:rFonts w:eastAsiaTheme="majorEastAsia"/>
              </w:rPr>
              <w:t>863</w:t>
            </w:r>
          </w:p>
        </w:tc>
        <w:tc>
          <w:tcPr>
            <w:tcW w:w="1146" w:type="dxa"/>
            <w:shd w:val="clear" w:color="auto" w:fill="BAD0CD" w:themeFill="accent5" w:themeFillShade="E6"/>
          </w:tcPr>
          <w:p w14:paraId="4003B4F2" w14:textId="58023012" w:rsidR="00341837" w:rsidRDefault="009C4C31" w:rsidP="00434140">
            <w:pPr>
              <w:jc w:val="right"/>
              <w:rPr>
                <w:rFonts w:eastAsiaTheme="majorEastAsia"/>
              </w:rPr>
            </w:pPr>
            <w:r>
              <w:rPr>
                <w:rFonts w:eastAsiaTheme="majorEastAsia"/>
              </w:rPr>
              <w:t>-</w:t>
            </w:r>
          </w:p>
        </w:tc>
        <w:tc>
          <w:tcPr>
            <w:tcW w:w="1115" w:type="dxa"/>
            <w:shd w:val="clear" w:color="auto" w:fill="BAD0CD" w:themeFill="accent5" w:themeFillShade="E6"/>
          </w:tcPr>
          <w:p w14:paraId="694178AF" w14:textId="66FB0119" w:rsidR="00341837" w:rsidRDefault="009C4C31" w:rsidP="00434140">
            <w:pPr>
              <w:jc w:val="right"/>
              <w:rPr>
                <w:rFonts w:eastAsiaTheme="majorEastAsia"/>
              </w:rPr>
            </w:pPr>
            <w:r>
              <w:rPr>
                <w:rFonts w:eastAsiaTheme="majorEastAsia"/>
              </w:rPr>
              <w:t>-</w:t>
            </w:r>
          </w:p>
        </w:tc>
        <w:tc>
          <w:tcPr>
            <w:tcW w:w="1126" w:type="dxa"/>
            <w:shd w:val="clear" w:color="auto" w:fill="BAD0CD" w:themeFill="accent5" w:themeFillShade="E6"/>
          </w:tcPr>
          <w:p w14:paraId="0FBFCA70" w14:textId="4665FEC3" w:rsidR="00341837" w:rsidRDefault="009C4C31" w:rsidP="00434140">
            <w:pPr>
              <w:jc w:val="right"/>
              <w:rPr>
                <w:rFonts w:eastAsiaTheme="majorEastAsia"/>
              </w:rPr>
            </w:pPr>
            <w:r>
              <w:rPr>
                <w:rFonts w:eastAsiaTheme="majorEastAsia"/>
              </w:rPr>
              <w:t>863</w:t>
            </w:r>
          </w:p>
        </w:tc>
        <w:tc>
          <w:tcPr>
            <w:tcW w:w="1148" w:type="dxa"/>
            <w:gridSpan w:val="2"/>
            <w:shd w:val="clear" w:color="auto" w:fill="D4E2E0" w:themeFill="accent5"/>
          </w:tcPr>
          <w:p w14:paraId="4BC5DDA3" w14:textId="51EB6125" w:rsidR="00341837" w:rsidRDefault="009C4C31" w:rsidP="00434140">
            <w:pPr>
              <w:jc w:val="right"/>
              <w:rPr>
                <w:rFonts w:eastAsiaTheme="majorEastAsia"/>
              </w:rPr>
            </w:pPr>
            <w:r>
              <w:rPr>
                <w:rFonts w:eastAsiaTheme="majorEastAsia"/>
              </w:rPr>
              <w:t>863</w:t>
            </w:r>
          </w:p>
        </w:tc>
        <w:tc>
          <w:tcPr>
            <w:tcW w:w="1089" w:type="dxa"/>
            <w:shd w:val="clear" w:color="auto" w:fill="BAD0CD" w:themeFill="accent5" w:themeFillShade="E6"/>
          </w:tcPr>
          <w:p w14:paraId="00D4A3D7" w14:textId="4DFAAE45" w:rsidR="00341837" w:rsidRDefault="009C4C31" w:rsidP="00434140">
            <w:pPr>
              <w:jc w:val="right"/>
              <w:rPr>
                <w:rFonts w:eastAsiaTheme="majorEastAsia"/>
              </w:rPr>
            </w:pPr>
            <w:r>
              <w:rPr>
                <w:rFonts w:eastAsiaTheme="majorEastAsia"/>
              </w:rPr>
              <w:t>863</w:t>
            </w:r>
          </w:p>
        </w:tc>
        <w:tc>
          <w:tcPr>
            <w:tcW w:w="1111" w:type="dxa"/>
            <w:shd w:val="clear" w:color="auto" w:fill="BAD0CD" w:themeFill="accent5" w:themeFillShade="E6"/>
          </w:tcPr>
          <w:p w14:paraId="789E189D" w14:textId="24FC6123" w:rsidR="00341837" w:rsidRDefault="009C4C31" w:rsidP="00434140">
            <w:pPr>
              <w:jc w:val="right"/>
              <w:rPr>
                <w:rFonts w:eastAsiaTheme="majorEastAsia"/>
              </w:rPr>
            </w:pPr>
            <w:r>
              <w:rPr>
                <w:rFonts w:eastAsiaTheme="majorEastAsia"/>
              </w:rPr>
              <w:t>-</w:t>
            </w:r>
          </w:p>
        </w:tc>
        <w:tc>
          <w:tcPr>
            <w:tcW w:w="1111" w:type="dxa"/>
            <w:shd w:val="clear" w:color="auto" w:fill="BAD0CD" w:themeFill="accent5" w:themeFillShade="E6"/>
          </w:tcPr>
          <w:p w14:paraId="64233100" w14:textId="01274DEA" w:rsidR="00341837" w:rsidRDefault="009C4C31" w:rsidP="00434140">
            <w:pPr>
              <w:jc w:val="right"/>
              <w:rPr>
                <w:rFonts w:eastAsiaTheme="majorEastAsia"/>
              </w:rPr>
            </w:pPr>
            <w:r>
              <w:rPr>
                <w:rFonts w:eastAsiaTheme="majorEastAsia"/>
              </w:rPr>
              <w:t>-</w:t>
            </w:r>
          </w:p>
        </w:tc>
        <w:tc>
          <w:tcPr>
            <w:tcW w:w="1111" w:type="dxa"/>
            <w:shd w:val="clear" w:color="auto" w:fill="BAD0CD" w:themeFill="accent5" w:themeFillShade="E6"/>
          </w:tcPr>
          <w:p w14:paraId="351BBCDE" w14:textId="5BE4C773" w:rsidR="00341837" w:rsidRDefault="009C4C31" w:rsidP="00434140">
            <w:pPr>
              <w:jc w:val="right"/>
              <w:rPr>
                <w:rFonts w:eastAsiaTheme="majorEastAsia"/>
              </w:rPr>
            </w:pPr>
            <w:r>
              <w:rPr>
                <w:rFonts w:eastAsiaTheme="majorEastAsia"/>
              </w:rPr>
              <w:t>-</w:t>
            </w:r>
          </w:p>
        </w:tc>
        <w:tc>
          <w:tcPr>
            <w:tcW w:w="1014" w:type="dxa"/>
            <w:gridSpan w:val="2"/>
            <w:shd w:val="clear" w:color="auto" w:fill="BAD0CD" w:themeFill="accent5" w:themeFillShade="E6"/>
          </w:tcPr>
          <w:p w14:paraId="042971C2" w14:textId="72C45E84" w:rsidR="00341837" w:rsidRDefault="009C4C31" w:rsidP="00434140">
            <w:pPr>
              <w:jc w:val="right"/>
              <w:rPr>
                <w:rFonts w:eastAsiaTheme="majorEastAsia"/>
              </w:rPr>
            </w:pPr>
            <w:r>
              <w:rPr>
                <w:rFonts w:eastAsiaTheme="majorEastAsia"/>
              </w:rPr>
              <w:t>-</w:t>
            </w:r>
          </w:p>
        </w:tc>
      </w:tr>
      <w:tr w:rsidR="009C4C31" w:rsidRPr="002B151A" w14:paraId="684A31C4" w14:textId="77777777" w:rsidTr="007A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17" w:type="dxa"/>
            <w:gridSpan w:val="2"/>
            <w:shd w:val="clear" w:color="auto" w:fill="FFFFFF" w:themeFill="background2"/>
          </w:tcPr>
          <w:p w14:paraId="32A09F07" w14:textId="77777777" w:rsidR="009C4C31" w:rsidRDefault="009C4C31" w:rsidP="0086765F">
            <w:pPr>
              <w:rPr>
                <w:rFonts w:eastAsiaTheme="majorEastAsia"/>
              </w:rPr>
            </w:pPr>
          </w:p>
        </w:tc>
        <w:tc>
          <w:tcPr>
            <w:tcW w:w="1230" w:type="dxa"/>
            <w:tcBorders>
              <w:bottom w:val="single" w:sz="4" w:space="0" w:color="auto"/>
            </w:tcBorders>
            <w:shd w:val="clear" w:color="auto" w:fill="BAD0CD" w:themeFill="accent5" w:themeFillShade="E6"/>
          </w:tcPr>
          <w:p w14:paraId="5701930D" w14:textId="77777777" w:rsidR="009C4C31" w:rsidRPr="009C4C31" w:rsidRDefault="009C4C31" w:rsidP="00710FC1">
            <w:pPr>
              <w:jc w:val="right"/>
              <w:rPr>
                <w:rFonts w:eastAsiaTheme="majorEastAsia"/>
                <w:b/>
              </w:rPr>
            </w:pPr>
          </w:p>
        </w:tc>
        <w:tc>
          <w:tcPr>
            <w:tcW w:w="1156" w:type="dxa"/>
            <w:tcBorders>
              <w:bottom w:val="single" w:sz="4" w:space="0" w:color="auto"/>
            </w:tcBorders>
            <w:shd w:val="clear" w:color="auto" w:fill="D4E2E0" w:themeFill="accent5"/>
          </w:tcPr>
          <w:p w14:paraId="72734CCF" w14:textId="01640F90" w:rsidR="009C4C31" w:rsidRPr="009C4C31" w:rsidRDefault="009C4C31" w:rsidP="00710FC1">
            <w:pPr>
              <w:jc w:val="right"/>
              <w:rPr>
                <w:rFonts w:eastAsiaTheme="majorEastAsia"/>
                <w:b/>
              </w:rPr>
            </w:pPr>
            <w:r w:rsidRPr="009C4C31">
              <w:rPr>
                <w:rFonts w:eastAsiaTheme="majorEastAsia"/>
                <w:b/>
              </w:rPr>
              <w:t>863</w:t>
            </w:r>
          </w:p>
        </w:tc>
        <w:tc>
          <w:tcPr>
            <w:tcW w:w="1146" w:type="dxa"/>
            <w:tcBorders>
              <w:bottom w:val="single" w:sz="4" w:space="0" w:color="auto"/>
            </w:tcBorders>
            <w:shd w:val="clear" w:color="auto" w:fill="BAD0CD" w:themeFill="accent5" w:themeFillShade="E6"/>
          </w:tcPr>
          <w:p w14:paraId="4C56A167" w14:textId="76B5B53E" w:rsidR="009C4C31" w:rsidRPr="009C4C31" w:rsidRDefault="009C4C31" w:rsidP="00434140">
            <w:pPr>
              <w:jc w:val="right"/>
              <w:rPr>
                <w:rFonts w:eastAsiaTheme="majorEastAsia"/>
                <w:b/>
              </w:rPr>
            </w:pPr>
            <w:r w:rsidRPr="009C4C31">
              <w:rPr>
                <w:rFonts w:eastAsiaTheme="majorEastAsia"/>
                <w:b/>
              </w:rPr>
              <w:t>-</w:t>
            </w:r>
          </w:p>
        </w:tc>
        <w:tc>
          <w:tcPr>
            <w:tcW w:w="1115" w:type="dxa"/>
            <w:tcBorders>
              <w:bottom w:val="single" w:sz="4" w:space="0" w:color="auto"/>
            </w:tcBorders>
            <w:shd w:val="clear" w:color="auto" w:fill="BAD0CD" w:themeFill="accent5" w:themeFillShade="E6"/>
          </w:tcPr>
          <w:p w14:paraId="327ABE2A" w14:textId="33F6F2A1" w:rsidR="009C4C31" w:rsidRPr="009C4C31" w:rsidRDefault="009C4C31" w:rsidP="00434140">
            <w:pPr>
              <w:jc w:val="right"/>
              <w:rPr>
                <w:rFonts w:eastAsiaTheme="majorEastAsia"/>
                <w:b/>
              </w:rPr>
            </w:pPr>
            <w:r w:rsidRPr="009C4C31">
              <w:rPr>
                <w:rFonts w:eastAsiaTheme="majorEastAsia"/>
                <w:b/>
              </w:rPr>
              <w:t>-</w:t>
            </w:r>
          </w:p>
        </w:tc>
        <w:tc>
          <w:tcPr>
            <w:tcW w:w="1126" w:type="dxa"/>
            <w:tcBorders>
              <w:bottom w:val="single" w:sz="4" w:space="0" w:color="auto"/>
            </w:tcBorders>
            <w:shd w:val="clear" w:color="auto" w:fill="BAD0CD" w:themeFill="accent5" w:themeFillShade="E6"/>
          </w:tcPr>
          <w:p w14:paraId="29DE319E" w14:textId="23C6C71B" w:rsidR="009C4C31" w:rsidRPr="009C4C31" w:rsidRDefault="009C4C31" w:rsidP="00434140">
            <w:pPr>
              <w:jc w:val="right"/>
              <w:rPr>
                <w:rFonts w:eastAsiaTheme="majorEastAsia"/>
                <w:b/>
              </w:rPr>
            </w:pPr>
            <w:r w:rsidRPr="009C4C31">
              <w:rPr>
                <w:rFonts w:eastAsiaTheme="majorEastAsia"/>
                <w:b/>
              </w:rPr>
              <w:t>863</w:t>
            </w:r>
          </w:p>
        </w:tc>
        <w:tc>
          <w:tcPr>
            <w:tcW w:w="1148" w:type="dxa"/>
            <w:gridSpan w:val="2"/>
            <w:tcBorders>
              <w:bottom w:val="single" w:sz="4" w:space="0" w:color="auto"/>
            </w:tcBorders>
            <w:shd w:val="clear" w:color="auto" w:fill="D4E2E0" w:themeFill="accent5"/>
          </w:tcPr>
          <w:p w14:paraId="4C224481" w14:textId="1BD12EA1" w:rsidR="009C4C31" w:rsidRPr="009C4C31" w:rsidRDefault="009C4C31" w:rsidP="00434140">
            <w:pPr>
              <w:jc w:val="right"/>
              <w:rPr>
                <w:rFonts w:eastAsiaTheme="majorEastAsia"/>
                <w:b/>
              </w:rPr>
            </w:pPr>
            <w:r w:rsidRPr="009C4C31">
              <w:rPr>
                <w:rFonts w:eastAsiaTheme="majorEastAsia"/>
                <w:b/>
              </w:rPr>
              <w:t>863</w:t>
            </w:r>
          </w:p>
        </w:tc>
        <w:tc>
          <w:tcPr>
            <w:tcW w:w="1089" w:type="dxa"/>
            <w:tcBorders>
              <w:bottom w:val="single" w:sz="4" w:space="0" w:color="auto"/>
            </w:tcBorders>
            <w:shd w:val="clear" w:color="auto" w:fill="BAD0CD" w:themeFill="accent5" w:themeFillShade="E6"/>
          </w:tcPr>
          <w:p w14:paraId="59AAD4FD" w14:textId="42F68578" w:rsidR="009C4C31" w:rsidRPr="009C4C31" w:rsidRDefault="009C4C31" w:rsidP="00434140">
            <w:pPr>
              <w:jc w:val="right"/>
              <w:rPr>
                <w:rFonts w:eastAsiaTheme="majorEastAsia"/>
                <w:b/>
              </w:rPr>
            </w:pPr>
            <w:r w:rsidRPr="009C4C31">
              <w:rPr>
                <w:rFonts w:eastAsiaTheme="majorEastAsia"/>
                <w:b/>
              </w:rPr>
              <w:t>863</w:t>
            </w:r>
          </w:p>
        </w:tc>
        <w:tc>
          <w:tcPr>
            <w:tcW w:w="1111" w:type="dxa"/>
            <w:tcBorders>
              <w:bottom w:val="single" w:sz="4" w:space="0" w:color="auto"/>
            </w:tcBorders>
            <w:shd w:val="clear" w:color="auto" w:fill="BAD0CD" w:themeFill="accent5" w:themeFillShade="E6"/>
          </w:tcPr>
          <w:p w14:paraId="09B9DCBC" w14:textId="066B222A" w:rsidR="009C4C31" w:rsidRPr="009C4C31" w:rsidRDefault="009C4C31" w:rsidP="00434140">
            <w:pPr>
              <w:jc w:val="right"/>
              <w:rPr>
                <w:rFonts w:eastAsiaTheme="majorEastAsia"/>
                <w:b/>
              </w:rPr>
            </w:pPr>
            <w:r w:rsidRPr="009C4C31">
              <w:rPr>
                <w:rFonts w:eastAsiaTheme="majorEastAsia"/>
                <w:b/>
              </w:rPr>
              <w:t>-</w:t>
            </w:r>
          </w:p>
        </w:tc>
        <w:tc>
          <w:tcPr>
            <w:tcW w:w="1111" w:type="dxa"/>
            <w:tcBorders>
              <w:bottom w:val="single" w:sz="4" w:space="0" w:color="auto"/>
            </w:tcBorders>
            <w:shd w:val="clear" w:color="auto" w:fill="BAD0CD" w:themeFill="accent5" w:themeFillShade="E6"/>
          </w:tcPr>
          <w:p w14:paraId="3A55BE36" w14:textId="570A695E" w:rsidR="009C4C31" w:rsidRPr="009C4C31" w:rsidRDefault="009C4C31" w:rsidP="00434140">
            <w:pPr>
              <w:jc w:val="right"/>
              <w:rPr>
                <w:rFonts w:eastAsiaTheme="majorEastAsia"/>
                <w:b/>
              </w:rPr>
            </w:pPr>
            <w:r w:rsidRPr="009C4C31">
              <w:rPr>
                <w:rFonts w:eastAsiaTheme="majorEastAsia"/>
                <w:b/>
              </w:rPr>
              <w:t>-</w:t>
            </w:r>
          </w:p>
        </w:tc>
        <w:tc>
          <w:tcPr>
            <w:tcW w:w="1111" w:type="dxa"/>
            <w:tcBorders>
              <w:bottom w:val="single" w:sz="4" w:space="0" w:color="auto"/>
            </w:tcBorders>
            <w:shd w:val="clear" w:color="auto" w:fill="BAD0CD" w:themeFill="accent5" w:themeFillShade="E6"/>
          </w:tcPr>
          <w:p w14:paraId="066EF403" w14:textId="45791942" w:rsidR="009C4C31" w:rsidRPr="009C4C31" w:rsidRDefault="009C4C31" w:rsidP="00434140">
            <w:pPr>
              <w:jc w:val="right"/>
              <w:rPr>
                <w:rFonts w:eastAsiaTheme="majorEastAsia"/>
                <w:b/>
              </w:rPr>
            </w:pPr>
            <w:r w:rsidRPr="009C4C31">
              <w:rPr>
                <w:rFonts w:eastAsiaTheme="majorEastAsia"/>
                <w:b/>
              </w:rPr>
              <w:t>-</w:t>
            </w:r>
          </w:p>
        </w:tc>
        <w:tc>
          <w:tcPr>
            <w:tcW w:w="1014" w:type="dxa"/>
            <w:gridSpan w:val="2"/>
            <w:tcBorders>
              <w:bottom w:val="single" w:sz="4" w:space="0" w:color="auto"/>
            </w:tcBorders>
            <w:shd w:val="clear" w:color="auto" w:fill="BAD0CD" w:themeFill="accent5" w:themeFillShade="E6"/>
          </w:tcPr>
          <w:p w14:paraId="6993DB1F" w14:textId="51CAD836" w:rsidR="009C4C31" w:rsidRPr="009C4C31" w:rsidRDefault="009C4C31" w:rsidP="00434140">
            <w:pPr>
              <w:jc w:val="right"/>
              <w:rPr>
                <w:rFonts w:eastAsiaTheme="majorEastAsia"/>
                <w:b/>
              </w:rPr>
            </w:pPr>
            <w:r w:rsidRPr="009C4C31">
              <w:rPr>
                <w:rFonts w:eastAsiaTheme="majorEastAsia"/>
                <w:b/>
              </w:rPr>
              <w:t>-</w:t>
            </w:r>
          </w:p>
        </w:tc>
      </w:tr>
    </w:tbl>
    <w:p w14:paraId="04305A29" w14:textId="2F09D7A6" w:rsidR="0086765F" w:rsidRDefault="009C4C31" w:rsidP="0086765F">
      <w:pPr>
        <w:rPr>
          <w:rFonts w:eastAsiaTheme="majorEastAsia"/>
        </w:rPr>
      </w:pPr>
      <w:r>
        <w:rPr>
          <w:rFonts w:eastAsiaTheme="majorEastAsia"/>
        </w:rPr>
        <w:br/>
        <w:t>(a) The amount of Receivables excludes GST recoverable from the ATO (statutory receivable)</w:t>
      </w:r>
    </w:p>
    <w:p w14:paraId="083D703A" w14:textId="77777777" w:rsidR="00BA26B9" w:rsidRDefault="00BA26B9">
      <w:pPr>
        <w:keepLines w:val="0"/>
        <w:spacing w:after="0" w:line="240" w:lineRule="auto"/>
        <w:rPr>
          <w:rFonts w:eastAsiaTheme="majorEastAsia"/>
          <w:b/>
        </w:rPr>
      </w:pPr>
      <w:r>
        <w:rPr>
          <w:rFonts w:eastAsiaTheme="majorEastAsia"/>
          <w:b/>
        </w:rPr>
        <w:br w:type="page"/>
      </w:r>
    </w:p>
    <w:p w14:paraId="6DD56449" w14:textId="59540B2C" w:rsidR="009C4C31" w:rsidRPr="00DA1E18" w:rsidRDefault="00884442" w:rsidP="0086765F">
      <w:pPr>
        <w:rPr>
          <w:rStyle w:val="Strong"/>
          <w:rFonts w:eastAsiaTheme="majorEastAsia"/>
        </w:rPr>
      </w:pPr>
      <w:r w:rsidRPr="00DA1E18">
        <w:rPr>
          <w:rStyle w:val="Strong"/>
          <w:rFonts w:eastAsiaTheme="majorEastAsia"/>
        </w:rPr>
        <w:t>Interest rate sensitivity analysis</w:t>
      </w:r>
    </w:p>
    <w:p w14:paraId="199A3CC8" w14:textId="551D6662" w:rsidR="00884442" w:rsidRDefault="00884442" w:rsidP="00884442">
      <w:pPr>
        <w:rPr>
          <w:rFonts w:eastAsiaTheme="majorEastAsia"/>
        </w:rPr>
      </w:pPr>
      <w:r w:rsidRPr="00884442">
        <w:rPr>
          <w:rFonts w:eastAsiaTheme="majorEastAsia"/>
        </w:rPr>
        <w:t>The following table represents a summary of the interest rate sensitivity of the Authority's financial assets and liabilities at the end of the reporting period on the surplus for the period and equity for a 1% change in interest rates. It is assumed that the change in interest rates is held constant throughout the reporting period.</w:t>
      </w:r>
    </w:p>
    <w:p w14:paraId="35EEC8E5" w14:textId="77777777" w:rsidR="00884442" w:rsidRDefault="00884442" w:rsidP="00884442">
      <w:pPr>
        <w:rPr>
          <w:rFonts w:eastAsiaTheme="majorEastAsia"/>
        </w:rPr>
      </w:pPr>
    </w:p>
    <w:tbl>
      <w:tblPr>
        <w:tblStyle w:val="TableGrid"/>
        <w:tblW w:w="0" w:type="auto"/>
        <w:tblLook w:val="04A0" w:firstRow="1" w:lastRow="0" w:firstColumn="1" w:lastColumn="0" w:noHBand="0" w:noVBand="1"/>
      </w:tblPr>
      <w:tblGrid>
        <w:gridCol w:w="3612"/>
        <w:gridCol w:w="2095"/>
        <w:gridCol w:w="2092"/>
        <w:gridCol w:w="2223"/>
        <w:gridCol w:w="2092"/>
        <w:gridCol w:w="1844"/>
      </w:tblGrid>
      <w:tr w:rsidR="00884442" w14:paraId="394E5BCE" w14:textId="77777777" w:rsidTr="00BA26B9">
        <w:tc>
          <w:tcPr>
            <w:tcW w:w="3652" w:type="dxa"/>
            <w:tcBorders>
              <w:top w:val="nil"/>
              <w:left w:val="nil"/>
              <w:bottom w:val="nil"/>
              <w:right w:val="nil"/>
            </w:tcBorders>
          </w:tcPr>
          <w:p w14:paraId="0AAECF08" w14:textId="77777777" w:rsidR="00884442" w:rsidRDefault="00884442" w:rsidP="00884442">
            <w:pPr>
              <w:rPr>
                <w:rFonts w:eastAsiaTheme="majorEastAsia"/>
              </w:rPr>
            </w:pPr>
          </w:p>
        </w:tc>
        <w:tc>
          <w:tcPr>
            <w:tcW w:w="2126" w:type="dxa"/>
            <w:tcBorders>
              <w:top w:val="nil"/>
              <w:left w:val="nil"/>
              <w:bottom w:val="nil"/>
              <w:right w:val="nil"/>
            </w:tcBorders>
          </w:tcPr>
          <w:p w14:paraId="6F4919E7" w14:textId="1AB23B45" w:rsidR="00884442" w:rsidRPr="00BA26B9" w:rsidRDefault="00884442" w:rsidP="00884442">
            <w:pPr>
              <w:jc w:val="center"/>
              <w:rPr>
                <w:rFonts w:eastAsiaTheme="majorEastAsia"/>
                <w:b/>
              </w:rPr>
            </w:pPr>
            <w:r w:rsidRPr="00BA26B9">
              <w:rPr>
                <w:rFonts w:eastAsiaTheme="majorEastAsia"/>
                <w:b/>
              </w:rPr>
              <w:t>Carrying amount</w:t>
            </w:r>
          </w:p>
        </w:tc>
        <w:tc>
          <w:tcPr>
            <w:tcW w:w="4395" w:type="dxa"/>
            <w:gridSpan w:val="2"/>
            <w:tcBorders>
              <w:top w:val="nil"/>
              <w:left w:val="nil"/>
              <w:bottom w:val="nil"/>
              <w:right w:val="nil"/>
            </w:tcBorders>
          </w:tcPr>
          <w:p w14:paraId="6273B55E" w14:textId="42987DD0" w:rsidR="00884442" w:rsidRPr="00BA26B9" w:rsidRDefault="00884442" w:rsidP="00884442">
            <w:pPr>
              <w:jc w:val="center"/>
              <w:rPr>
                <w:rFonts w:eastAsiaTheme="majorEastAsia"/>
                <w:b/>
              </w:rPr>
            </w:pPr>
            <w:r w:rsidRPr="00BA26B9">
              <w:rPr>
                <w:rFonts w:eastAsiaTheme="majorEastAsia"/>
                <w:b/>
              </w:rPr>
              <w:t>-100 basis points</w:t>
            </w:r>
          </w:p>
        </w:tc>
        <w:tc>
          <w:tcPr>
            <w:tcW w:w="4001" w:type="dxa"/>
            <w:gridSpan w:val="2"/>
            <w:tcBorders>
              <w:top w:val="nil"/>
              <w:left w:val="nil"/>
              <w:bottom w:val="nil"/>
              <w:right w:val="nil"/>
            </w:tcBorders>
          </w:tcPr>
          <w:p w14:paraId="0C01BA22" w14:textId="6F1F73CB" w:rsidR="00884442" w:rsidRPr="00BA26B9" w:rsidRDefault="00884442" w:rsidP="00884442">
            <w:pPr>
              <w:jc w:val="center"/>
              <w:rPr>
                <w:rFonts w:eastAsiaTheme="majorEastAsia"/>
                <w:b/>
              </w:rPr>
            </w:pPr>
            <w:r w:rsidRPr="00BA26B9">
              <w:rPr>
                <w:rFonts w:eastAsiaTheme="majorEastAsia"/>
                <w:b/>
              </w:rPr>
              <w:t>+100 basis points</w:t>
            </w:r>
          </w:p>
        </w:tc>
      </w:tr>
      <w:tr w:rsidR="00884442" w14:paraId="590D441B" w14:textId="77777777" w:rsidTr="00BA26B9">
        <w:tc>
          <w:tcPr>
            <w:tcW w:w="3652" w:type="dxa"/>
            <w:tcBorders>
              <w:top w:val="nil"/>
              <w:left w:val="nil"/>
              <w:bottom w:val="nil"/>
              <w:right w:val="nil"/>
            </w:tcBorders>
          </w:tcPr>
          <w:p w14:paraId="4410BA39" w14:textId="2FAB0EE0" w:rsidR="00884442" w:rsidRDefault="00884442" w:rsidP="00884442">
            <w:pPr>
              <w:rPr>
                <w:rFonts w:eastAsiaTheme="majorEastAsia"/>
              </w:rPr>
            </w:pPr>
            <w:r w:rsidRPr="00884442">
              <w:rPr>
                <w:rFonts w:eastAsiaTheme="majorEastAsia"/>
                <w:b/>
              </w:rPr>
              <w:t>2015</w:t>
            </w:r>
            <w:r>
              <w:rPr>
                <w:rFonts w:eastAsiaTheme="majorEastAsia"/>
              </w:rPr>
              <w:br/>
            </w:r>
            <w:r w:rsidRPr="00884442">
              <w:rPr>
                <w:rFonts w:eastAsiaTheme="majorEastAsia"/>
                <w:i/>
              </w:rPr>
              <w:t>Financial Assets</w:t>
            </w:r>
          </w:p>
        </w:tc>
        <w:tc>
          <w:tcPr>
            <w:tcW w:w="2126" w:type="dxa"/>
            <w:tcBorders>
              <w:top w:val="nil"/>
              <w:left w:val="nil"/>
              <w:bottom w:val="nil"/>
              <w:right w:val="nil"/>
            </w:tcBorders>
          </w:tcPr>
          <w:p w14:paraId="50C50143" w14:textId="2A82E746" w:rsidR="004C1CF1" w:rsidRPr="00BA26B9" w:rsidRDefault="004C1CF1" w:rsidP="00672196">
            <w:pPr>
              <w:jc w:val="right"/>
              <w:rPr>
                <w:rFonts w:eastAsiaTheme="majorEastAsia"/>
                <w:b/>
              </w:rPr>
            </w:pPr>
            <w:r w:rsidRPr="00BA26B9">
              <w:rPr>
                <w:rFonts w:eastAsiaTheme="majorEastAsia"/>
                <w:b/>
              </w:rPr>
              <w:br/>
              <w:t>$000</w:t>
            </w:r>
          </w:p>
        </w:tc>
        <w:tc>
          <w:tcPr>
            <w:tcW w:w="2127" w:type="dxa"/>
            <w:tcBorders>
              <w:top w:val="nil"/>
              <w:left w:val="nil"/>
              <w:bottom w:val="nil"/>
              <w:right w:val="nil"/>
            </w:tcBorders>
          </w:tcPr>
          <w:p w14:paraId="30CE380A" w14:textId="7AEF4064" w:rsidR="00884442" w:rsidRPr="00BA26B9" w:rsidRDefault="004C1CF1" w:rsidP="00672196">
            <w:pPr>
              <w:jc w:val="right"/>
              <w:rPr>
                <w:rFonts w:eastAsiaTheme="majorEastAsia"/>
                <w:b/>
              </w:rPr>
            </w:pPr>
            <w:r w:rsidRPr="00BA26B9">
              <w:rPr>
                <w:rFonts w:eastAsiaTheme="majorEastAsia"/>
                <w:b/>
              </w:rPr>
              <w:t>Surplus</w:t>
            </w:r>
            <w:r w:rsidRPr="00BA26B9">
              <w:rPr>
                <w:rFonts w:eastAsiaTheme="majorEastAsia"/>
                <w:b/>
              </w:rPr>
              <w:br/>
              <w:t>$000</w:t>
            </w:r>
          </w:p>
        </w:tc>
        <w:tc>
          <w:tcPr>
            <w:tcW w:w="2268" w:type="dxa"/>
            <w:tcBorders>
              <w:top w:val="nil"/>
              <w:left w:val="nil"/>
              <w:bottom w:val="nil"/>
              <w:right w:val="nil"/>
            </w:tcBorders>
          </w:tcPr>
          <w:p w14:paraId="7248A328" w14:textId="478645F9" w:rsidR="00884442" w:rsidRPr="00BA26B9" w:rsidRDefault="004C1CF1" w:rsidP="00672196">
            <w:pPr>
              <w:jc w:val="right"/>
              <w:rPr>
                <w:rFonts w:eastAsiaTheme="majorEastAsia"/>
                <w:b/>
              </w:rPr>
            </w:pPr>
            <w:r w:rsidRPr="00BA26B9">
              <w:rPr>
                <w:rFonts w:eastAsiaTheme="majorEastAsia"/>
                <w:b/>
              </w:rPr>
              <w:t>Equity</w:t>
            </w:r>
            <w:r w:rsidRPr="00BA26B9">
              <w:rPr>
                <w:rFonts w:eastAsiaTheme="majorEastAsia"/>
                <w:b/>
              </w:rPr>
              <w:br/>
              <w:t>$000</w:t>
            </w:r>
          </w:p>
        </w:tc>
        <w:tc>
          <w:tcPr>
            <w:tcW w:w="2126" w:type="dxa"/>
            <w:tcBorders>
              <w:top w:val="nil"/>
              <w:left w:val="nil"/>
              <w:bottom w:val="nil"/>
              <w:right w:val="nil"/>
            </w:tcBorders>
          </w:tcPr>
          <w:p w14:paraId="67A83954" w14:textId="05372EDD" w:rsidR="00884442" w:rsidRPr="00BA26B9" w:rsidRDefault="004C1CF1" w:rsidP="00672196">
            <w:pPr>
              <w:jc w:val="right"/>
              <w:rPr>
                <w:rFonts w:eastAsiaTheme="majorEastAsia"/>
                <w:b/>
              </w:rPr>
            </w:pPr>
            <w:r w:rsidRPr="00BA26B9">
              <w:rPr>
                <w:rFonts w:eastAsiaTheme="majorEastAsia"/>
                <w:b/>
              </w:rPr>
              <w:t>Surplus</w:t>
            </w:r>
            <w:r w:rsidRPr="00BA26B9">
              <w:rPr>
                <w:rFonts w:eastAsiaTheme="majorEastAsia"/>
                <w:b/>
              </w:rPr>
              <w:br/>
              <w:t>$000</w:t>
            </w:r>
          </w:p>
        </w:tc>
        <w:tc>
          <w:tcPr>
            <w:tcW w:w="1875" w:type="dxa"/>
            <w:tcBorders>
              <w:top w:val="nil"/>
              <w:left w:val="nil"/>
              <w:bottom w:val="nil"/>
              <w:right w:val="nil"/>
            </w:tcBorders>
          </w:tcPr>
          <w:p w14:paraId="3BAC38D6" w14:textId="310D79C0" w:rsidR="00884442" w:rsidRPr="00BA26B9" w:rsidRDefault="004C1CF1" w:rsidP="00672196">
            <w:pPr>
              <w:jc w:val="right"/>
              <w:rPr>
                <w:rFonts w:eastAsiaTheme="majorEastAsia"/>
                <w:b/>
              </w:rPr>
            </w:pPr>
            <w:r w:rsidRPr="00BA26B9">
              <w:rPr>
                <w:rFonts w:eastAsiaTheme="majorEastAsia"/>
                <w:b/>
              </w:rPr>
              <w:t>Equity</w:t>
            </w:r>
            <w:r w:rsidRPr="00BA26B9">
              <w:rPr>
                <w:rFonts w:eastAsiaTheme="majorEastAsia"/>
                <w:b/>
              </w:rPr>
              <w:br/>
              <w:t>$000</w:t>
            </w:r>
          </w:p>
        </w:tc>
      </w:tr>
      <w:tr w:rsidR="00457544" w14:paraId="74CF6E16" w14:textId="77777777" w:rsidTr="00457544">
        <w:tc>
          <w:tcPr>
            <w:tcW w:w="3652" w:type="dxa"/>
            <w:tcBorders>
              <w:top w:val="nil"/>
              <w:left w:val="nil"/>
              <w:bottom w:val="nil"/>
              <w:right w:val="nil"/>
            </w:tcBorders>
          </w:tcPr>
          <w:p w14:paraId="6CFA9BE5" w14:textId="470BC619" w:rsidR="00884442" w:rsidRDefault="00BA26B9" w:rsidP="00884442">
            <w:pPr>
              <w:rPr>
                <w:rFonts w:eastAsiaTheme="majorEastAsia"/>
              </w:rPr>
            </w:pPr>
            <w:r>
              <w:rPr>
                <w:rFonts w:eastAsiaTheme="majorEastAsia"/>
              </w:rPr>
              <w:t xml:space="preserve">Cash and cash equivalents </w:t>
            </w:r>
          </w:p>
        </w:tc>
        <w:tc>
          <w:tcPr>
            <w:tcW w:w="2126" w:type="dxa"/>
            <w:tcBorders>
              <w:top w:val="nil"/>
              <w:left w:val="nil"/>
              <w:bottom w:val="nil"/>
              <w:right w:val="nil"/>
            </w:tcBorders>
            <w:shd w:val="clear" w:color="auto" w:fill="EFE29B" w:themeFill="accent4" w:themeFillShade="E6"/>
          </w:tcPr>
          <w:p w14:paraId="653B8318" w14:textId="29BB9502" w:rsidR="00884442" w:rsidRDefault="00BA26B9" w:rsidP="00BA26B9">
            <w:pPr>
              <w:jc w:val="right"/>
              <w:rPr>
                <w:rFonts w:eastAsiaTheme="majorEastAsia"/>
              </w:rPr>
            </w:pPr>
            <w:r>
              <w:rPr>
                <w:rFonts w:eastAsiaTheme="majorEastAsia"/>
              </w:rPr>
              <w:t>1,953</w:t>
            </w:r>
          </w:p>
        </w:tc>
        <w:tc>
          <w:tcPr>
            <w:tcW w:w="2127" w:type="dxa"/>
            <w:tcBorders>
              <w:top w:val="nil"/>
              <w:left w:val="nil"/>
              <w:bottom w:val="nil"/>
              <w:right w:val="nil"/>
            </w:tcBorders>
            <w:shd w:val="clear" w:color="auto" w:fill="F5EDC1" w:themeFill="accent4"/>
          </w:tcPr>
          <w:p w14:paraId="372126EE" w14:textId="1C504518" w:rsidR="00884442" w:rsidRDefault="00BA26B9" w:rsidP="00BA26B9">
            <w:pPr>
              <w:jc w:val="right"/>
              <w:rPr>
                <w:rFonts w:eastAsiaTheme="majorEastAsia"/>
              </w:rPr>
            </w:pPr>
            <w:r>
              <w:rPr>
                <w:rFonts w:eastAsiaTheme="majorEastAsia"/>
              </w:rPr>
              <w:t>(19)</w:t>
            </w:r>
          </w:p>
        </w:tc>
        <w:tc>
          <w:tcPr>
            <w:tcW w:w="2268" w:type="dxa"/>
            <w:tcBorders>
              <w:top w:val="nil"/>
              <w:left w:val="nil"/>
              <w:bottom w:val="nil"/>
              <w:right w:val="nil"/>
            </w:tcBorders>
            <w:shd w:val="clear" w:color="auto" w:fill="EFE29B" w:themeFill="accent4" w:themeFillShade="E6"/>
          </w:tcPr>
          <w:p w14:paraId="0DDF51EE" w14:textId="4E777B9D" w:rsidR="00884442" w:rsidRDefault="00BA26B9" w:rsidP="00BA26B9">
            <w:pPr>
              <w:jc w:val="right"/>
              <w:rPr>
                <w:rFonts w:eastAsiaTheme="majorEastAsia"/>
              </w:rPr>
            </w:pPr>
            <w:r>
              <w:rPr>
                <w:rFonts w:eastAsiaTheme="majorEastAsia"/>
              </w:rPr>
              <w:t>(19)</w:t>
            </w:r>
          </w:p>
        </w:tc>
        <w:tc>
          <w:tcPr>
            <w:tcW w:w="2126" w:type="dxa"/>
            <w:tcBorders>
              <w:top w:val="nil"/>
              <w:left w:val="nil"/>
              <w:bottom w:val="nil"/>
              <w:right w:val="nil"/>
            </w:tcBorders>
            <w:shd w:val="clear" w:color="auto" w:fill="F5EDC1" w:themeFill="accent4"/>
          </w:tcPr>
          <w:p w14:paraId="4B56C64A" w14:textId="58CE2454" w:rsidR="00884442" w:rsidRDefault="00BA26B9" w:rsidP="00BA26B9">
            <w:pPr>
              <w:jc w:val="right"/>
              <w:rPr>
                <w:rFonts w:eastAsiaTheme="majorEastAsia"/>
              </w:rPr>
            </w:pPr>
            <w:r>
              <w:rPr>
                <w:rFonts w:eastAsiaTheme="majorEastAsia"/>
              </w:rPr>
              <w:t>19</w:t>
            </w:r>
          </w:p>
        </w:tc>
        <w:tc>
          <w:tcPr>
            <w:tcW w:w="1875" w:type="dxa"/>
            <w:tcBorders>
              <w:top w:val="nil"/>
              <w:left w:val="nil"/>
              <w:bottom w:val="nil"/>
              <w:right w:val="nil"/>
            </w:tcBorders>
            <w:shd w:val="clear" w:color="auto" w:fill="EFE29B" w:themeFill="accent4" w:themeFillShade="E6"/>
          </w:tcPr>
          <w:p w14:paraId="5B01F2E0" w14:textId="775492BD" w:rsidR="00884442" w:rsidRDefault="00BA26B9" w:rsidP="00BA26B9">
            <w:pPr>
              <w:jc w:val="right"/>
              <w:rPr>
                <w:rFonts w:eastAsiaTheme="majorEastAsia"/>
              </w:rPr>
            </w:pPr>
            <w:r>
              <w:rPr>
                <w:rFonts w:eastAsiaTheme="majorEastAsia"/>
              </w:rPr>
              <w:t>19</w:t>
            </w:r>
          </w:p>
        </w:tc>
      </w:tr>
      <w:tr w:rsidR="00457544" w14:paraId="2D126664" w14:textId="77777777" w:rsidTr="00457544">
        <w:tc>
          <w:tcPr>
            <w:tcW w:w="3652" w:type="dxa"/>
            <w:tcBorders>
              <w:top w:val="nil"/>
              <w:left w:val="nil"/>
              <w:bottom w:val="nil"/>
              <w:right w:val="nil"/>
            </w:tcBorders>
          </w:tcPr>
          <w:p w14:paraId="54BF45B7" w14:textId="028E4FE7" w:rsidR="00884442" w:rsidRDefault="00BA26B9" w:rsidP="00884442">
            <w:pPr>
              <w:rPr>
                <w:rFonts w:eastAsiaTheme="majorEastAsia"/>
              </w:rPr>
            </w:pPr>
            <w:r>
              <w:rPr>
                <w:rFonts w:eastAsiaTheme="majorEastAsia"/>
              </w:rPr>
              <w:t>Restricted cash and cash equivalents</w:t>
            </w:r>
          </w:p>
        </w:tc>
        <w:tc>
          <w:tcPr>
            <w:tcW w:w="2126" w:type="dxa"/>
            <w:tcBorders>
              <w:top w:val="nil"/>
              <w:left w:val="nil"/>
              <w:bottom w:val="nil"/>
              <w:right w:val="nil"/>
            </w:tcBorders>
            <w:shd w:val="clear" w:color="auto" w:fill="EFE29B" w:themeFill="accent4" w:themeFillShade="E6"/>
          </w:tcPr>
          <w:p w14:paraId="48E263C2" w14:textId="289C1255" w:rsidR="00884442" w:rsidRDefault="00BA26B9" w:rsidP="00BA26B9">
            <w:pPr>
              <w:jc w:val="right"/>
              <w:rPr>
                <w:rFonts w:eastAsiaTheme="majorEastAsia"/>
              </w:rPr>
            </w:pPr>
            <w:r>
              <w:rPr>
                <w:rFonts w:eastAsiaTheme="majorEastAsia"/>
              </w:rPr>
              <w:t>82,678</w:t>
            </w:r>
          </w:p>
        </w:tc>
        <w:tc>
          <w:tcPr>
            <w:tcW w:w="2127" w:type="dxa"/>
            <w:tcBorders>
              <w:top w:val="nil"/>
              <w:left w:val="nil"/>
              <w:bottom w:val="nil"/>
              <w:right w:val="nil"/>
            </w:tcBorders>
            <w:shd w:val="clear" w:color="auto" w:fill="F5EDC1" w:themeFill="accent4"/>
          </w:tcPr>
          <w:p w14:paraId="3019E0FE" w14:textId="06781051" w:rsidR="00884442" w:rsidRDefault="00BA26B9" w:rsidP="00BA26B9">
            <w:pPr>
              <w:jc w:val="right"/>
              <w:rPr>
                <w:rFonts w:eastAsiaTheme="majorEastAsia"/>
              </w:rPr>
            </w:pPr>
            <w:r>
              <w:rPr>
                <w:rFonts w:eastAsiaTheme="majorEastAsia"/>
              </w:rPr>
              <w:t>(826)</w:t>
            </w:r>
          </w:p>
        </w:tc>
        <w:tc>
          <w:tcPr>
            <w:tcW w:w="2268" w:type="dxa"/>
            <w:tcBorders>
              <w:top w:val="nil"/>
              <w:left w:val="nil"/>
              <w:bottom w:val="nil"/>
              <w:right w:val="nil"/>
            </w:tcBorders>
            <w:shd w:val="clear" w:color="auto" w:fill="EFE29B" w:themeFill="accent4" w:themeFillShade="E6"/>
          </w:tcPr>
          <w:p w14:paraId="6BD9501B" w14:textId="471697D7" w:rsidR="00884442" w:rsidRDefault="00BA26B9" w:rsidP="00BA26B9">
            <w:pPr>
              <w:jc w:val="right"/>
              <w:rPr>
                <w:rFonts w:eastAsiaTheme="majorEastAsia"/>
              </w:rPr>
            </w:pPr>
            <w:r>
              <w:rPr>
                <w:rFonts w:eastAsiaTheme="majorEastAsia"/>
              </w:rPr>
              <w:t>(826)</w:t>
            </w:r>
          </w:p>
        </w:tc>
        <w:tc>
          <w:tcPr>
            <w:tcW w:w="2126" w:type="dxa"/>
            <w:tcBorders>
              <w:top w:val="nil"/>
              <w:left w:val="nil"/>
              <w:bottom w:val="nil"/>
              <w:right w:val="nil"/>
            </w:tcBorders>
            <w:shd w:val="clear" w:color="auto" w:fill="F5EDC1" w:themeFill="accent4"/>
          </w:tcPr>
          <w:p w14:paraId="0AE301DD" w14:textId="48CBF796" w:rsidR="00884442" w:rsidRDefault="00BA26B9" w:rsidP="00BA26B9">
            <w:pPr>
              <w:jc w:val="right"/>
              <w:rPr>
                <w:rFonts w:eastAsiaTheme="majorEastAsia"/>
              </w:rPr>
            </w:pPr>
            <w:r>
              <w:rPr>
                <w:rFonts w:eastAsiaTheme="majorEastAsia"/>
              </w:rPr>
              <w:t>826</w:t>
            </w:r>
          </w:p>
        </w:tc>
        <w:tc>
          <w:tcPr>
            <w:tcW w:w="1875" w:type="dxa"/>
            <w:tcBorders>
              <w:top w:val="nil"/>
              <w:left w:val="nil"/>
              <w:bottom w:val="nil"/>
              <w:right w:val="nil"/>
            </w:tcBorders>
            <w:shd w:val="clear" w:color="auto" w:fill="EFE29B" w:themeFill="accent4" w:themeFillShade="E6"/>
          </w:tcPr>
          <w:p w14:paraId="41CB3DE6" w14:textId="53E5FF39" w:rsidR="00884442" w:rsidRDefault="00BA26B9" w:rsidP="00BA26B9">
            <w:pPr>
              <w:jc w:val="right"/>
              <w:rPr>
                <w:rFonts w:eastAsiaTheme="majorEastAsia"/>
              </w:rPr>
            </w:pPr>
            <w:r>
              <w:rPr>
                <w:rFonts w:eastAsiaTheme="majorEastAsia"/>
              </w:rPr>
              <w:t>826</w:t>
            </w:r>
          </w:p>
        </w:tc>
      </w:tr>
      <w:tr w:rsidR="00BA26B9" w14:paraId="647AF870" w14:textId="77777777" w:rsidTr="00457544">
        <w:tc>
          <w:tcPr>
            <w:tcW w:w="3652" w:type="dxa"/>
            <w:tcBorders>
              <w:top w:val="nil"/>
              <w:left w:val="nil"/>
              <w:bottom w:val="nil"/>
              <w:right w:val="nil"/>
            </w:tcBorders>
          </w:tcPr>
          <w:p w14:paraId="77E06FE8" w14:textId="5C99C11E" w:rsidR="00BA26B9" w:rsidRPr="00BA26B9" w:rsidRDefault="00BA26B9" w:rsidP="00884442">
            <w:pPr>
              <w:rPr>
                <w:rFonts w:eastAsiaTheme="majorEastAsia"/>
                <w:b/>
              </w:rPr>
            </w:pPr>
            <w:r w:rsidRPr="00BA26B9">
              <w:rPr>
                <w:rFonts w:eastAsiaTheme="majorEastAsia"/>
                <w:b/>
              </w:rPr>
              <w:t>Total Increase/(Decrease)</w:t>
            </w:r>
          </w:p>
        </w:tc>
        <w:tc>
          <w:tcPr>
            <w:tcW w:w="2126" w:type="dxa"/>
            <w:tcBorders>
              <w:top w:val="nil"/>
              <w:left w:val="nil"/>
              <w:bottom w:val="nil"/>
              <w:right w:val="nil"/>
            </w:tcBorders>
          </w:tcPr>
          <w:p w14:paraId="78322258" w14:textId="77777777" w:rsidR="00BA26B9" w:rsidRPr="00BA26B9" w:rsidRDefault="00BA26B9" w:rsidP="00BA26B9">
            <w:pPr>
              <w:jc w:val="right"/>
              <w:rPr>
                <w:rFonts w:eastAsiaTheme="majorEastAsia"/>
                <w:b/>
              </w:rPr>
            </w:pPr>
          </w:p>
        </w:tc>
        <w:tc>
          <w:tcPr>
            <w:tcW w:w="2127" w:type="dxa"/>
            <w:tcBorders>
              <w:top w:val="nil"/>
              <w:left w:val="nil"/>
              <w:bottom w:val="single" w:sz="4" w:space="0" w:color="auto"/>
              <w:right w:val="nil"/>
            </w:tcBorders>
            <w:shd w:val="clear" w:color="auto" w:fill="F5EDC1" w:themeFill="accent4"/>
          </w:tcPr>
          <w:p w14:paraId="365C8EF8" w14:textId="11929356" w:rsidR="00BA26B9" w:rsidRPr="00BA26B9" w:rsidRDefault="00BA26B9" w:rsidP="00BA26B9">
            <w:pPr>
              <w:jc w:val="right"/>
              <w:rPr>
                <w:rFonts w:eastAsiaTheme="majorEastAsia"/>
                <w:b/>
              </w:rPr>
            </w:pPr>
            <w:r w:rsidRPr="00BA26B9">
              <w:rPr>
                <w:rFonts w:eastAsiaTheme="majorEastAsia"/>
                <w:b/>
              </w:rPr>
              <w:t>(845)</w:t>
            </w:r>
          </w:p>
        </w:tc>
        <w:tc>
          <w:tcPr>
            <w:tcW w:w="2268" w:type="dxa"/>
            <w:tcBorders>
              <w:top w:val="nil"/>
              <w:left w:val="nil"/>
              <w:bottom w:val="single" w:sz="4" w:space="0" w:color="auto"/>
              <w:right w:val="nil"/>
            </w:tcBorders>
            <w:shd w:val="clear" w:color="auto" w:fill="EFE29B" w:themeFill="accent4" w:themeFillShade="E6"/>
          </w:tcPr>
          <w:p w14:paraId="17E58375" w14:textId="3F2B1240" w:rsidR="00BA26B9" w:rsidRPr="00BA26B9" w:rsidRDefault="00BA26B9" w:rsidP="00BA26B9">
            <w:pPr>
              <w:jc w:val="right"/>
              <w:rPr>
                <w:rFonts w:eastAsiaTheme="majorEastAsia"/>
                <w:b/>
              </w:rPr>
            </w:pPr>
            <w:r w:rsidRPr="00BA26B9">
              <w:rPr>
                <w:rFonts w:eastAsiaTheme="majorEastAsia"/>
                <w:b/>
              </w:rPr>
              <w:t>(845)</w:t>
            </w:r>
          </w:p>
        </w:tc>
        <w:tc>
          <w:tcPr>
            <w:tcW w:w="2126" w:type="dxa"/>
            <w:tcBorders>
              <w:top w:val="nil"/>
              <w:left w:val="nil"/>
              <w:bottom w:val="single" w:sz="4" w:space="0" w:color="auto"/>
              <w:right w:val="nil"/>
            </w:tcBorders>
            <w:shd w:val="clear" w:color="auto" w:fill="F5EDC1" w:themeFill="accent4"/>
          </w:tcPr>
          <w:p w14:paraId="5AF0DE4B" w14:textId="7267EA14" w:rsidR="00BA26B9" w:rsidRPr="00BA26B9" w:rsidRDefault="00BA26B9" w:rsidP="00BA26B9">
            <w:pPr>
              <w:jc w:val="right"/>
              <w:rPr>
                <w:rFonts w:eastAsiaTheme="majorEastAsia"/>
                <w:b/>
              </w:rPr>
            </w:pPr>
            <w:r w:rsidRPr="00BA26B9">
              <w:rPr>
                <w:rFonts w:eastAsiaTheme="majorEastAsia"/>
                <w:b/>
              </w:rPr>
              <w:t>845</w:t>
            </w:r>
          </w:p>
        </w:tc>
        <w:tc>
          <w:tcPr>
            <w:tcW w:w="1875" w:type="dxa"/>
            <w:tcBorders>
              <w:top w:val="nil"/>
              <w:left w:val="nil"/>
              <w:bottom w:val="single" w:sz="4" w:space="0" w:color="auto"/>
              <w:right w:val="nil"/>
            </w:tcBorders>
            <w:shd w:val="clear" w:color="auto" w:fill="EFE29B" w:themeFill="accent4" w:themeFillShade="E6"/>
          </w:tcPr>
          <w:p w14:paraId="658CC553" w14:textId="178BF063" w:rsidR="00BA26B9" w:rsidRPr="00BA26B9" w:rsidRDefault="00BA26B9" w:rsidP="00BA26B9">
            <w:pPr>
              <w:jc w:val="right"/>
              <w:rPr>
                <w:rFonts w:eastAsiaTheme="majorEastAsia"/>
                <w:b/>
              </w:rPr>
            </w:pPr>
            <w:r w:rsidRPr="00BA26B9">
              <w:rPr>
                <w:rFonts w:eastAsiaTheme="majorEastAsia"/>
                <w:b/>
              </w:rPr>
              <w:t>845</w:t>
            </w:r>
          </w:p>
        </w:tc>
      </w:tr>
    </w:tbl>
    <w:p w14:paraId="63EDAE4B" w14:textId="77777777" w:rsidR="00884442" w:rsidRDefault="00884442" w:rsidP="00884442">
      <w:pPr>
        <w:rPr>
          <w:rFonts w:eastAsiaTheme="majorEastAsia"/>
        </w:rPr>
      </w:pPr>
    </w:p>
    <w:p w14:paraId="5692D9FC" w14:textId="77777777" w:rsidR="00457544" w:rsidRDefault="00457544" w:rsidP="00884442">
      <w:pPr>
        <w:rPr>
          <w:rFonts w:eastAsiaTheme="majorEastAsia"/>
        </w:rPr>
      </w:pPr>
    </w:p>
    <w:p w14:paraId="5AC17934" w14:textId="77777777" w:rsidR="00457544" w:rsidRDefault="00457544" w:rsidP="00884442">
      <w:pPr>
        <w:rPr>
          <w:rFonts w:eastAsiaTheme="majorEastAsia"/>
        </w:rPr>
      </w:pPr>
    </w:p>
    <w:p w14:paraId="4B53A5DE" w14:textId="77777777" w:rsidR="00457544" w:rsidRDefault="00457544" w:rsidP="00884442">
      <w:pPr>
        <w:rPr>
          <w:rFonts w:eastAsiaTheme="majorEastAsia"/>
        </w:rPr>
      </w:pPr>
    </w:p>
    <w:tbl>
      <w:tblPr>
        <w:tblStyle w:val="TableGrid"/>
        <w:tblW w:w="0" w:type="auto"/>
        <w:tblLook w:val="04A0" w:firstRow="1" w:lastRow="0" w:firstColumn="1" w:lastColumn="0" w:noHBand="0" w:noVBand="1"/>
      </w:tblPr>
      <w:tblGrid>
        <w:gridCol w:w="3612"/>
        <w:gridCol w:w="2095"/>
        <w:gridCol w:w="2092"/>
        <w:gridCol w:w="2223"/>
        <w:gridCol w:w="2092"/>
        <w:gridCol w:w="1844"/>
      </w:tblGrid>
      <w:tr w:rsidR="00457544" w14:paraId="6C21B9C0" w14:textId="77777777" w:rsidTr="00D609FD">
        <w:tc>
          <w:tcPr>
            <w:tcW w:w="3652" w:type="dxa"/>
            <w:tcBorders>
              <w:top w:val="nil"/>
              <w:left w:val="nil"/>
              <w:bottom w:val="nil"/>
              <w:right w:val="nil"/>
            </w:tcBorders>
          </w:tcPr>
          <w:p w14:paraId="41D08392" w14:textId="77777777" w:rsidR="00457544" w:rsidRDefault="00457544" w:rsidP="00D609FD">
            <w:pPr>
              <w:rPr>
                <w:rFonts w:eastAsiaTheme="majorEastAsia"/>
              </w:rPr>
            </w:pPr>
          </w:p>
        </w:tc>
        <w:tc>
          <w:tcPr>
            <w:tcW w:w="2126" w:type="dxa"/>
            <w:tcBorders>
              <w:top w:val="nil"/>
              <w:left w:val="nil"/>
              <w:bottom w:val="nil"/>
              <w:right w:val="nil"/>
            </w:tcBorders>
          </w:tcPr>
          <w:p w14:paraId="7754626F" w14:textId="77777777" w:rsidR="00457544" w:rsidRPr="00BA26B9" w:rsidRDefault="00457544" w:rsidP="00D609FD">
            <w:pPr>
              <w:jc w:val="center"/>
              <w:rPr>
                <w:rFonts w:eastAsiaTheme="majorEastAsia"/>
                <w:b/>
              </w:rPr>
            </w:pPr>
            <w:r w:rsidRPr="00BA26B9">
              <w:rPr>
                <w:rFonts w:eastAsiaTheme="majorEastAsia"/>
                <w:b/>
              </w:rPr>
              <w:t>Carrying amount</w:t>
            </w:r>
          </w:p>
        </w:tc>
        <w:tc>
          <w:tcPr>
            <w:tcW w:w="4395" w:type="dxa"/>
            <w:gridSpan w:val="2"/>
            <w:tcBorders>
              <w:top w:val="nil"/>
              <w:left w:val="nil"/>
              <w:bottom w:val="nil"/>
              <w:right w:val="nil"/>
            </w:tcBorders>
          </w:tcPr>
          <w:p w14:paraId="7B5139D3" w14:textId="77777777" w:rsidR="00457544" w:rsidRPr="00BA26B9" w:rsidRDefault="00457544" w:rsidP="00D609FD">
            <w:pPr>
              <w:jc w:val="center"/>
              <w:rPr>
                <w:rFonts w:eastAsiaTheme="majorEastAsia"/>
                <w:b/>
              </w:rPr>
            </w:pPr>
            <w:r w:rsidRPr="00BA26B9">
              <w:rPr>
                <w:rFonts w:eastAsiaTheme="majorEastAsia"/>
                <w:b/>
              </w:rPr>
              <w:t>-100 basis points</w:t>
            </w:r>
          </w:p>
        </w:tc>
        <w:tc>
          <w:tcPr>
            <w:tcW w:w="4001" w:type="dxa"/>
            <w:gridSpan w:val="2"/>
            <w:tcBorders>
              <w:top w:val="nil"/>
              <w:left w:val="nil"/>
              <w:bottom w:val="nil"/>
              <w:right w:val="nil"/>
            </w:tcBorders>
          </w:tcPr>
          <w:p w14:paraId="76245D71" w14:textId="77777777" w:rsidR="00457544" w:rsidRPr="00BA26B9" w:rsidRDefault="00457544" w:rsidP="00D609FD">
            <w:pPr>
              <w:jc w:val="center"/>
              <w:rPr>
                <w:rFonts w:eastAsiaTheme="majorEastAsia"/>
                <w:b/>
              </w:rPr>
            </w:pPr>
            <w:r w:rsidRPr="00BA26B9">
              <w:rPr>
                <w:rFonts w:eastAsiaTheme="majorEastAsia"/>
                <w:b/>
              </w:rPr>
              <w:t>+100 basis points</w:t>
            </w:r>
          </w:p>
        </w:tc>
      </w:tr>
      <w:tr w:rsidR="00457544" w14:paraId="4AC4DF43" w14:textId="77777777" w:rsidTr="00D609FD">
        <w:tc>
          <w:tcPr>
            <w:tcW w:w="3652" w:type="dxa"/>
            <w:tcBorders>
              <w:top w:val="nil"/>
              <w:left w:val="nil"/>
              <w:bottom w:val="nil"/>
              <w:right w:val="nil"/>
            </w:tcBorders>
          </w:tcPr>
          <w:p w14:paraId="64DFE4C6" w14:textId="2E55151A" w:rsidR="00457544" w:rsidRDefault="00457544" w:rsidP="00D609FD">
            <w:pPr>
              <w:rPr>
                <w:rFonts w:eastAsiaTheme="majorEastAsia"/>
              </w:rPr>
            </w:pPr>
            <w:r>
              <w:rPr>
                <w:rFonts w:eastAsiaTheme="majorEastAsia"/>
                <w:b/>
              </w:rPr>
              <w:t>2014</w:t>
            </w:r>
            <w:r>
              <w:rPr>
                <w:rFonts w:eastAsiaTheme="majorEastAsia"/>
              </w:rPr>
              <w:br/>
            </w:r>
            <w:r w:rsidRPr="00884442">
              <w:rPr>
                <w:rFonts w:eastAsiaTheme="majorEastAsia"/>
                <w:i/>
              </w:rPr>
              <w:t>Financial Assets</w:t>
            </w:r>
          </w:p>
        </w:tc>
        <w:tc>
          <w:tcPr>
            <w:tcW w:w="2126" w:type="dxa"/>
            <w:tcBorders>
              <w:top w:val="nil"/>
              <w:left w:val="nil"/>
              <w:bottom w:val="nil"/>
              <w:right w:val="nil"/>
            </w:tcBorders>
          </w:tcPr>
          <w:p w14:paraId="7C585AAA" w14:textId="77777777" w:rsidR="00457544" w:rsidRPr="00BA26B9" w:rsidRDefault="00457544" w:rsidP="00672196">
            <w:pPr>
              <w:jc w:val="right"/>
              <w:rPr>
                <w:rFonts w:eastAsiaTheme="majorEastAsia"/>
                <w:b/>
              </w:rPr>
            </w:pPr>
            <w:r w:rsidRPr="00BA26B9">
              <w:rPr>
                <w:rFonts w:eastAsiaTheme="majorEastAsia"/>
                <w:b/>
              </w:rPr>
              <w:br/>
              <w:t>$000</w:t>
            </w:r>
          </w:p>
        </w:tc>
        <w:tc>
          <w:tcPr>
            <w:tcW w:w="2127" w:type="dxa"/>
            <w:tcBorders>
              <w:top w:val="nil"/>
              <w:left w:val="nil"/>
              <w:bottom w:val="nil"/>
              <w:right w:val="nil"/>
            </w:tcBorders>
          </w:tcPr>
          <w:p w14:paraId="649B2AAF" w14:textId="77777777" w:rsidR="00457544" w:rsidRPr="00BA26B9" w:rsidRDefault="00457544" w:rsidP="00672196">
            <w:pPr>
              <w:jc w:val="right"/>
              <w:rPr>
                <w:rFonts w:eastAsiaTheme="majorEastAsia"/>
                <w:b/>
              </w:rPr>
            </w:pPr>
            <w:r w:rsidRPr="00BA26B9">
              <w:rPr>
                <w:rFonts w:eastAsiaTheme="majorEastAsia"/>
                <w:b/>
              </w:rPr>
              <w:t>Surplus</w:t>
            </w:r>
            <w:r w:rsidRPr="00BA26B9">
              <w:rPr>
                <w:rFonts w:eastAsiaTheme="majorEastAsia"/>
                <w:b/>
              </w:rPr>
              <w:br/>
              <w:t>$000</w:t>
            </w:r>
          </w:p>
        </w:tc>
        <w:tc>
          <w:tcPr>
            <w:tcW w:w="2268" w:type="dxa"/>
            <w:tcBorders>
              <w:top w:val="nil"/>
              <w:left w:val="nil"/>
              <w:bottom w:val="nil"/>
              <w:right w:val="nil"/>
            </w:tcBorders>
          </w:tcPr>
          <w:p w14:paraId="2FC1703D" w14:textId="77777777" w:rsidR="00457544" w:rsidRPr="00BA26B9" w:rsidRDefault="00457544" w:rsidP="00672196">
            <w:pPr>
              <w:jc w:val="right"/>
              <w:rPr>
                <w:rFonts w:eastAsiaTheme="majorEastAsia"/>
                <w:b/>
              </w:rPr>
            </w:pPr>
            <w:r w:rsidRPr="00BA26B9">
              <w:rPr>
                <w:rFonts w:eastAsiaTheme="majorEastAsia"/>
                <w:b/>
              </w:rPr>
              <w:t>Equity</w:t>
            </w:r>
            <w:r w:rsidRPr="00BA26B9">
              <w:rPr>
                <w:rFonts w:eastAsiaTheme="majorEastAsia"/>
                <w:b/>
              </w:rPr>
              <w:br/>
              <w:t>$000</w:t>
            </w:r>
          </w:p>
        </w:tc>
        <w:tc>
          <w:tcPr>
            <w:tcW w:w="2126" w:type="dxa"/>
            <w:tcBorders>
              <w:top w:val="nil"/>
              <w:left w:val="nil"/>
              <w:bottom w:val="nil"/>
              <w:right w:val="nil"/>
            </w:tcBorders>
          </w:tcPr>
          <w:p w14:paraId="2AFBA6E2" w14:textId="77777777" w:rsidR="00457544" w:rsidRPr="00BA26B9" w:rsidRDefault="00457544" w:rsidP="00672196">
            <w:pPr>
              <w:jc w:val="right"/>
              <w:rPr>
                <w:rFonts w:eastAsiaTheme="majorEastAsia"/>
                <w:b/>
              </w:rPr>
            </w:pPr>
            <w:r w:rsidRPr="00BA26B9">
              <w:rPr>
                <w:rFonts w:eastAsiaTheme="majorEastAsia"/>
                <w:b/>
              </w:rPr>
              <w:t>Surplus</w:t>
            </w:r>
            <w:r w:rsidRPr="00BA26B9">
              <w:rPr>
                <w:rFonts w:eastAsiaTheme="majorEastAsia"/>
                <w:b/>
              </w:rPr>
              <w:br/>
              <w:t>$000</w:t>
            </w:r>
          </w:p>
        </w:tc>
        <w:tc>
          <w:tcPr>
            <w:tcW w:w="1875" w:type="dxa"/>
            <w:tcBorders>
              <w:top w:val="nil"/>
              <w:left w:val="nil"/>
              <w:bottom w:val="nil"/>
              <w:right w:val="nil"/>
            </w:tcBorders>
          </w:tcPr>
          <w:p w14:paraId="133DF3F6" w14:textId="77777777" w:rsidR="00457544" w:rsidRPr="00BA26B9" w:rsidRDefault="00457544" w:rsidP="00672196">
            <w:pPr>
              <w:jc w:val="right"/>
              <w:rPr>
                <w:rFonts w:eastAsiaTheme="majorEastAsia"/>
                <w:b/>
              </w:rPr>
            </w:pPr>
            <w:r w:rsidRPr="00BA26B9">
              <w:rPr>
                <w:rFonts w:eastAsiaTheme="majorEastAsia"/>
                <w:b/>
              </w:rPr>
              <w:t>Equity</w:t>
            </w:r>
            <w:r w:rsidRPr="00BA26B9">
              <w:rPr>
                <w:rFonts w:eastAsiaTheme="majorEastAsia"/>
                <w:b/>
              </w:rPr>
              <w:br/>
              <w:t>$000</w:t>
            </w:r>
          </w:p>
        </w:tc>
      </w:tr>
      <w:tr w:rsidR="00457544" w14:paraId="45C16983" w14:textId="77777777" w:rsidTr="00457544">
        <w:tc>
          <w:tcPr>
            <w:tcW w:w="3652" w:type="dxa"/>
            <w:tcBorders>
              <w:top w:val="nil"/>
              <w:left w:val="nil"/>
              <w:bottom w:val="nil"/>
              <w:right w:val="nil"/>
            </w:tcBorders>
          </w:tcPr>
          <w:p w14:paraId="7DB5DE55" w14:textId="77777777" w:rsidR="00457544" w:rsidRDefault="00457544" w:rsidP="00D609FD">
            <w:pPr>
              <w:rPr>
                <w:rFonts w:eastAsiaTheme="majorEastAsia"/>
              </w:rPr>
            </w:pPr>
            <w:r>
              <w:rPr>
                <w:rFonts w:eastAsiaTheme="majorEastAsia"/>
              </w:rPr>
              <w:t xml:space="preserve">Cash and cash equivalents </w:t>
            </w:r>
          </w:p>
        </w:tc>
        <w:tc>
          <w:tcPr>
            <w:tcW w:w="2126" w:type="dxa"/>
            <w:tcBorders>
              <w:top w:val="nil"/>
              <w:left w:val="nil"/>
              <w:bottom w:val="nil"/>
              <w:right w:val="nil"/>
            </w:tcBorders>
            <w:shd w:val="clear" w:color="auto" w:fill="BAD0CD" w:themeFill="accent5" w:themeFillShade="E6"/>
          </w:tcPr>
          <w:p w14:paraId="451F70A5" w14:textId="11D14657" w:rsidR="00457544" w:rsidRDefault="00E1660D" w:rsidP="00D609FD">
            <w:pPr>
              <w:jc w:val="right"/>
              <w:rPr>
                <w:rFonts w:eastAsiaTheme="majorEastAsia"/>
              </w:rPr>
            </w:pPr>
            <w:r>
              <w:rPr>
                <w:rFonts w:eastAsiaTheme="majorEastAsia"/>
              </w:rPr>
              <w:t>878</w:t>
            </w:r>
          </w:p>
        </w:tc>
        <w:tc>
          <w:tcPr>
            <w:tcW w:w="2127" w:type="dxa"/>
            <w:tcBorders>
              <w:top w:val="nil"/>
              <w:left w:val="nil"/>
              <w:bottom w:val="nil"/>
              <w:right w:val="nil"/>
            </w:tcBorders>
            <w:shd w:val="clear" w:color="auto" w:fill="D4E2E0" w:themeFill="accent5"/>
          </w:tcPr>
          <w:p w14:paraId="623136E4" w14:textId="24842FE1" w:rsidR="00457544" w:rsidRDefault="00E1660D" w:rsidP="00D609FD">
            <w:pPr>
              <w:jc w:val="right"/>
              <w:rPr>
                <w:rFonts w:eastAsiaTheme="majorEastAsia"/>
              </w:rPr>
            </w:pPr>
            <w:r>
              <w:rPr>
                <w:rFonts w:eastAsiaTheme="majorEastAsia"/>
              </w:rPr>
              <w:t>(8)</w:t>
            </w:r>
          </w:p>
        </w:tc>
        <w:tc>
          <w:tcPr>
            <w:tcW w:w="2268" w:type="dxa"/>
            <w:tcBorders>
              <w:top w:val="nil"/>
              <w:left w:val="nil"/>
              <w:bottom w:val="nil"/>
              <w:right w:val="nil"/>
            </w:tcBorders>
            <w:shd w:val="clear" w:color="auto" w:fill="BAD0CD" w:themeFill="accent5" w:themeFillShade="E6"/>
          </w:tcPr>
          <w:p w14:paraId="1513B793" w14:textId="7E2D8E05" w:rsidR="00457544" w:rsidRDefault="00E1660D" w:rsidP="00D609FD">
            <w:pPr>
              <w:jc w:val="right"/>
              <w:rPr>
                <w:rFonts w:eastAsiaTheme="majorEastAsia"/>
              </w:rPr>
            </w:pPr>
            <w:r>
              <w:rPr>
                <w:rFonts w:eastAsiaTheme="majorEastAsia"/>
              </w:rPr>
              <w:t>(8)</w:t>
            </w:r>
          </w:p>
        </w:tc>
        <w:tc>
          <w:tcPr>
            <w:tcW w:w="2126" w:type="dxa"/>
            <w:tcBorders>
              <w:top w:val="nil"/>
              <w:left w:val="nil"/>
              <w:bottom w:val="nil"/>
              <w:right w:val="nil"/>
            </w:tcBorders>
            <w:shd w:val="clear" w:color="auto" w:fill="D4E2E0" w:themeFill="accent5"/>
          </w:tcPr>
          <w:p w14:paraId="307647B6" w14:textId="34AE5A5E" w:rsidR="00457544" w:rsidRDefault="00E1660D" w:rsidP="00D609FD">
            <w:pPr>
              <w:jc w:val="right"/>
              <w:rPr>
                <w:rFonts w:eastAsiaTheme="majorEastAsia"/>
              </w:rPr>
            </w:pPr>
            <w:r>
              <w:rPr>
                <w:rFonts w:eastAsiaTheme="majorEastAsia"/>
              </w:rPr>
              <w:t>8</w:t>
            </w:r>
          </w:p>
        </w:tc>
        <w:tc>
          <w:tcPr>
            <w:tcW w:w="1875" w:type="dxa"/>
            <w:tcBorders>
              <w:top w:val="nil"/>
              <w:left w:val="nil"/>
              <w:bottom w:val="nil"/>
              <w:right w:val="nil"/>
            </w:tcBorders>
            <w:shd w:val="clear" w:color="auto" w:fill="BAD0CD" w:themeFill="accent5" w:themeFillShade="E6"/>
          </w:tcPr>
          <w:p w14:paraId="44A9EBA1" w14:textId="1FCD8811" w:rsidR="00457544" w:rsidRDefault="00E1660D" w:rsidP="00D609FD">
            <w:pPr>
              <w:jc w:val="right"/>
              <w:rPr>
                <w:rFonts w:eastAsiaTheme="majorEastAsia"/>
              </w:rPr>
            </w:pPr>
            <w:r>
              <w:rPr>
                <w:rFonts w:eastAsiaTheme="majorEastAsia"/>
              </w:rPr>
              <w:t>8</w:t>
            </w:r>
          </w:p>
        </w:tc>
      </w:tr>
      <w:tr w:rsidR="00457544" w14:paraId="309754B0" w14:textId="77777777" w:rsidTr="00457544">
        <w:tc>
          <w:tcPr>
            <w:tcW w:w="3652" w:type="dxa"/>
            <w:tcBorders>
              <w:top w:val="nil"/>
              <w:left w:val="nil"/>
              <w:bottom w:val="nil"/>
              <w:right w:val="nil"/>
            </w:tcBorders>
          </w:tcPr>
          <w:p w14:paraId="27F9A141" w14:textId="77777777" w:rsidR="00457544" w:rsidRDefault="00457544" w:rsidP="00D609FD">
            <w:pPr>
              <w:rPr>
                <w:rFonts w:eastAsiaTheme="majorEastAsia"/>
              </w:rPr>
            </w:pPr>
            <w:r>
              <w:rPr>
                <w:rFonts w:eastAsiaTheme="majorEastAsia"/>
              </w:rPr>
              <w:t>Restricted cash and cash equivalents</w:t>
            </w:r>
          </w:p>
        </w:tc>
        <w:tc>
          <w:tcPr>
            <w:tcW w:w="2126" w:type="dxa"/>
            <w:tcBorders>
              <w:top w:val="nil"/>
              <w:left w:val="nil"/>
              <w:bottom w:val="nil"/>
              <w:right w:val="nil"/>
            </w:tcBorders>
            <w:shd w:val="clear" w:color="auto" w:fill="BAD0CD" w:themeFill="accent5" w:themeFillShade="E6"/>
          </w:tcPr>
          <w:p w14:paraId="2EAC0C36" w14:textId="2AE9A555" w:rsidR="00457544" w:rsidRDefault="00E1660D" w:rsidP="00D609FD">
            <w:pPr>
              <w:jc w:val="right"/>
              <w:rPr>
                <w:rFonts w:eastAsiaTheme="majorEastAsia"/>
              </w:rPr>
            </w:pPr>
            <w:r>
              <w:rPr>
                <w:rFonts w:eastAsiaTheme="majorEastAsia"/>
              </w:rPr>
              <w:t>72,607</w:t>
            </w:r>
          </w:p>
        </w:tc>
        <w:tc>
          <w:tcPr>
            <w:tcW w:w="2127" w:type="dxa"/>
            <w:tcBorders>
              <w:top w:val="nil"/>
              <w:left w:val="nil"/>
              <w:bottom w:val="nil"/>
              <w:right w:val="nil"/>
            </w:tcBorders>
            <w:shd w:val="clear" w:color="auto" w:fill="D4E2E0" w:themeFill="accent5"/>
          </w:tcPr>
          <w:p w14:paraId="195D460A" w14:textId="0621A763" w:rsidR="00457544" w:rsidRDefault="00E1660D" w:rsidP="00D609FD">
            <w:pPr>
              <w:jc w:val="right"/>
              <w:rPr>
                <w:rFonts w:eastAsiaTheme="majorEastAsia"/>
              </w:rPr>
            </w:pPr>
            <w:r>
              <w:rPr>
                <w:rFonts w:eastAsiaTheme="majorEastAsia"/>
              </w:rPr>
              <w:t>(726)</w:t>
            </w:r>
          </w:p>
        </w:tc>
        <w:tc>
          <w:tcPr>
            <w:tcW w:w="2268" w:type="dxa"/>
            <w:tcBorders>
              <w:top w:val="nil"/>
              <w:left w:val="nil"/>
              <w:bottom w:val="nil"/>
              <w:right w:val="nil"/>
            </w:tcBorders>
            <w:shd w:val="clear" w:color="auto" w:fill="BAD0CD" w:themeFill="accent5" w:themeFillShade="E6"/>
          </w:tcPr>
          <w:p w14:paraId="2A54BFFB" w14:textId="541F4393" w:rsidR="00457544" w:rsidRDefault="00E1660D" w:rsidP="00D609FD">
            <w:pPr>
              <w:jc w:val="right"/>
              <w:rPr>
                <w:rFonts w:eastAsiaTheme="majorEastAsia"/>
              </w:rPr>
            </w:pPr>
            <w:r>
              <w:rPr>
                <w:rFonts w:eastAsiaTheme="majorEastAsia"/>
              </w:rPr>
              <w:t>(726)</w:t>
            </w:r>
          </w:p>
        </w:tc>
        <w:tc>
          <w:tcPr>
            <w:tcW w:w="2126" w:type="dxa"/>
            <w:tcBorders>
              <w:top w:val="nil"/>
              <w:left w:val="nil"/>
              <w:bottom w:val="nil"/>
              <w:right w:val="nil"/>
            </w:tcBorders>
            <w:shd w:val="clear" w:color="auto" w:fill="D4E2E0" w:themeFill="accent5"/>
          </w:tcPr>
          <w:p w14:paraId="1055CB91" w14:textId="4E704A99" w:rsidR="00457544" w:rsidRDefault="00E1660D" w:rsidP="00D609FD">
            <w:pPr>
              <w:jc w:val="right"/>
              <w:rPr>
                <w:rFonts w:eastAsiaTheme="majorEastAsia"/>
              </w:rPr>
            </w:pPr>
            <w:r>
              <w:rPr>
                <w:rFonts w:eastAsiaTheme="majorEastAsia"/>
              </w:rPr>
              <w:t>726</w:t>
            </w:r>
          </w:p>
        </w:tc>
        <w:tc>
          <w:tcPr>
            <w:tcW w:w="1875" w:type="dxa"/>
            <w:tcBorders>
              <w:top w:val="nil"/>
              <w:left w:val="nil"/>
              <w:bottom w:val="nil"/>
              <w:right w:val="nil"/>
            </w:tcBorders>
            <w:shd w:val="clear" w:color="auto" w:fill="BAD0CD" w:themeFill="accent5" w:themeFillShade="E6"/>
          </w:tcPr>
          <w:p w14:paraId="466F22D0" w14:textId="44EAB483" w:rsidR="00457544" w:rsidRDefault="00E1660D" w:rsidP="00D609FD">
            <w:pPr>
              <w:jc w:val="right"/>
              <w:rPr>
                <w:rFonts w:eastAsiaTheme="majorEastAsia"/>
              </w:rPr>
            </w:pPr>
            <w:r>
              <w:rPr>
                <w:rFonts w:eastAsiaTheme="majorEastAsia"/>
              </w:rPr>
              <w:t>726</w:t>
            </w:r>
          </w:p>
        </w:tc>
      </w:tr>
      <w:tr w:rsidR="00457544" w14:paraId="518A31DA" w14:textId="77777777" w:rsidTr="00457544">
        <w:tc>
          <w:tcPr>
            <w:tcW w:w="3652" w:type="dxa"/>
            <w:tcBorders>
              <w:top w:val="nil"/>
              <w:left w:val="nil"/>
              <w:bottom w:val="nil"/>
              <w:right w:val="nil"/>
            </w:tcBorders>
          </w:tcPr>
          <w:p w14:paraId="3898B696" w14:textId="77777777" w:rsidR="00457544" w:rsidRPr="00BA26B9" w:rsidRDefault="00457544" w:rsidP="00D609FD">
            <w:pPr>
              <w:rPr>
                <w:rFonts w:eastAsiaTheme="majorEastAsia"/>
                <w:b/>
              </w:rPr>
            </w:pPr>
            <w:r w:rsidRPr="00BA26B9">
              <w:rPr>
                <w:rFonts w:eastAsiaTheme="majorEastAsia"/>
                <w:b/>
              </w:rPr>
              <w:t>Total Increase/(Decrease)</w:t>
            </w:r>
          </w:p>
        </w:tc>
        <w:tc>
          <w:tcPr>
            <w:tcW w:w="2126" w:type="dxa"/>
            <w:tcBorders>
              <w:top w:val="nil"/>
              <w:left w:val="nil"/>
              <w:bottom w:val="nil"/>
              <w:right w:val="nil"/>
            </w:tcBorders>
          </w:tcPr>
          <w:p w14:paraId="55A15961" w14:textId="77777777" w:rsidR="00457544" w:rsidRPr="00BA26B9" w:rsidRDefault="00457544" w:rsidP="00E1660D">
            <w:pPr>
              <w:jc w:val="center"/>
              <w:rPr>
                <w:rFonts w:eastAsiaTheme="majorEastAsia"/>
                <w:b/>
              </w:rPr>
            </w:pPr>
          </w:p>
        </w:tc>
        <w:tc>
          <w:tcPr>
            <w:tcW w:w="2127" w:type="dxa"/>
            <w:tcBorders>
              <w:top w:val="nil"/>
              <w:left w:val="nil"/>
              <w:bottom w:val="single" w:sz="4" w:space="0" w:color="auto"/>
              <w:right w:val="nil"/>
            </w:tcBorders>
            <w:shd w:val="clear" w:color="auto" w:fill="D4E2E0" w:themeFill="accent5"/>
          </w:tcPr>
          <w:p w14:paraId="29EEC39E" w14:textId="7B1BD2C3" w:rsidR="00457544" w:rsidRPr="00BA26B9" w:rsidRDefault="00E1660D" w:rsidP="00D609FD">
            <w:pPr>
              <w:jc w:val="right"/>
              <w:rPr>
                <w:rFonts w:eastAsiaTheme="majorEastAsia"/>
                <w:b/>
              </w:rPr>
            </w:pPr>
            <w:r>
              <w:rPr>
                <w:rFonts w:eastAsiaTheme="majorEastAsia"/>
                <w:b/>
              </w:rPr>
              <w:t>(734)</w:t>
            </w:r>
          </w:p>
        </w:tc>
        <w:tc>
          <w:tcPr>
            <w:tcW w:w="2268" w:type="dxa"/>
            <w:tcBorders>
              <w:top w:val="nil"/>
              <w:left w:val="nil"/>
              <w:bottom w:val="single" w:sz="4" w:space="0" w:color="auto"/>
              <w:right w:val="nil"/>
            </w:tcBorders>
            <w:shd w:val="clear" w:color="auto" w:fill="BAD0CD" w:themeFill="accent5" w:themeFillShade="E6"/>
          </w:tcPr>
          <w:p w14:paraId="47D35505" w14:textId="7571867C" w:rsidR="00457544" w:rsidRPr="00BA26B9" w:rsidRDefault="00E1660D" w:rsidP="00D609FD">
            <w:pPr>
              <w:jc w:val="right"/>
              <w:rPr>
                <w:rFonts w:eastAsiaTheme="majorEastAsia"/>
                <w:b/>
              </w:rPr>
            </w:pPr>
            <w:r>
              <w:rPr>
                <w:rFonts w:eastAsiaTheme="majorEastAsia"/>
                <w:b/>
              </w:rPr>
              <w:t>(734)</w:t>
            </w:r>
          </w:p>
        </w:tc>
        <w:tc>
          <w:tcPr>
            <w:tcW w:w="2126" w:type="dxa"/>
            <w:tcBorders>
              <w:top w:val="nil"/>
              <w:left w:val="nil"/>
              <w:bottom w:val="single" w:sz="4" w:space="0" w:color="auto"/>
              <w:right w:val="nil"/>
            </w:tcBorders>
            <w:shd w:val="clear" w:color="auto" w:fill="D4E2E0" w:themeFill="accent5"/>
          </w:tcPr>
          <w:p w14:paraId="11718BBE" w14:textId="1F4148CC" w:rsidR="00457544" w:rsidRPr="00BA26B9" w:rsidRDefault="00E1660D" w:rsidP="00D609FD">
            <w:pPr>
              <w:jc w:val="right"/>
              <w:rPr>
                <w:rFonts w:eastAsiaTheme="majorEastAsia"/>
                <w:b/>
              </w:rPr>
            </w:pPr>
            <w:r>
              <w:rPr>
                <w:rFonts w:eastAsiaTheme="majorEastAsia"/>
                <w:b/>
              </w:rPr>
              <w:t>734</w:t>
            </w:r>
          </w:p>
        </w:tc>
        <w:tc>
          <w:tcPr>
            <w:tcW w:w="1875" w:type="dxa"/>
            <w:tcBorders>
              <w:top w:val="nil"/>
              <w:left w:val="nil"/>
              <w:bottom w:val="single" w:sz="4" w:space="0" w:color="auto"/>
              <w:right w:val="nil"/>
            </w:tcBorders>
            <w:shd w:val="clear" w:color="auto" w:fill="BAD0CD" w:themeFill="accent5" w:themeFillShade="E6"/>
          </w:tcPr>
          <w:p w14:paraId="4C0AB337" w14:textId="2692766E" w:rsidR="00457544" w:rsidRPr="00BA26B9" w:rsidRDefault="00E1660D" w:rsidP="00D609FD">
            <w:pPr>
              <w:jc w:val="right"/>
              <w:rPr>
                <w:rFonts w:eastAsiaTheme="majorEastAsia"/>
                <w:b/>
              </w:rPr>
            </w:pPr>
            <w:r>
              <w:rPr>
                <w:rFonts w:eastAsiaTheme="majorEastAsia"/>
                <w:b/>
              </w:rPr>
              <w:t>734</w:t>
            </w:r>
          </w:p>
        </w:tc>
      </w:tr>
    </w:tbl>
    <w:p w14:paraId="3DA74F1D" w14:textId="77777777" w:rsidR="00457544" w:rsidRPr="00884442" w:rsidRDefault="00457544" w:rsidP="00457544">
      <w:pPr>
        <w:rPr>
          <w:rFonts w:eastAsiaTheme="majorEastAsia"/>
        </w:rPr>
      </w:pPr>
    </w:p>
    <w:p w14:paraId="63E68027" w14:textId="77777777" w:rsidR="00E1660D" w:rsidRPr="00E1660D" w:rsidRDefault="00E1660D" w:rsidP="00E1660D">
      <w:pPr>
        <w:rPr>
          <w:rFonts w:eastAsiaTheme="majorEastAsia"/>
          <w:b/>
        </w:rPr>
      </w:pPr>
      <w:r w:rsidRPr="00E1660D">
        <w:rPr>
          <w:rFonts w:eastAsiaTheme="majorEastAsia"/>
          <w:b/>
        </w:rPr>
        <w:t>Fair value</w:t>
      </w:r>
    </w:p>
    <w:p w14:paraId="18229302" w14:textId="5CC5E49B" w:rsidR="00583619" w:rsidRDefault="00E1660D" w:rsidP="00884442">
      <w:pPr>
        <w:rPr>
          <w:rFonts w:eastAsiaTheme="majorEastAsia"/>
        </w:rPr>
        <w:sectPr w:rsidR="00583619" w:rsidSect="00BE6919">
          <w:pgSz w:w="16838" w:h="11906" w:orient="landscape"/>
          <w:pgMar w:top="1440" w:right="1440" w:bottom="1440" w:left="1440" w:header="709" w:footer="0" w:gutter="0"/>
          <w:cols w:space="708"/>
          <w:docGrid w:linePitch="360"/>
        </w:sectPr>
      </w:pPr>
      <w:r w:rsidRPr="00E1660D">
        <w:rPr>
          <w:rFonts w:eastAsiaTheme="majorEastAsia"/>
        </w:rPr>
        <w:t xml:space="preserve">All financial assets and liabilities recognised in the Statement of Financial Position, whether they are carried at cost or fair value, are recognised at amounts that represent a reasonable approximation of fair value unless otherwise </w:t>
      </w:r>
      <w:r w:rsidR="001F057B">
        <w:rPr>
          <w:rFonts w:eastAsiaTheme="majorEastAsia"/>
        </w:rPr>
        <w:t>stated in the applicable notes.</w:t>
      </w:r>
    </w:p>
    <w:p w14:paraId="5FFC65D0" w14:textId="15CD8F90" w:rsidR="001F057B" w:rsidRPr="001F057B" w:rsidRDefault="001F057B" w:rsidP="001F057B">
      <w:pPr>
        <w:pStyle w:val="Heading2nonumber"/>
        <w:numPr>
          <w:ilvl w:val="0"/>
          <w:numId w:val="15"/>
        </w:numPr>
      </w:pPr>
      <w:bookmarkStart w:id="718" w:name="_Toc430091396"/>
      <w:r>
        <w:t>R</w:t>
      </w:r>
      <w:r w:rsidRPr="001F057B">
        <w:t>emuneration of members of the accountable authority and senior officers</w:t>
      </w:r>
      <w:bookmarkEnd w:id="718"/>
    </w:p>
    <w:p w14:paraId="70DABFD7" w14:textId="77777777" w:rsidR="001F057B" w:rsidRPr="00DA1E18" w:rsidRDefault="001F057B" w:rsidP="001F057B">
      <w:pPr>
        <w:rPr>
          <w:rStyle w:val="Strong"/>
          <w:rFonts w:eastAsiaTheme="majorEastAsia"/>
        </w:rPr>
      </w:pPr>
      <w:r w:rsidRPr="00DA1E18">
        <w:rPr>
          <w:rStyle w:val="Strong"/>
          <w:rFonts w:eastAsiaTheme="majorEastAsia"/>
        </w:rPr>
        <w:t>Remuneration of members of the accountable authority</w:t>
      </w:r>
    </w:p>
    <w:p w14:paraId="25337306" w14:textId="12FE8ECC" w:rsidR="00457544" w:rsidRDefault="001F057B" w:rsidP="001F057B">
      <w:pPr>
        <w:rPr>
          <w:rFonts w:eastAsiaTheme="majorEastAsia"/>
        </w:rPr>
      </w:pPr>
      <w:r w:rsidRPr="001F057B">
        <w:rPr>
          <w:rFonts w:eastAsiaTheme="majorEastAsia"/>
        </w:rPr>
        <w:t>The number of members of the Accountable Authority, whose total of fees, salaries, superannuation, non-monetary benefits and other benefits for the financial year, fall within the following bands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2075"/>
        <w:gridCol w:w="1998"/>
      </w:tblGrid>
      <w:tr w:rsidR="009B3638" w14:paraId="2C9DBD31" w14:textId="77777777" w:rsidTr="00D609FD">
        <w:tc>
          <w:tcPr>
            <w:tcW w:w="5070" w:type="dxa"/>
          </w:tcPr>
          <w:p w14:paraId="2AEBF67E" w14:textId="77777777" w:rsidR="009B3638" w:rsidRDefault="009B3638" w:rsidP="00D609FD"/>
        </w:tc>
        <w:tc>
          <w:tcPr>
            <w:tcW w:w="2126" w:type="dxa"/>
          </w:tcPr>
          <w:p w14:paraId="395C1BA3" w14:textId="77777777" w:rsidR="009B3638" w:rsidRDefault="009B3638" w:rsidP="00D609FD">
            <w:pPr>
              <w:jc w:val="right"/>
            </w:pPr>
            <w:r>
              <w:t>2015</w:t>
            </w:r>
          </w:p>
        </w:tc>
        <w:tc>
          <w:tcPr>
            <w:tcW w:w="2046" w:type="dxa"/>
          </w:tcPr>
          <w:p w14:paraId="1D9D0A38" w14:textId="77777777" w:rsidR="009B3638" w:rsidRDefault="009B3638" w:rsidP="00D609FD">
            <w:pPr>
              <w:jc w:val="right"/>
            </w:pPr>
            <w:r>
              <w:t>2014</w:t>
            </w:r>
          </w:p>
        </w:tc>
      </w:tr>
      <w:tr w:rsidR="009B3638" w14:paraId="00625CD4" w14:textId="77777777" w:rsidTr="00D609FD">
        <w:tc>
          <w:tcPr>
            <w:tcW w:w="5070" w:type="dxa"/>
          </w:tcPr>
          <w:p w14:paraId="3A6FD924" w14:textId="41E68B04" w:rsidR="009B3638" w:rsidRDefault="009B3638" w:rsidP="009B3638">
            <w:pPr>
              <w:jc w:val="right"/>
            </w:pPr>
            <w:r>
              <w:t>$</w:t>
            </w:r>
          </w:p>
        </w:tc>
        <w:tc>
          <w:tcPr>
            <w:tcW w:w="2126" w:type="dxa"/>
          </w:tcPr>
          <w:p w14:paraId="6FEA19D5" w14:textId="3E832005" w:rsidR="009B3638" w:rsidRDefault="009B3638" w:rsidP="00D609FD">
            <w:pPr>
              <w:jc w:val="right"/>
            </w:pPr>
          </w:p>
        </w:tc>
        <w:tc>
          <w:tcPr>
            <w:tcW w:w="2046" w:type="dxa"/>
          </w:tcPr>
          <w:p w14:paraId="02EE05D5" w14:textId="47702700" w:rsidR="009B3638" w:rsidRDefault="009B3638" w:rsidP="00D609FD">
            <w:pPr>
              <w:jc w:val="right"/>
            </w:pPr>
          </w:p>
        </w:tc>
      </w:tr>
      <w:tr w:rsidR="009B3638" w14:paraId="1F3E887B" w14:textId="77777777" w:rsidTr="00D609FD">
        <w:tc>
          <w:tcPr>
            <w:tcW w:w="5070" w:type="dxa"/>
          </w:tcPr>
          <w:p w14:paraId="588FD715" w14:textId="768728FB" w:rsidR="009B3638" w:rsidRDefault="009B3638" w:rsidP="009B3638">
            <w:pPr>
              <w:jc w:val="right"/>
            </w:pPr>
            <w:r>
              <w:t>0 – 10,000</w:t>
            </w:r>
          </w:p>
        </w:tc>
        <w:tc>
          <w:tcPr>
            <w:tcW w:w="2126" w:type="dxa"/>
            <w:shd w:val="clear" w:color="auto" w:fill="F5EDC1" w:themeFill="accent4"/>
          </w:tcPr>
          <w:p w14:paraId="213B1598" w14:textId="3A3C0DDC" w:rsidR="009B3638" w:rsidRDefault="009B3638" w:rsidP="009B3638">
            <w:pPr>
              <w:jc w:val="right"/>
            </w:pPr>
            <w:r>
              <w:t>2</w:t>
            </w:r>
          </w:p>
        </w:tc>
        <w:tc>
          <w:tcPr>
            <w:tcW w:w="2046" w:type="dxa"/>
            <w:shd w:val="clear" w:color="auto" w:fill="D4E2E0" w:themeFill="accent5"/>
          </w:tcPr>
          <w:p w14:paraId="72B8310C" w14:textId="2CEC8152" w:rsidR="009B3638" w:rsidRDefault="009B3638" w:rsidP="009B3638">
            <w:pPr>
              <w:jc w:val="right"/>
            </w:pPr>
            <w:r>
              <w:t>2</w:t>
            </w:r>
          </w:p>
        </w:tc>
      </w:tr>
      <w:tr w:rsidR="009B3638" w14:paraId="68451D54" w14:textId="77777777" w:rsidTr="00D609FD">
        <w:tc>
          <w:tcPr>
            <w:tcW w:w="5070" w:type="dxa"/>
          </w:tcPr>
          <w:p w14:paraId="3D06988C" w14:textId="37FC0C68" w:rsidR="009B3638" w:rsidRDefault="009B3638" w:rsidP="009B3638">
            <w:pPr>
              <w:jc w:val="right"/>
            </w:pPr>
            <w:r>
              <w:t>10,001 – 20,000</w:t>
            </w:r>
          </w:p>
        </w:tc>
        <w:tc>
          <w:tcPr>
            <w:tcW w:w="2126" w:type="dxa"/>
            <w:shd w:val="clear" w:color="auto" w:fill="F5EDC1" w:themeFill="accent4"/>
          </w:tcPr>
          <w:p w14:paraId="4116FFBC" w14:textId="5B74B152" w:rsidR="009B3638" w:rsidRDefault="009B3638" w:rsidP="009B3638">
            <w:pPr>
              <w:jc w:val="right"/>
            </w:pPr>
            <w:r>
              <w:t>3</w:t>
            </w:r>
          </w:p>
        </w:tc>
        <w:tc>
          <w:tcPr>
            <w:tcW w:w="2046" w:type="dxa"/>
            <w:shd w:val="clear" w:color="auto" w:fill="D4E2E0" w:themeFill="accent5"/>
          </w:tcPr>
          <w:p w14:paraId="2A5DB713" w14:textId="26C371D4" w:rsidR="009B3638" w:rsidRDefault="009B3638" w:rsidP="009B3638">
            <w:pPr>
              <w:jc w:val="right"/>
            </w:pPr>
            <w:r>
              <w:t>3</w:t>
            </w:r>
          </w:p>
        </w:tc>
      </w:tr>
      <w:tr w:rsidR="009B3638" w14:paraId="45C8C2D0" w14:textId="77777777" w:rsidTr="00D609FD">
        <w:tc>
          <w:tcPr>
            <w:tcW w:w="5070" w:type="dxa"/>
          </w:tcPr>
          <w:p w14:paraId="69D4AD95" w14:textId="4EE17F0B" w:rsidR="009B3638" w:rsidRDefault="009B3638" w:rsidP="009B3638">
            <w:pPr>
              <w:jc w:val="right"/>
            </w:pPr>
            <w:r>
              <w:t>30,001 – 40,000</w:t>
            </w:r>
          </w:p>
        </w:tc>
        <w:tc>
          <w:tcPr>
            <w:tcW w:w="2126" w:type="dxa"/>
            <w:shd w:val="clear" w:color="auto" w:fill="F5EDC1" w:themeFill="accent4"/>
          </w:tcPr>
          <w:p w14:paraId="1F140B9E" w14:textId="3BD3A48F" w:rsidR="009B3638" w:rsidRDefault="009B3638" w:rsidP="009B3638">
            <w:pPr>
              <w:jc w:val="right"/>
            </w:pPr>
            <w:r>
              <w:t>1</w:t>
            </w:r>
          </w:p>
        </w:tc>
        <w:tc>
          <w:tcPr>
            <w:tcW w:w="2046" w:type="dxa"/>
            <w:shd w:val="clear" w:color="auto" w:fill="D4E2E0" w:themeFill="accent5"/>
          </w:tcPr>
          <w:p w14:paraId="5F0E61BF" w14:textId="415CDA71" w:rsidR="009B3638" w:rsidRDefault="009B3638" w:rsidP="009B3638">
            <w:pPr>
              <w:jc w:val="right"/>
            </w:pPr>
            <w:r>
              <w:t>1</w:t>
            </w:r>
          </w:p>
        </w:tc>
      </w:tr>
      <w:tr w:rsidR="009B3638" w14:paraId="5647625C" w14:textId="77777777" w:rsidTr="009B3638">
        <w:tc>
          <w:tcPr>
            <w:tcW w:w="5070" w:type="dxa"/>
          </w:tcPr>
          <w:p w14:paraId="3082DFF9" w14:textId="77777777" w:rsidR="009B3638" w:rsidRDefault="009B3638" w:rsidP="009B3638">
            <w:pPr>
              <w:jc w:val="right"/>
            </w:pPr>
          </w:p>
        </w:tc>
        <w:tc>
          <w:tcPr>
            <w:tcW w:w="2126" w:type="dxa"/>
            <w:shd w:val="clear" w:color="auto" w:fill="auto"/>
          </w:tcPr>
          <w:p w14:paraId="27D712B3" w14:textId="77777777" w:rsidR="009B3638" w:rsidRDefault="009B3638" w:rsidP="009B3638">
            <w:pPr>
              <w:jc w:val="right"/>
            </w:pPr>
          </w:p>
        </w:tc>
        <w:tc>
          <w:tcPr>
            <w:tcW w:w="2046" w:type="dxa"/>
            <w:shd w:val="clear" w:color="auto" w:fill="auto"/>
          </w:tcPr>
          <w:p w14:paraId="00F51C32" w14:textId="77777777" w:rsidR="009B3638" w:rsidRDefault="009B3638" w:rsidP="009B3638">
            <w:pPr>
              <w:jc w:val="right"/>
            </w:pPr>
          </w:p>
        </w:tc>
      </w:tr>
      <w:tr w:rsidR="009B3638" w14:paraId="35F06C97" w14:textId="77777777" w:rsidTr="009B3638">
        <w:tc>
          <w:tcPr>
            <w:tcW w:w="5070" w:type="dxa"/>
          </w:tcPr>
          <w:p w14:paraId="376F071C" w14:textId="50B9E076" w:rsidR="009B3638" w:rsidRDefault="009B3638" w:rsidP="009B3638">
            <w:r>
              <w:t>Base remuneration and superannuation</w:t>
            </w:r>
          </w:p>
        </w:tc>
        <w:tc>
          <w:tcPr>
            <w:tcW w:w="2126" w:type="dxa"/>
            <w:shd w:val="clear" w:color="auto" w:fill="F5EDC1" w:themeFill="accent4"/>
          </w:tcPr>
          <w:p w14:paraId="39707C0A" w14:textId="05E4FFF0" w:rsidR="009B3638" w:rsidRDefault="009B3638" w:rsidP="009B3638">
            <w:pPr>
              <w:jc w:val="right"/>
            </w:pPr>
            <w:r>
              <w:t>83</w:t>
            </w:r>
          </w:p>
        </w:tc>
        <w:tc>
          <w:tcPr>
            <w:tcW w:w="2046" w:type="dxa"/>
            <w:shd w:val="clear" w:color="auto" w:fill="D4E2E0" w:themeFill="accent5"/>
          </w:tcPr>
          <w:p w14:paraId="2B534E52" w14:textId="3D3B5156" w:rsidR="009B3638" w:rsidRDefault="009B3638" w:rsidP="009B3638">
            <w:pPr>
              <w:jc w:val="right"/>
            </w:pPr>
            <w:r>
              <w:t>86</w:t>
            </w:r>
          </w:p>
        </w:tc>
      </w:tr>
      <w:tr w:rsidR="009B3638" w14:paraId="19C51B96" w14:textId="77777777" w:rsidTr="009B3638">
        <w:tc>
          <w:tcPr>
            <w:tcW w:w="5070" w:type="dxa"/>
          </w:tcPr>
          <w:p w14:paraId="39075592" w14:textId="39C0086F" w:rsidR="009B3638" w:rsidRPr="009B3638" w:rsidRDefault="009B3638" w:rsidP="009B3638">
            <w:pPr>
              <w:rPr>
                <w:b/>
              </w:rPr>
            </w:pPr>
            <w:r w:rsidRPr="009B3638">
              <w:rPr>
                <w:b/>
              </w:rPr>
              <w:t>The total remuneration of members of the accountable authority</w:t>
            </w:r>
          </w:p>
        </w:tc>
        <w:tc>
          <w:tcPr>
            <w:tcW w:w="2126" w:type="dxa"/>
            <w:tcBorders>
              <w:bottom w:val="single" w:sz="4" w:space="0" w:color="auto"/>
            </w:tcBorders>
            <w:shd w:val="clear" w:color="auto" w:fill="F5EDC1" w:themeFill="accent4"/>
          </w:tcPr>
          <w:p w14:paraId="696A81CD" w14:textId="171053FB" w:rsidR="009B3638" w:rsidRPr="009B3638" w:rsidRDefault="009B3638" w:rsidP="009B3638">
            <w:pPr>
              <w:jc w:val="right"/>
              <w:rPr>
                <w:b/>
              </w:rPr>
            </w:pPr>
            <w:r w:rsidRPr="009B3638">
              <w:rPr>
                <w:b/>
              </w:rPr>
              <w:t>83</w:t>
            </w:r>
          </w:p>
        </w:tc>
        <w:tc>
          <w:tcPr>
            <w:tcW w:w="2046" w:type="dxa"/>
            <w:tcBorders>
              <w:bottom w:val="single" w:sz="4" w:space="0" w:color="auto"/>
            </w:tcBorders>
            <w:shd w:val="clear" w:color="auto" w:fill="D4E2E0" w:themeFill="accent5"/>
          </w:tcPr>
          <w:p w14:paraId="3602856B" w14:textId="68728CDD" w:rsidR="009B3638" w:rsidRPr="009B3638" w:rsidRDefault="009B3638" w:rsidP="009B3638">
            <w:pPr>
              <w:jc w:val="right"/>
              <w:rPr>
                <w:b/>
              </w:rPr>
            </w:pPr>
            <w:r w:rsidRPr="009B3638">
              <w:rPr>
                <w:b/>
              </w:rPr>
              <w:t>86</w:t>
            </w:r>
          </w:p>
        </w:tc>
      </w:tr>
    </w:tbl>
    <w:p w14:paraId="4E5195C8" w14:textId="77777777" w:rsidR="009B3638" w:rsidRDefault="009B3638" w:rsidP="001F057B">
      <w:pPr>
        <w:rPr>
          <w:rFonts w:eastAsiaTheme="majorEastAsia"/>
        </w:rPr>
      </w:pPr>
    </w:p>
    <w:p w14:paraId="3271A67F" w14:textId="0C472EE5" w:rsidR="009B3638" w:rsidRDefault="009B3638" w:rsidP="001F057B">
      <w:pPr>
        <w:rPr>
          <w:rFonts w:eastAsiaTheme="majorEastAsia"/>
        </w:rPr>
      </w:pPr>
      <w:r>
        <w:rPr>
          <w:rFonts w:eastAsiaTheme="majorEastAsia"/>
        </w:rPr>
        <w:t>The total remuneration includes the superannuation expense incurred by the Authority in respect of members of the accountable authority.</w:t>
      </w:r>
    </w:p>
    <w:p w14:paraId="4D0D24BC" w14:textId="79417D11" w:rsidR="009B3638" w:rsidRDefault="009B3638" w:rsidP="001F057B">
      <w:pPr>
        <w:rPr>
          <w:rFonts w:eastAsiaTheme="majorEastAsia"/>
        </w:rPr>
      </w:pPr>
      <w:r>
        <w:rPr>
          <w:rFonts w:eastAsiaTheme="majorEastAsia"/>
        </w:rPr>
        <w:t>No members of the Accountable Authority are members of the Pension Scheme.</w:t>
      </w:r>
    </w:p>
    <w:p w14:paraId="72AFAEE2" w14:textId="77777777" w:rsidR="00E93498" w:rsidRDefault="00E93498">
      <w:pPr>
        <w:keepLines w:val="0"/>
        <w:spacing w:after="0" w:line="240" w:lineRule="auto"/>
        <w:rPr>
          <w:rFonts w:eastAsiaTheme="majorEastAsia"/>
          <w:b/>
        </w:rPr>
      </w:pPr>
      <w:r>
        <w:rPr>
          <w:rFonts w:eastAsiaTheme="majorEastAsia"/>
          <w:b/>
        </w:rPr>
        <w:br w:type="page"/>
      </w:r>
    </w:p>
    <w:p w14:paraId="6E42949C" w14:textId="0EF89D1A" w:rsidR="00E93498" w:rsidRPr="00DA1E18" w:rsidRDefault="00E93498" w:rsidP="00E93498">
      <w:pPr>
        <w:rPr>
          <w:rStyle w:val="Strong"/>
          <w:rFonts w:eastAsiaTheme="majorEastAsia"/>
        </w:rPr>
      </w:pPr>
      <w:r w:rsidRPr="00DA1E18">
        <w:rPr>
          <w:rStyle w:val="Strong"/>
          <w:rFonts w:eastAsiaTheme="majorEastAsia"/>
        </w:rPr>
        <w:t>Remuneration of senior officers</w:t>
      </w:r>
    </w:p>
    <w:p w14:paraId="21DEBE91" w14:textId="0B4C154B" w:rsidR="009B3638" w:rsidRDefault="00E93498" w:rsidP="00E93498">
      <w:pPr>
        <w:rPr>
          <w:rFonts w:eastAsiaTheme="majorEastAsia"/>
        </w:rPr>
      </w:pPr>
      <w:r w:rsidRPr="00E93498">
        <w:rPr>
          <w:rFonts w:eastAsiaTheme="majorEastAsia"/>
        </w:rPr>
        <w:t>The number of senior officers, other than senior officers reported as members of the Accountable Authority, whose total fees, salaries, superannuation, non-monetary benefits and other benefits for the financial year, fall within the following bands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2077"/>
        <w:gridCol w:w="1998"/>
      </w:tblGrid>
      <w:tr w:rsidR="00E93498" w14:paraId="5A1ABDEE" w14:textId="77777777" w:rsidTr="00D609FD">
        <w:tc>
          <w:tcPr>
            <w:tcW w:w="5070" w:type="dxa"/>
          </w:tcPr>
          <w:p w14:paraId="0E96AC5E" w14:textId="77777777" w:rsidR="00E93498" w:rsidRDefault="00E93498" w:rsidP="00D609FD"/>
        </w:tc>
        <w:tc>
          <w:tcPr>
            <w:tcW w:w="2126" w:type="dxa"/>
          </w:tcPr>
          <w:p w14:paraId="455F3BBC" w14:textId="77777777" w:rsidR="00E93498" w:rsidRDefault="00E93498" w:rsidP="00D609FD">
            <w:pPr>
              <w:jc w:val="right"/>
            </w:pPr>
            <w:r>
              <w:t>2015</w:t>
            </w:r>
          </w:p>
        </w:tc>
        <w:tc>
          <w:tcPr>
            <w:tcW w:w="2046" w:type="dxa"/>
          </w:tcPr>
          <w:p w14:paraId="71836DDD" w14:textId="77777777" w:rsidR="00E93498" w:rsidRDefault="00E93498" w:rsidP="00D609FD">
            <w:pPr>
              <w:jc w:val="right"/>
            </w:pPr>
            <w:r>
              <w:t>2014</w:t>
            </w:r>
          </w:p>
        </w:tc>
      </w:tr>
      <w:tr w:rsidR="00E93498" w14:paraId="136C10B0" w14:textId="77777777" w:rsidTr="00D609FD">
        <w:tc>
          <w:tcPr>
            <w:tcW w:w="5070" w:type="dxa"/>
          </w:tcPr>
          <w:p w14:paraId="4EF53D09" w14:textId="77777777" w:rsidR="00E93498" w:rsidRDefault="00E93498" w:rsidP="00D609FD">
            <w:pPr>
              <w:jc w:val="right"/>
            </w:pPr>
            <w:r>
              <w:t>$</w:t>
            </w:r>
          </w:p>
        </w:tc>
        <w:tc>
          <w:tcPr>
            <w:tcW w:w="2126" w:type="dxa"/>
          </w:tcPr>
          <w:p w14:paraId="3133597D" w14:textId="77777777" w:rsidR="00E93498" w:rsidRDefault="00E93498" w:rsidP="00D609FD">
            <w:pPr>
              <w:jc w:val="right"/>
            </w:pPr>
          </w:p>
        </w:tc>
        <w:tc>
          <w:tcPr>
            <w:tcW w:w="2046" w:type="dxa"/>
          </w:tcPr>
          <w:p w14:paraId="19FCD45F" w14:textId="77777777" w:rsidR="00E93498" w:rsidRDefault="00E93498" w:rsidP="00D609FD">
            <w:pPr>
              <w:jc w:val="right"/>
            </w:pPr>
          </w:p>
        </w:tc>
      </w:tr>
      <w:tr w:rsidR="00E93498" w14:paraId="0B638194" w14:textId="77777777" w:rsidTr="00D609FD">
        <w:tc>
          <w:tcPr>
            <w:tcW w:w="5070" w:type="dxa"/>
          </w:tcPr>
          <w:p w14:paraId="33C8F10D" w14:textId="5856A714" w:rsidR="00E93498" w:rsidRDefault="00E93498" w:rsidP="00D609FD">
            <w:pPr>
              <w:jc w:val="right"/>
            </w:pPr>
            <w:r>
              <w:t>10,001 – 20,000</w:t>
            </w:r>
            <w:r w:rsidRPr="00E93498">
              <w:rPr>
                <w:vertAlign w:val="superscript"/>
              </w:rPr>
              <w:t>(a)</w:t>
            </w:r>
          </w:p>
        </w:tc>
        <w:tc>
          <w:tcPr>
            <w:tcW w:w="2126" w:type="dxa"/>
            <w:shd w:val="clear" w:color="auto" w:fill="F5EDC1" w:themeFill="accent4"/>
          </w:tcPr>
          <w:p w14:paraId="3ED453A5" w14:textId="2F5F2665" w:rsidR="00E93498" w:rsidRDefault="00E93498" w:rsidP="00D609FD">
            <w:pPr>
              <w:jc w:val="right"/>
            </w:pPr>
            <w:r>
              <w:t>1</w:t>
            </w:r>
          </w:p>
        </w:tc>
        <w:tc>
          <w:tcPr>
            <w:tcW w:w="2046" w:type="dxa"/>
            <w:shd w:val="clear" w:color="auto" w:fill="D4E2E0" w:themeFill="accent5"/>
          </w:tcPr>
          <w:p w14:paraId="7299A533" w14:textId="7050CBBA" w:rsidR="00E93498" w:rsidRDefault="00E93498" w:rsidP="00D609FD">
            <w:pPr>
              <w:jc w:val="right"/>
            </w:pPr>
            <w:r>
              <w:t>-</w:t>
            </w:r>
          </w:p>
        </w:tc>
      </w:tr>
      <w:tr w:rsidR="00E93498" w14:paraId="23BD7B1C" w14:textId="77777777" w:rsidTr="00D609FD">
        <w:tc>
          <w:tcPr>
            <w:tcW w:w="5070" w:type="dxa"/>
          </w:tcPr>
          <w:p w14:paraId="036EBB66" w14:textId="0F549C63" w:rsidR="00E93498" w:rsidRDefault="00E93498" w:rsidP="00D609FD">
            <w:pPr>
              <w:jc w:val="right"/>
            </w:pPr>
            <w:r>
              <w:t>20,001 – 30,000</w:t>
            </w:r>
            <w:r w:rsidRPr="00E93498">
              <w:rPr>
                <w:vertAlign w:val="superscript"/>
              </w:rPr>
              <w:t>(a)</w:t>
            </w:r>
          </w:p>
        </w:tc>
        <w:tc>
          <w:tcPr>
            <w:tcW w:w="2126" w:type="dxa"/>
            <w:shd w:val="clear" w:color="auto" w:fill="F5EDC1" w:themeFill="accent4"/>
          </w:tcPr>
          <w:p w14:paraId="4A17E71C" w14:textId="1D66C0B1" w:rsidR="00E93498" w:rsidRDefault="00E93498" w:rsidP="00D609FD">
            <w:pPr>
              <w:jc w:val="right"/>
            </w:pPr>
            <w:r>
              <w:t>1</w:t>
            </w:r>
          </w:p>
        </w:tc>
        <w:tc>
          <w:tcPr>
            <w:tcW w:w="2046" w:type="dxa"/>
            <w:shd w:val="clear" w:color="auto" w:fill="D4E2E0" w:themeFill="accent5"/>
          </w:tcPr>
          <w:p w14:paraId="1209F9B6" w14:textId="09FB04B8" w:rsidR="00E93498" w:rsidRDefault="00E93498" w:rsidP="00D609FD">
            <w:pPr>
              <w:jc w:val="right"/>
            </w:pPr>
            <w:r>
              <w:t>-</w:t>
            </w:r>
          </w:p>
        </w:tc>
      </w:tr>
      <w:tr w:rsidR="00E93498" w14:paraId="37673F6A" w14:textId="77777777" w:rsidTr="00D609FD">
        <w:tc>
          <w:tcPr>
            <w:tcW w:w="5070" w:type="dxa"/>
          </w:tcPr>
          <w:p w14:paraId="3728994B" w14:textId="3C00330B" w:rsidR="00E93498" w:rsidRDefault="00E93498" w:rsidP="00D609FD">
            <w:pPr>
              <w:jc w:val="right"/>
            </w:pPr>
            <w:r>
              <w:t>50,001 – 60,000</w:t>
            </w:r>
            <w:r w:rsidRPr="00E93498">
              <w:rPr>
                <w:vertAlign w:val="superscript"/>
              </w:rPr>
              <w:t>(a)</w:t>
            </w:r>
          </w:p>
        </w:tc>
        <w:tc>
          <w:tcPr>
            <w:tcW w:w="2126" w:type="dxa"/>
            <w:shd w:val="clear" w:color="auto" w:fill="F5EDC1" w:themeFill="accent4"/>
          </w:tcPr>
          <w:p w14:paraId="2B8DADF6" w14:textId="6EFDE877" w:rsidR="00E93498" w:rsidRDefault="00E93498" w:rsidP="00D609FD">
            <w:pPr>
              <w:jc w:val="right"/>
            </w:pPr>
            <w:r>
              <w:t>1</w:t>
            </w:r>
          </w:p>
        </w:tc>
        <w:tc>
          <w:tcPr>
            <w:tcW w:w="2046" w:type="dxa"/>
            <w:shd w:val="clear" w:color="auto" w:fill="D4E2E0" w:themeFill="accent5"/>
          </w:tcPr>
          <w:p w14:paraId="7557766E" w14:textId="1DCC036F" w:rsidR="00E93498" w:rsidRDefault="00E93498" w:rsidP="00D609FD">
            <w:pPr>
              <w:jc w:val="right"/>
            </w:pPr>
            <w:r>
              <w:t>-</w:t>
            </w:r>
          </w:p>
        </w:tc>
      </w:tr>
      <w:tr w:rsidR="00E93498" w14:paraId="09047433" w14:textId="77777777" w:rsidTr="00D609FD">
        <w:tc>
          <w:tcPr>
            <w:tcW w:w="5070" w:type="dxa"/>
          </w:tcPr>
          <w:p w14:paraId="652C1247" w14:textId="6EB305DC" w:rsidR="00E93498" w:rsidRDefault="00E93498" w:rsidP="00D609FD">
            <w:pPr>
              <w:jc w:val="right"/>
            </w:pPr>
            <w:r>
              <w:t>60,001 – 70,000</w:t>
            </w:r>
            <w:r w:rsidRPr="00E93498">
              <w:rPr>
                <w:vertAlign w:val="superscript"/>
              </w:rPr>
              <w:t>(a)</w:t>
            </w:r>
          </w:p>
        </w:tc>
        <w:tc>
          <w:tcPr>
            <w:tcW w:w="2126" w:type="dxa"/>
            <w:shd w:val="clear" w:color="auto" w:fill="F5EDC1" w:themeFill="accent4"/>
          </w:tcPr>
          <w:p w14:paraId="66C6083B" w14:textId="00073315" w:rsidR="00E93498" w:rsidRDefault="00E93498" w:rsidP="00D609FD">
            <w:pPr>
              <w:jc w:val="right"/>
            </w:pPr>
            <w:r>
              <w:t>1</w:t>
            </w:r>
          </w:p>
        </w:tc>
        <w:tc>
          <w:tcPr>
            <w:tcW w:w="2046" w:type="dxa"/>
            <w:shd w:val="clear" w:color="auto" w:fill="D4E2E0" w:themeFill="accent5"/>
          </w:tcPr>
          <w:p w14:paraId="5636A27D" w14:textId="2F3F6FB2" w:rsidR="00E93498" w:rsidRDefault="00E93498" w:rsidP="00D609FD">
            <w:pPr>
              <w:jc w:val="right"/>
            </w:pPr>
            <w:r>
              <w:t>-</w:t>
            </w:r>
          </w:p>
        </w:tc>
      </w:tr>
      <w:tr w:rsidR="00E93498" w14:paraId="64EA51AC" w14:textId="77777777" w:rsidTr="00D609FD">
        <w:tc>
          <w:tcPr>
            <w:tcW w:w="5070" w:type="dxa"/>
          </w:tcPr>
          <w:p w14:paraId="04AF547E" w14:textId="64F4B318" w:rsidR="00E93498" w:rsidRDefault="00E93498" w:rsidP="00D609FD">
            <w:pPr>
              <w:jc w:val="right"/>
            </w:pPr>
            <w:r>
              <w:t>70,001 – 80,000</w:t>
            </w:r>
            <w:r w:rsidRPr="00E93498">
              <w:rPr>
                <w:vertAlign w:val="superscript"/>
              </w:rPr>
              <w:t>(a)</w:t>
            </w:r>
          </w:p>
        </w:tc>
        <w:tc>
          <w:tcPr>
            <w:tcW w:w="2126" w:type="dxa"/>
            <w:shd w:val="clear" w:color="auto" w:fill="F5EDC1" w:themeFill="accent4"/>
          </w:tcPr>
          <w:p w14:paraId="55490714" w14:textId="37829AC3" w:rsidR="00E93498" w:rsidRDefault="00E93498" w:rsidP="00D609FD">
            <w:pPr>
              <w:jc w:val="right"/>
            </w:pPr>
            <w:r>
              <w:t>-</w:t>
            </w:r>
          </w:p>
        </w:tc>
        <w:tc>
          <w:tcPr>
            <w:tcW w:w="2046" w:type="dxa"/>
            <w:shd w:val="clear" w:color="auto" w:fill="D4E2E0" w:themeFill="accent5"/>
          </w:tcPr>
          <w:p w14:paraId="6DA16D48" w14:textId="2877EE21" w:rsidR="00E93498" w:rsidRDefault="00E93498" w:rsidP="00D609FD">
            <w:pPr>
              <w:jc w:val="right"/>
            </w:pPr>
            <w:r>
              <w:t>1</w:t>
            </w:r>
          </w:p>
        </w:tc>
      </w:tr>
      <w:tr w:rsidR="00E93498" w14:paraId="2C184008" w14:textId="77777777" w:rsidTr="00D609FD">
        <w:tc>
          <w:tcPr>
            <w:tcW w:w="5070" w:type="dxa"/>
          </w:tcPr>
          <w:p w14:paraId="65D4E8C2" w14:textId="1A878865" w:rsidR="00E93498" w:rsidRDefault="00E93498" w:rsidP="00D609FD">
            <w:pPr>
              <w:jc w:val="right"/>
            </w:pPr>
            <w:r>
              <w:t>80,001 – 90,000</w:t>
            </w:r>
            <w:r w:rsidRPr="00E93498">
              <w:rPr>
                <w:vertAlign w:val="superscript"/>
              </w:rPr>
              <w:t>(a)</w:t>
            </w:r>
          </w:p>
        </w:tc>
        <w:tc>
          <w:tcPr>
            <w:tcW w:w="2126" w:type="dxa"/>
            <w:shd w:val="clear" w:color="auto" w:fill="F5EDC1" w:themeFill="accent4"/>
          </w:tcPr>
          <w:p w14:paraId="33F24720" w14:textId="14D202C1" w:rsidR="00E93498" w:rsidRDefault="00E93498" w:rsidP="00D609FD">
            <w:pPr>
              <w:jc w:val="right"/>
            </w:pPr>
            <w:r>
              <w:t>-</w:t>
            </w:r>
          </w:p>
        </w:tc>
        <w:tc>
          <w:tcPr>
            <w:tcW w:w="2046" w:type="dxa"/>
            <w:shd w:val="clear" w:color="auto" w:fill="D4E2E0" w:themeFill="accent5"/>
          </w:tcPr>
          <w:p w14:paraId="709F58A2" w14:textId="57C052B2" w:rsidR="00E93498" w:rsidRDefault="00E93498" w:rsidP="00D609FD">
            <w:pPr>
              <w:jc w:val="right"/>
            </w:pPr>
            <w:r>
              <w:t>1</w:t>
            </w:r>
          </w:p>
        </w:tc>
      </w:tr>
      <w:tr w:rsidR="00E93498" w14:paraId="693AFADD" w14:textId="77777777" w:rsidTr="00D609FD">
        <w:tc>
          <w:tcPr>
            <w:tcW w:w="5070" w:type="dxa"/>
          </w:tcPr>
          <w:p w14:paraId="6CFBCE06" w14:textId="5C885B03" w:rsidR="00E93498" w:rsidRDefault="00E93498" w:rsidP="00D609FD">
            <w:pPr>
              <w:jc w:val="right"/>
            </w:pPr>
            <w:r>
              <w:t>100,001 – 110,000</w:t>
            </w:r>
            <w:r w:rsidRPr="00E93498">
              <w:rPr>
                <w:vertAlign w:val="superscript"/>
              </w:rPr>
              <w:t>(a)</w:t>
            </w:r>
          </w:p>
        </w:tc>
        <w:tc>
          <w:tcPr>
            <w:tcW w:w="2126" w:type="dxa"/>
            <w:shd w:val="clear" w:color="auto" w:fill="F5EDC1" w:themeFill="accent4"/>
          </w:tcPr>
          <w:p w14:paraId="131BBE68" w14:textId="4800334C" w:rsidR="00E93498" w:rsidRDefault="00E93498" w:rsidP="00D609FD">
            <w:pPr>
              <w:jc w:val="right"/>
            </w:pPr>
            <w:r>
              <w:t>1</w:t>
            </w:r>
          </w:p>
        </w:tc>
        <w:tc>
          <w:tcPr>
            <w:tcW w:w="2046" w:type="dxa"/>
            <w:shd w:val="clear" w:color="auto" w:fill="D4E2E0" w:themeFill="accent5"/>
          </w:tcPr>
          <w:p w14:paraId="2A6469C9" w14:textId="4ABCC306" w:rsidR="00E93498" w:rsidRDefault="00E93498" w:rsidP="00D609FD">
            <w:pPr>
              <w:jc w:val="right"/>
            </w:pPr>
            <w:r>
              <w:t>2</w:t>
            </w:r>
          </w:p>
        </w:tc>
      </w:tr>
      <w:tr w:rsidR="00E93498" w14:paraId="0CD2EEBD" w14:textId="77777777" w:rsidTr="00D609FD">
        <w:tc>
          <w:tcPr>
            <w:tcW w:w="5070" w:type="dxa"/>
          </w:tcPr>
          <w:p w14:paraId="296AF994" w14:textId="76187780" w:rsidR="00E93498" w:rsidRDefault="00E93498" w:rsidP="00D609FD">
            <w:pPr>
              <w:jc w:val="right"/>
            </w:pPr>
            <w:r>
              <w:t>160,001 – 170,000</w:t>
            </w:r>
            <w:r w:rsidRPr="00E93498">
              <w:rPr>
                <w:vertAlign w:val="superscript"/>
              </w:rPr>
              <w:t>(a)</w:t>
            </w:r>
          </w:p>
        </w:tc>
        <w:tc>
          <w:tcPr>
            <w:tcW w:w="2126" w:type="dxa"/>
            <w:shd w:val="clear" w:color="auto" w:fill="F5EDC1" w:themeFill="accent4"/>
          </w:tcPr>
          <w:p w14:paraId="07F56741" w14:textId="529697FB" w:rsidR="00E93498" w:rsidRDefault="00E93498" w:rsidP="00D609FD">
            <w:pPr>
              <w:jc w:val="right"/>
            </w:pPr>
            <w:r>
              <w:t>1</w:t>
            </w:r>
          </w:p>
        </w:tc>
        <w:tc>
          <w:tcPr>
            <w:tcW w:w="2046" w:type="dxa"/>
            <w:shd w:val="clear" w:color="auto" w:fill="D4E2E0" w:themeFill="accent5"/>
          </w:tcPr>
          <w:p w14:paraId="6C86DCD6" w14:textId="76515F48" w:rsidR="00E93498" w:rsidRDefault="00E93498" w:rsidP="00D609FD">
            <w:pPr>
              <w:jc w:val="right"/>
            </w:pPr>
            <w:r>
              <w:t>-</w:t>
            </w:r>
          </w:p>
        </w:tc>
      </w:tr>
      <w:tr w:rsidR="00E93498" w14:paraId="4E289445" w14:textId="77777777" w:rsidTr="00D609FD">
        <w:tc>
          <w:tcPr>
            <w:tcW w:w="5070" w:type="dxa"/>
          </w:tcPr>
          <w:p w14:paraId="47F401CD" w14:textId="575F9B54" w:rsidR="00E93498" w:rsidRDefault="00E93498" w:rsidP="00D609FD">
            <w:pPr>
              <w:jc w:val="right"/>
            </w:pPr>
            <w:r>
              <w:t>170,001 – 180,000</w:t>
            </w:r>
          </w:p>
        </w:tc>
        <w:tc>
          <w:tcPr>
            <w:tcW w:w="2126" w:type="dxa"/>
            <w:shd w:val="clear" w:color="auto" w:fill="F5EDC1" w:themeFill="accent4"/>
          </w:tcPr>
          <w:p w14:paraId="76F5DF33" w14:textId="37328769" w:rsidR="00E93498" w:rsidRDefault="00E93498" w:rsidP="00D609FD">
            <w:pPr>
              <w:jc w:val="right"/>
            </w:pPr>
            <w:r>
              <w:t>1</w:t>
            </w:r>
          </w:p>
        </w:tc>
        <w:tc>
          <w:tcPr>
            <w:tcW w:w="2046" w:type="dxa"/>
            <w:shd w:val="clear" w:color="auto" w:fill="D4E2E0" w:themeFill="accent5"/>
          </w:tcPr>
          <w:p w14:paraId="51809D8A" w14:textId="2881875C" w:rsidR="00E93498" w:rsidRDefault="00E93498" w:rsidP="00D609FD">
            <w:pPr>
              <w:jc w:val="right"/>
            </w:pPr>
            <w:r>
              <w:t>2</w:t>
            </w:r>
          </w:p>
        </w:tc>
      </w:tr>
      <w:tr w:rsidR="00E93498" w14:paraId="2E958C45" w14:textId="77777777" w:rsidTr="00D609FD">
        <w:tc>
          <w:tcPr>
            <w:tcW w:w="5070" w:type="dxa"/>
          </w:tcPr>
          <w:p w14:paraId="3C8E683C" w14:textId="24B2F9A0" w:rsidR="00E93498" w:rsidRDefault="00E93498" w:rsidP="00D609FD">
            <w:pPr>
              <w:jc w:val="right"/>
            </w:pPr>
            <w:r>
              <w:t>180,001 – 190,000</w:t>
            </w:r>
          </w:p>
        </w:tc>
        <w:tc>
          <w:tcPr>
            <w:tcW w:w="2126" w:type="dxa"/>
            <w:shd w:val="clear" w:color="auto" w:fill="F5EDC1" w:themeFill="accent4"/>
          </w:tcPr>
          <w:p w14:paraId="3E41AC60" w14:textId="011F3F14" w:rsidR="00E93498" w:rsidRDefault="00E93498" w:rsidP="00D609FD">
            <w:pPr>
              <w:jc w:val="right"/>
            </w:pPr>
            <w:r>
              <w:t>1</w:t>
            </w:r>
          </w:p>
        </w:tc>
        <w:tc>
          <w:tcPr>
            <w:tcW w:w="2046" w:type="dxa"/>
            <w:shd w:val="clear" w:color="auto" w:fill="D4E2E0" w:themeFill="accent5"/>
          </w:tcPr>
          <w:p w14:paraId="787EABE6" w14:textId="26C38E7A" w:rsidR="00E93498" w:rsidRDefault="00E93498" w:rsidP="00D609FD">
            <w:pPr>
              <w:jc w:val="right"/>
            </w:pPr>
            <w:r>
              <w:t>-</w:t>
            </w:r>
          </w:p>
        </w:tc>
      </w:tr>
      <w:tr w:rsidR="00E93498" w14:paraId="2BE4FC25" w14:textId="77777777" w:rsidTr="00D609FD">
        <w:tc>
          <w:tcPr>
            <w:tcW w:w="5070" w:type="dxa"/>
          </w:tcPr>
          <w:p w14:paraId="7A49542C" w14:textId="1B8872D2" w:rsidR="00E93498" w:rsidRDefault="00E93498" w:rsidP="00D609FD">
            <w:pPr>
              <w:jc w:val="right"/>
            </w:pPr>
            <w:r>
              <w:t>190,001 – 200,000</w:t>
            </w:r>
          </w:p>
        </w:tc>
        <w:tc>
          <w:tcPr>
            <w:tcW w:w="2126" w:type="dxa"/>
            <w:shd w:val="clear" w:color="auto" w:fill="F5EDC1" w:themeFill="accent4"/>
          </w:tcPr>
          <w:p w14:paraId="6A2F100C" w14:textId="5CA99FF4" w:rsidR="00E93498" w:rsidRDefault="00E93498" w:rsidP="00D609FD">
            <w:pPr>
              <w:jc w:val="right"/>
            </w:pPr>
            <w:r>
              <w:t>1</w:t>
            </w:r>
          </w:p>
        </w:tc>
        <w:tc>
          <w:tcPr>
            <w:tcW w:w="2046" w:type="dxa"/>
            <w:shd w:val="clear" w:color="auto" w:fill="D4E2E0" w:themeFill="accent5"/>
          </w:tcPr>
          <w:p w14:paraId="2A878423" w14:textId="726A4049" w:rsidR="00E93498" w:rsidRDefault="00E93498" w:rsidP="00D609FD">
            <w:pPr>
              <w:jc w:val="right"/>
            </w:pPr>
            <w:r>
              <w:t>-</w:t>
            </w:r>
          </w:p>
        </w:tc>
      </w:tr>
      <w:tr w:rsidR="00E93498" w14:paraId="5C06FBC4" w14:textId="77777777" w:rsidTr="00D609FD">
        <w:tc>
          <w:tcPr>
            <w:tcW w:w="5070" w:type="dxa"/>
          </w:tcPr>
          <w:p w14:paraId="242C607F" w14:textId="04FA4064" w:rsidR="00E93498" w:rsidRDefault="00E93498" w:rsidP="00D609FD">
            <w:pPr>
              <w:jc w:val="right"/>
            </w:pPr>
            <w:r>
              <w:t>240,001 – 250,000</w:t>
            </w:r>
          </w:p>
        </w:tc>
        <w:tc>
          <w:tcPr>
            <w:tcW w:w="2126" w:type="dxa"/>
            <w:shd w:val="clear" w:color="auto" w:fill="F5EDC1" w:themeFill="accent4"/>
          </w:tcPr>
          <w:p w14:paraId="557EB77D" w14:textId="0F84FAF9" w:rsidR="00E93498" w:rsidRDefault="00E93498" w:rsidP="00D609FD">
            <w:pPr>
              <w:jc w:val="right"/>
            </w:pPr>
            <w:r>
              <w:t>-</w:t>
            </w:r>
          </w:p>
        </w:tc>
        <w:tc>
          <w:tcPr>
            <w:tcW w:w="2046" w:type="dxa"/>
            <w:shd w:val="clear" w:color="auto" w:fill="D4E2E0" w:themeFill="accent5"/>
          </w:tcPr>
          <w:p w14:paraId="79520E99" w14:textId="7B9CD03C" w:rsidR="00E93498" w:rsidRDefault="00E93498" w:rsidP="00D609FD">
            <w:pPr>
              <w:jc w:val="right"/>
            </w:pPr>
            <w:r>
              <w:t>1</w:t>
            </w:r>
          </w:p>
        </w:tc>
      </w:tr>
      <w:tr w:rsidR="00E93498" w14:paraId="59AB24DB" w14:textId="77777777" w:rsidTr="00E93498">
        <w:tc>
          <w:tcPr>
            <w:tcW w:w="5070" w:type="dxa"/>
          </w:tcPr>
          <w:p w14:paraId="4B122FC6" w14:textId="77777777" w:rsidR="00E93498" w:rsidRDefault="00E93498" w:rsidP="00D609FD">
            <w:pPr>
              <w:jc w:val="right"/>
            </w:pPr>
          </w:p>
        </w:tc>
        <w:tc>
          <w:tcPr>
            <w:tcW w:w="2126" w:type="dxa"/>
            <w:shd w:val="clear" w:color="auto" w:fill="auto"/>
          </w:tcPr>
          <w:p w14:paraId="13BFAA61" w14:textId="09D6BDA3" w:rsidR="00E93498" w:rsidRPr="00E93498" w:rsidRDefault="00E93498" w:rsidP="00D609FD">
            <w:pPr>
              <w:jc w:val="right"/>
              <w:rPr>
                <w:b/>
              </w:rPr>
            </w:pPr>
            <w:r w:rsidRPr="00E93498">
              <w:rPr>
                <w:b/>
              </w:rPr>
              <w:t>$000</w:t>
            </w:r>
          </w:p>
        </w:tc>
        <w:tc>
          <w:tcPr>
            <w:tcW w:w="2046" w:type="dxa"/>
            <w:shd w:val="clear" w:color="auto" w:fill="auto"/>
          </w:tcPr>
          <w:p w14:paraId="3AF810D9" w14:textId="0E35BAB5" w:rsidR="00E93498" w:rsidRPr="00E93498" w:rsidRDefault="00E93498" w:rsidP="00D609FD">
            <w:pPr>
              <w:jc w:val="right"/>
              <w:rPr>
                <w:b/>
              </w:rPr>
            </w:pPr>
            <w:r w:rsidRPr="00E93498">
              <w:rPr>
                <w:b/>
              </w:rPr>
              <w:t>$000</w:t>
            </w:r>
          </w:p>
        </w:tc>
      </w:tr>
      <w:tr w:rsidR="00E93498" w14:paraId="015C9898" w14:textId="77777777" w:rsidTr="00D609FD">
        <w:tc>
          <w:tcPr>
            <w:tcW w:w="5070" w:type="dxa"/>
          </w:tcPr>
          <w:p w14:paraId="1C0E67C9" w14:textId="7CAF6494" w:rsidR="00E93498" w:rsidRDefault="0010575B" w:rsidP="0010575B">
            <w:r>
              <w:t>Base remuneration and superannuation</w:t>
            </w:r>
          </w:p>
        </w:tc>
        <w:tc>
          <w:tcPr>
            <w:tcW w:w="2126" w:type="dxa"/>
            <w:shd w:val="clear" w:color="auto" w:fill="F5EDC1" w:themeFill="accent4"/>
          </w:tcPr>
          <w:p w14:paraId="6FB03D7E" w14:textId="6FB26BA3" w:rsidR="00E93498" w:rsidRDefault="0010575B" w:rsidP="00D609FD">
            <w:pPr>
              <w:jc w:val="right"/>
            </w:pPr>
            <w:r>
              <w:t>1,038</w:t>
            </w:r>
          </w:p>
        </w:tc>
        <w:tc>
          <w:tcPr>
            <w:tcW w:w="2046" w:type="dxa"/>
            <w:shd w:val="clear" w:color="auto" w:fill="D4E2E0" w:themeFill="accent5"/>
          </w:tcPr>
          <w:p w14:paraId="573402CF" w14:textId="2AD83F62" w:rsidR="00E93498" w:rsidRDefault="0010575B" w:rsidP="00D609FD">
            <w:pPr>
              <w:jc w:val="right"/>
            </w:pPr>
            <w:r>
              <w:t>951</w:t>
            </w:r>
          </w:p>
        </w:tc>
      </w:tr>
      <w:tr w:rsidR="0010575B" w14:paraId="6C338E96" w14:textId="77777777" w:rsidTr="00D609FD">
        <w:tc>
          <w:tcPr>
            <w:tcW w:w="5070" w:type="dxa"/>
          </w:tcPr>
          <w:p w14:paraId="6E83AD0C" w14:textId="10F201B6" w:rsidR="0010575B" w:rsidRDefault="0010575B" w:rsidP="0010575B">
            <w:r>
              <w:t>Annual leave and long service leave accruals</w:t>
            </w:r>
          </w:p>
        </w:tc>
        <w:tc>
          <w:tcPr>
            <w:tcW w:w="2126" w:type="dxa"/>
            <w:shd w:val="clear" w:color="auto" w:fill="F5EDC1" w:themeFill="accent4"/>
          </w:tcPr>
          <w:p w14:paraId="4C92A5B6" w14:textId="2F386847" w:rsidR="0010575B" w:rsidRDefault="0010575B" w:rsidP="00D609FD">
            <w:pPr>
              <w:jc w:val="right"/>
            </w:pPr>
            <w:r>
              <w:t>(80)</w:t>
            </w:r>
          </w:p>
        </w:tc>
        <w:tc>
          <w:tcPr>
            <w:tcW w:w="2046" w:type="dxa"/>
            <w:shd w:val="clear" w:color="auto" w:fill="D4E2E0" w:themeFill="accent5"/>
          </w:tcPr>
          <w:p w14:paraId="30EC16CD" w14:textId="2205385F" w:rsidR="0010575B" w:rsidRDefault="0010575B" w:rsidP="00D609FD">
            <w:pPr>
              <w:jc w:val="right"/>
            </w:pPr>
            <w:r>
              <w:t>6</w:t>
            </w:r>
          </w:p>
        </w:tc>
      </w:tr>
      <w:tr w:rsidR="0010575B" w14:paraId="2205524F" w14:textId="77777777" w:rsidTr="0010575B">
        <w:tc>
          <w:tcPr>
            <w:tcW w:w="5070" w:type="dxa"/>
          </w:tcPr>
          <w:p w14:paraId="25B16DA5" w14:textId="41335D2B" w:rsidR="0010575B" w:rsidRDefault="0010575B" w:rsidP="0010575B">
            <w:r>
              <w:t>Other benefits</w:t>
            </w:r>
          </w:p>
        </w:tc>
        <w:tc>
          <w:tcPr>
            <w:tcW w:w="2126" w:type="dxa"/>
            <w:shd w:val="clear" w:color="auto" w:fill="F5EDC1" w:themeFill="accent4"/>
          </w:tcPr>
          <w:p w14:paraId="22C8218B" w14:textId="7F81B32D" w:rsidR="0010575B" w:rsidRDefault="00D53392" w:rsidP="00D609FD">
            <w:pPr>
              <w:jc w:val="right"/>
            </w:pPr>
            <w:r>
              <w:t>-</w:t>
            </w:r>
          </w:p>
        </w:tc>
        <w:tc>
          <w:tcPr>
            <w:tcW w:w="2046" w:type="dxa"/>
            <w:shd w:val="clear" w:color="auto" w:fill="D4E2E0" w:themeFill="accent5"/>
          </w:tcPr>
          <w:p w14:paraId="72BB99B9" w14:textId="4BDB8016" w:rsidR="0010575B" w:rsidRDefault="0010575B" w:rsidP="00D609FD">
            <w:pPr>
              <w:jc w:val="right"/>
            </w:pPr>
            <w:r>
              <w:t>7</w:t>
            </w:r>
          </w:p>
        </w:tc>
      </w:tr>
      <w:tr w:rsidR="0010575B" w14:paraId="00266998" w14:textId="77777777" w:rsidTr="0010575B">
        <w:tc>
          <w:tcPr>
            <w:tcW w:w="5070" w:type="dxa"/>
          </w:tcPr>
          <w:p w14:paraId="0755E32E" w14:textId="5CAD913B" w:rsidR="0010575B" w:rsidRPr="0010575B" w:rsidRDefault="0010575B" w:rsidP="0010575B">
            <w:pPr>
              <w:rPr>
                <w:b/>
              </w:rPr>
            </w:pPr>
            <w:r w:rsidRPr="0010575B">
              <w:rPr>
                <w:b/>
              </w:rPr>
              <w:t>The total remuneration of senior officers</w:t>
            </w:r>
          </w:p>
        </w:tc>
        <w:tc>
          <w:tcPr>
            <w:tcW w:w="2126" w:type="dxa"/>
            <w:tcBorders>
              <w:bottom w:val="single" w:sz="4" w:space="0" w:color="auto"/>
            </w:tcBorders>
            <w:shd w:val="clear" w:color="auto" w:fill="F5EDC1" w:themeFill="accent4"/>
          </w:tcPr>
          <w:p w14:paraId="04F906F3" w14:textId="09A97A4D" w:rsidR="0010575B" w:rsidRPr="0010575B" w:rsidRDefault="0010575B" w:rsidP="00D609FD">
            <w:pPr>
              <w:jc w:val="right"/>
              <w:rPr>
                <w:b/>
              </w:rPr>
            </w:pPr>
            <w:r w:rsidRPr="0010575B">
              <w:rPr>
                <w:b/>
              </w:rPr>
              <w:t>958</w:t>
            </w:r>
          </w:p>
        </w:tc>
        <w:tc>
          <w:tcPr>
            <w:tcW w:w="2046" w:type="dxa"/>
            <w:tcBorders>
              <w:bottom w:val="single" w:sz="4" w:space="0" w:color="auto"/>
            </w:tcBorders>
            <w:shd w:val="clear" w:color="auto" w:fill="D4E2E0" w:themeFill="accent5"/>
          </w:tcPr>
          <w:p w14:paraId="608C4455" w14:textId="45C5931F" w:rsidR="0010575B" w:rsidRPr="0010575B" w:rsidRDefault="0010575B" w:rsidP="00D609FD">
            <w:pPr>
              <w:jc w:val="right"/>
              <w:rPr>
                <w:b/>
              </w:rPr>
            </w:pPr>
            <w:r w:rsidRPr="0010575B">
              <w:rPr>
                <w:b/>
              </w:rPr>
              <w:t>964</w:t>
            </w:r>
          </w:p>
        </w:tc>
      </w:tr>
    </w:tbl>
    <w:p w14:paraId="00D99207" w14:textId="47FEE9AA" w:rsidR="00E93498" w:rsidRDefault="0010575B" w:rsidP="00E93498">
      <w:pPr>
        <w:rPr>
          <w:rFonts w:eastAsiaTheme="majorEastAsia"/>
        </w:rPr>
      </w:pPr>
      <w:r>
        <w:rPr>
          <w:rFonts w:eastAsiaTheme="majorEastAsia"/>
        </w:rPr>
        <w:t>(a) Five senior officers resided in these remuneration bands due to part-year occupancy and total remuneration being below $160,000.</w:t>
      </w:r>
    </w:p>
    <w:p w14:paraId="47A9DA1D" w14:textId="3A63420C" w:rsidR="0010575B" w:rsidRDefault="0010575B" w:rsidP="00E93498">
      <w:pPr>
        <w:rPr>
          <w:rFonts w:eastAsiaTheme="majorEastAsia"/>
        </w:rPr>
      </w:pPr>
      <w:r>
        <w:rPr>
          <w:rFonts w:eastAsiaTheme="majorEastAsia"/>
        </w:rPr>
        <w:t>The superannuation included here represents the superannuation expense incurred by the Authority in respect of senior officers other than senior officers reported as members of the accountable authority.</w:t>
      </w:r>
    </w:p>
    <w:p w14:paraId="195704E3" w14:textId="0CE98813" w:rsidR="0010575B" w:rsidRDefault="0010575B" w:rsidP="00E93498">
      <w:pPr>
        <w:rPr>
          <w:rFonts w:eastAsiaTheme="majorEastAsia"/>
        </w:rPr>
      </w:pPr>
      <w:r>
        <w:rPr>
          <w:rFonts w:eastAsiaTheme="majorEastAsia"/>
        </w:rPr>
        <w:t>No senior officers are members of the Pensions Scheme.</w:t>
      </w:r>
    </w:p>
    <w:p w14:paraId="62F364B8" w14:textId="1941B15D" w:rsidR="009A527E" w:rsidRDefault="009A527E" w:rsidP="009A527E">
      <w:pPr>
        <w:pStyle w:val="Heading2nonumber"/>
        <w:numPr>
          <w:ilvl w:val="0"/>
          <w:numId w:val="15"/>
        </w:numPr>
      </w:pPr>
      <w:bookmarkStart w:id="719" w:name="_Toc430091397"/>
      <w:r>
        <w:t>Remuneration of auditor</w:t>
      </w:r>
      <w:bookmarkEnd w:id="719"/>
    </w:p>
    <w:p w14:paraId="7B4821B2" w14:textId="4AF20F1D" w:rsidR="009A527E" w:rsidRDefault="009A527E" w:rsidP="009A527E">
      <w:pPr>
        <w:rPr>
          <w:rFonts w:eastAsiaTheme="majorEastAsia"/>
        </w:rPr>
      </w:pPr>
      <w:r>
        <w:rPr>
          <w:rFonts w:eastAsiaTheme="majorEastAsia"/>
        </w:rPr>
        <w:t>Remuneration payable to the Auditor General for the reporting period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2078"/>
        <w:gridCol w:w="2001"/>
      </w:tblGrid>
      <w:tr w:rsidR="009A527E" w14:paraId="773159BF" w14:textId="77777777" w:rsidTr="00D609FD">
        <w:tc>
          <w:tcPr>
            <w:tcW w:w="5070" w:type="dxa"/>
          </w:tcPr>
          <w:p w14:paraId="195C398B" w14:textId="77777777" w:rsidR="009A527E" w:rsidRDefault="009A527E" w:rsidP="00D609FD"/>
        </w:tc>
        <w:tc>
          <w:tcPr>
            <w:tcW w:w="2126" w:type="dxa"/>
          </w:tcPr>
          <w:p w14:paraId="02185148" w14:textId="77777777" w:rsidR="009A527E" w:rsidRDefault="009A527E" w:rsidP="00D609FD">
            <w:pPr>
              <w:jc w:val="right"/>
            </w:pPr>
            <w:r>
              <w:t>2015</w:t>
            </w:r>
          </w:p>
        </w:tc>
        <w:tc>
          <w:tcPr>
            <w:tcW w:w="2046" w:type="dxa"/>
          </w:tcPr>
          <w:p w14:paraId="79F2EB14" w14:textId="77777777" w:rsidR="009A527E" w:rsidRDefault="009A527E" w:rsidP="00D609FD">
            <w:pPr>
              <w:jc w:val="right"/>
            </w:pPr>
            <w:r>
              <w:t>2014</w:t>
            </w:r>
          </w:p>
        </w:tc>
      </w:tr>
      <w:tr w:rsidR="009A527E" w14:paraId="558DFE5B" w14:textId="77777777" w:rsidTr="00D609FD">
        <w:tc>
          <w:tcPr>
            <w:tcW w:w="5070" w:type="dxa"/>
          </w:tcPr>
          <w:p w14:paraId="3B4CF257" w14:textId="6173C427" w:rsidR="009A527E" w:rsidRDefault="009A527E" w:rsidP="00D609FD">
            <w:pPr>
              <w:jc w:val="right"/>
            </w:pPr>
          </w:p>
        </w:tc>
        <w:tc>
          <w:tcPr>
            <w:tcW w:w="2126" w:type="dxa"/>
          </w:tcPr>
          <w:p w14:paraId="11F9DA7C" w14:textId="3138F96A" w:rsidR="009A527E" w:rsidRDefault="009A527E" w:rsidP="00D609FD">
            <w:pPr>
              <w:jc w:val="right"/>
            </w:pPr>
            <w:r>
              <w:t>$000</w:t>
            </w:r>
          </w:p>
        </w:tc>
        <w:tc>
          <w:tcPr>
            <w:tcW w:w="2046" w:type="dxa"/>
          </w:tcPr>
          <w:p w14:paraId="393F8995" w14:textId="71C52AE6" w:rsidR="009A527E" w:rsidRDefault="009A527E" w:rsidP="00D609FD">
            <w:pPr>
              <w:jc w:val="right"/>
            </w:pPr>
            <w:r>
              <w:t>$000</w:t>
            </w:r>
          </w:p>
        </w:tc>
      </w:tr>
      <w:tr w:rsidR="009A527E" w14:paraId="20795342" w14:textId="77777777" w:rsidTr="009A527E">
        <w:tc>
          <w:tcPr>
            <w:tcW w:w="5070" w:type="dxa"/>
          </w:tcPr>
          <w:p w14:paraId="4363D21C" w14:textId="3F939952" w:rsidR="009A527E" w:rsidRDefault="009A527E" w:rsidP="009A527E">
            <w:r>
              <w:t>Auditing the accounts, controls, financial statements and key performance indicators</w:t>
            </w:r>
          </w:p>
        </w:tc>
        <w:tc>
          <w:tcPr>
            <w:tcW w:w="2126" w:type="dxa"/>
            <w:shd w:val="clear" w:color="auto" w:fill="F5EDC1" w:themeFill="accent4"/>
          </w:tcPr>
          <w:p w14:paraId="678048F9" w14:textId="1C6DB2C9" w:rsidR="009A527E" w:rsidRDefault="009A527E" w:rsidP="00D609FD">
            <w:pPr>
              <w:jc w:val="right"/>
            </w:pPr>
            <w:r>
              <w:t>83</w:t>
            </w:r>
          </w:p>
        </w:tc>
        <w:tc>
          <w:tcPr>
            <w:tcW w:w="2046" w:type="dxa"/>
            <w:shd w:val="clear" w:color="auto" w:fill="D4E2E0" w:themeFill="accent5"/>
          </w:tcPr>
          <w:p w14:paraId="3F7C5944" w14:textId="37709440" w:rsidR="009A527E" w:rsidRDefault="009A527E" w:rsidP="00D609FD">
            <w:pPr>
              <w:jc w:val="right"/>
            </w:pPr>
            <w:r>
              <w:t>82</w:t>
            </w:r>
          </w:p>
        </w:tc>
      </w:tr>
      <w:tr w:rsidR="009A527E" w14:paraId="78B243A9" w14:textId="77777777" w:rsidTr="009A527E">
        <w:tc>
          <w:tcPr>
            <w:tcW w:w="5070" w:type="dxa"/>
          </w:tcPr>
          <w:p w14:paraId="697BBE60" w14:textId="4FDF53EC" w:rsidR="009A527E" w:rsidRDefault="009A527E" w:rsidP="009A527E"/>
        </w:tc>
        <w:tc>
          <w:tcPr>
            <w:tcW w:w="2126" w:type="dxa"/>
            <w:tcBorders>
              <w:bottom w:val="single" w:sz="4" w:space="0" w:color="auto"/>
            </w:tcBorders>
            <w:shd w:val="clear" w:color="auto" w:fill="F5EDC1" w:themeFill="accent4"/>
          </w:tcPr>
          <w:p w14:paraId="4B4359F1" w14:textId="257EB573" w:rsidR="009A527E" w:rsidRPr="009A527E" w:rsidRDefault="009A527E" w:rsidP="00D609FD">
            <w:pPr>
              <w:jc w:val="right"/>
              <w:rPr>
                <w:b/>
              </w:rPr>
            </w:pPr>
            <w:r w:rsidRPr="009A527E">
              <w:rPr>
                <w:b/>
              </w:rPr>
              <w:t>83</w:t>
            </w:r>
          </w:p>
        </w:tc>
        <w:tc>
          <w:tcPr>
            <w:tcW w:w="2046" w:type="dxa"/>
            <w:tcBorders>
              <w:bottom w:val="single" w:sz="4" w:space="0" w:color="auto"/>
            </w:tcBorders>
            <w:shd w:val="clear" w:color="auto" w:fill="D4E2E0" w:themeFill="accent5"/>
          </w:tcPr>
          <w:p w14:paraId="71DE500F" w14:textId="0903C636" w:rsidR="009A527E" w:rsidRPr="009A527E" w:rsidRDefault="009A527E" w:rsidP="00D609FD">
            <w:pPr>
              <w:jc w:val="right"/>
              <w:rPr>
                <w:b/>
              </w:rPr>
            </w:pPr>
            <w:r w:rsidRPr="009A527E">
              <w:rPr>
                <w:b/>
              </w:rPr>
              <w:t>82</w:t>
            </w:r>
          </w:p>
        </w:tc>
      </w:tr>
    </w:tbl>
    <w:p w14:paraId="083DEE77" w14:textId="77777777" w:rsidR="009A527E" w:rsidRDefault="009A527E" w:rsidP="009A527E">
      <w:pPr>
        <w:rPr>
          <w:rFonts w:eastAsiaTheme="majorEastAsia"/>
        </w:rPr>
      </w:pPr>
    </w:p>
    <w:p w14:paraId="70D7B964" w14:textId="3DFF7811" w:rsidR="009A527E" w:rsidRDefault="009A527E" w:rsidP="009A527E">
      <w:pPr>
        <w:pStyle w:val="Heading2nonumber"/>
        <w:numPr>
          <w:ilvl w:val="0"/>
          <w:numId w:val="15"/>
        </w:numPr>
      </w:pPr>
      <w:bookmarkStart w:id="720" w:name="_Toc430091398"/>
      <w:r>
        <w:t>Workers’ Compensation &amp; Injury Management Trust Account</w:t>
      </w:r>
      <w:bookmarkEnd w:id="720"/>
    </w:p>
    <w:p w14:paraId="14B96FFD" w14:textId="0A8C3ED5" w:rsidR="009A527E" w:rsidRDefault="009A527E" w:rsidP="009A527E">
      <w:r w:rsidRPr="009A527E">
        <w:t xml:space="preserve">The purpose of the Trust Fund is to hold funds paid into the custody of the Authority pursuant to Section 110 of the </w:t>
      </w:r>
      <w:r w:rsidRPr="00D53392">
        <w:rPr>
          <w:i/>
        </w:rPr>
        <w:t>Workers' Compensation and Injury Management Act 1981</w:t>
      </w:r>
      <w:r w:rsidRPr="009A527E">
        <w:t xml:space="preserve"> . These funds are not consolidated as they are funds that are administered on behalf of dependants of deceased workers.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2076"/>
        <w:gridCol w:w="1999"/>
      </w:tblGrid>
      <w:tr w:rsidR="009A527E" w14:paraId="08A3FDD5" w14:textId="77777777" w:rsidTr="009A527E">
        <w:tc>
          <w:tcPr>
            <w:tcW w:w="5070" w:type="dxa"/>
            <w:shd w:val="clear" w:color="auto" w:fill="auto"/>
          </w:tcPr>
          <w:p w14:paraId="12929544" w14:textId="71FA1AB1" w:rsidR="009A527E" w:rsidRPr="009A527E" w:rsidRDefault="009A527E" w:rsidP="009A527E">
            <w:pPr>
              <w:rPr>
                <w:i/>
              </w:rPr>
            </w:pPr>
            <w:r w:rsidRPr="009A527E">
              <w:rPr>
                <w:i/>
              </w:rPr>
              <w:t>Income</w:t>
            </w:r>
          </w:p>
        </w:tc>
        <w:tc>
          <w:tcPr>
            <w:tcW w:w="2126" w:type="dxa"/>
            <w:shd w:val="clear" w:color="auto" w:fill="auto"/>
          </w:tcPr>
          <w:p w14:paraId="1C7515BE" w14:textId="2FF89D5E" w:rsidR="009A527E" w:rsidRDefault="009A527E" w:rsidP="00D609FD">
            <w:pPr>
              <w:jc w:val="right"/>
            </w:pPr>
          </w:p>
        </w:tc>
        <w:tc>
          <w:tcPr>
            <w:tcW w:w="2046" w:type="dxa"/>
            <w:shd w:val="clear" w:color="auto" w:fill="auto"/>
          </w:tcPr>
          <w:p w14:paraId="52CFCACD" w14:textId="6FB9E5F4" w:rsidR="009A527E" w:rsidRDefault="009A527E" w:rsidP="00D609FD">
            <w:pPr>
              <w:jc w:val="right"/>
            </w:pPr>
          </w:p>
        </w:tc>
      </w:tr>
      <w:tr w:rsidR="009A527E" w14:paraId="2145CBE0" w14:textId="77777777" w:rsidTr="00D609FD">
        <w:tc>
          <w:tcPr>
            <w:tcW w:w="5070" w:type="dxa"/>
          </w:tcPr>
          <w:p w14:paraId="164D8250" w14:textId="22DEE9E3" w:rsidR="009A527E" w:rsidRDefault="009A527E" w:rsidP="009A527E">
            <w:r>
              <w:t>Amounts paid to the custody of the Authority</w:t>
            </w:r>
          </w:p>
        </w:tc>
        <w:tc>
          <w:tcPr>
            <w:tcW w:w="2126" w:type="dxa"/>
            <w:shd w:val="clear" w:color="auto" w:fill="F5EDC1" w:themeFill="accent4"/>
          </w:tcPr>
          <w:p w14:paraId="368CF7CD" w14:textId="5CBF5BBE" w:rsidR="009A527E" w:rsidRDefault="009A527E" w:rsidP="00D609FD">
            <w:pPr>
              <w:jc w:val="right"/>
            </w:pPr>
            <w:r>
              <w:t>266</w:t>
            </w:r>
          </w:p>
        </w:tc>
        <w:tc>
          <w:tcPr>
            <w:tcW w:w="2046" w:type="dxa"/>
            <w:shd w:val="clear" w:color="auto" w:fill="D4E2E0" w:themeFill="accent5"/>
          </w:tcPr>
          <w:p w14:paraId="590B4AEA" w14:textId="342F5D4B" w:rsidR="009A527E" w:rsidRDefault="009A527E" w:rsidP="00D609FD">
            <w:pPr>
              <w:jc w:val="right"/>
            </w:pPr>
            <w:r>
              <w:t>281</w:t>
            </w:r>
          </w:p>
        </w:tc>
      </w:tr>
      <w:tr w:rsidR="009A527E" w14:paraId="6930EB22" w14:textId="77777777" w:rsidTr="009A527E">
        <w:tc>
          <w:tcPr>
            <w:tcW w:w="5070" w:type="dxa"/>
          </w:tcPr>
          <w:p w14:paraId="0DAB1430" w14:textId="181AD4D9" w:rsidR="009A527E" w:rsidRDefault="009A527E" w:rsidP="009A527E">
            <w:r>
              <w:t>Interest on investments</w:t>
            </w:r>
          </w:p>
        </w:tc>
        <w:tc>
          <w:tcPr>
            <w:tcW w:w="2126" w:type="dxa"/>
            <w:shd w:val="clear" w:color="auto" w:fill="F5EDC1" w:themeFill="accent4"/>
          </w:tcPr>
          <w:p w14:paraId="773237AC" w14:textId="58645110" w:rsidR="009A527E" w:rsidRDefault="009A527E" w:rsidP="00D609FD">
            <w:pPr>
              <w:jc w:val="right"/>
            </w:pPr>
            <w:r>
              <w:t>25</w:t>
            </w:r>
          </w:p>
        </w:tc>
        <w:tc>
          <w:tcPr>
            <w:tcW w:w="2046" w:type="dxa"/>
            <w:shd w:val="clear" w:color="auto" w:fill="D4E2E0" w:themeFill="accent5"/>
          </w:tcPr>
          <w:p w14:paraId="5C8EB133" w14:textId="1B86B08D" w:rsidR="009A527E" w:rsidRDefault="009A527E" w:rsidP="00D609FD">
            <w:pPr>
              <w:jc w:val="right"/>
            </w:pPr>
            <w:r>
              <w:t>33</w:t>
            </w:r>
          </w:p>
        </w:tc>
      </w:tr>
      <w:tr w:rsidR="009A527E" w14:paraId="7CF3001A" w14:textId="77777777" w:rsidTr="009A527E">
        <w:tc>
          <w:tcPr>
            <w:tcW w:w="5070" w:type="dxa"/>
          </w:tcPr>
          <w:p w14:paraId="31CA333A" w14:textId="77777777" w:rsidR="009A527E" w:rsidRDefault="009A527E" w:rsidP="009A527E"/>
        </w:tc>
        <w:tc>
          <w:tcPr>
            <w:tcW w:w="2126" w:type="dxa"/>
            <w:tcBorders>
              <w:bottom w:val="single" w:sz="4" w:space="0" w:color="auto"/>
            </w:tcBorders>
            <w:shd w:val="clear" w:color="auto" w:fill="F5EDC1" w:themeFill="accent4"/>
          </w:tcPr>
          <w:p w14:paraId="351C06BF" w14:textId="1157EEF1" w:rsidR="009A527E" w:rsidRPr="009A527E" w:rsidRDefault="009A527E" w:rsidP="00D609FD">
            <w:pPr>
              <w:jc w:val="right"/>
              <w:rPr>
                <w:b/>
              </w:rPr>
            </w:pPr>
            <w:r w:rsidRPr="009A527E">
              <w:rPr>
                <w:b/>
              </w:rPr>
              <w:t>291</w:t>
            </w:r>
          </w:p>
        </w:tc>
        <w:tc>
          <w:tcPr>
            <w:tcW w:w="2046" w:type="dxa"/>
            <w:tcBorders>
              <w:bottom w:val="single" w:sz="4" w:space="0" w:color="auto"/>
            </w:tcBorders>
            <w:shd w:val="clear" w:color="auto" w:fill="D4E2E0" w:themeFill="accent5"/>
          </w:tcPr>
          <w:p w14:paraId="0F3B9C97" w14:textId="75765303" w:rsidR="009A527E" w:rsidRPr="009A527E" w:rsidRDefault="009A527E" w:rsidP="00D609FD">
            <w:pPr>
              <w:jc w:val="right"/>
              <w:rPr>
                <w:b/>
              </w:rPr>
            </w:pPr>
            <w:r w:rsidRPr="009A527E">
              <w:rPr>
                <w:b/>
              </w:rPr>
              <w:t>314</w:t>
            </w:r>
          </w:p>
        </w:tc>
      </w:tr>
      <w:tr w:rsidR="009A527E" w14:paraId="7721A790" w14:textId="77777777" w:rsidTr="009A527E">
        <w:tc>
          <w:tcPr>
            <w:tcW w:w="5070" w:type="dxa"/>
          </w:tcPr>
          <w:p w14:paraId="4D5EB774" w14:textId="612647AE" w:rsidR="009A527E" w:rsidRPr="009A527E" w:rsidRDefault="009A527E" w:rsidP="009A527E">
            <w:pPr>
              <w:rPr>
                <w:i/>
              </w:rPr>
            </w:pPr>
            <w:r w:rsidRPr="009A527E">
              <w:rPr>
                <w:i/>
              </w:rPr>
              <w:t>Expenditure</w:t>
            </w:r>
          </w:p>
        </w:tc>
        <w:tc>
          <w:tcPr>
            <w:tcW w:w="2126" w:type="dxa"/>
            <w:tcBorders>
              <w:top w:val="single" w:sz="4" w:space="0" w:color="auto"/>
            </w:tcBorders>
            <w:shd w:val="clear" w:color="auto" w:fill="auto"/>
          </w:tcPr>
          <w:p w14:paraId="45B0AB97" w14:textId="77777777" w:rsidR="009A527E" w:rsidRDefault="009A527E" w:rsidP="00D609FD">
            <w:pPr>
              <w:jc w:val="right"/>
            </w:pPr>
          </w:p>
        </w:tc>
        <w:tc>
          <w:tcPr>
            <w:tcW w:w="2046" w:type="dxa"/>
            <w:tcBorders>
              <w:top w:val="single" w:sz="4" w:space="0" w:color="auto"/>
            </w:tcBorders>
            <w:shd w:val="clear" w:color="auto" w:fill="auto"/>
          </w:tcPr>
          <w:p w14:paraId="25B3A084" w14:textId="77777777" w:rsidR="009A527E" w:rsidRDefault="009A527E" w:rsidP="00D609FD">
            <w:pPr>
              <w:jc w:val="right"/>
            </w:pPr>
          </w:p>
        </w:tc>
      </w:tr>
      <w:tr w:rsidR="009A527E" w14:paraId="7B59BFD9" w14:textId="77777777" w:rsidTr="00D609FD">
        <w:tc>
          <w:tcPr>
            <w:tcW w:w="5070" w:type="dxa"/>
          </w:tcPr>
          <w:p w14:paraId="3917F8AF" w14:textId="3D21EE67" w:rsidR="009A527E" w:rsidRDefault="009A527E" w:rsidP="009A527E">
            <w:r>
              <w:t>Payments by the Authority</w:t>
            </w:r>
          </w:p>
        </w:tc>
        <w:tc>
          <w:tcPr>
            <w:tcW w:w="2126" w:type="dxa"/>
            <w:shd w:val="clear" w:color="auto" w:fill="F5EDC1" w:themeFill="accent4"/>
          </w:tcPr>
          <w:p w14:paraId="67AC2F02" w14:textId="59C3C7F3" w:rsidR="009A527E" w:rsidRDefault="009A527E" w:rsidP="00D609FD">
            <w:pPr>
              <w:jc w:val="right"/>
            </w:pPr>
            <w:r>
              <w:t>366</w:t>
            </w:r>
          </w:p>
        </w:tc>
        <w:tc>
          <w:tcPr>
            <w:tcW w:w="2046" w:type="dxa"/>
            <w:shd w:val="clear" w:color="auto" w:fill="D4E2E0" w:themeFill="accent5"/>
          </w:tcPr>
          <w:p w14:paraId="53944CF9" w14:textId="46DA89A6" w:rsidR="009A527E" w:rsidRDefault="009A527E" w:rsidP="00D609FD">
            <w:pPr>
              <w:jc w:val="right"/>
            </w:pPr>
            <w:r>
              <w:t>299</w:t>
            </w:r>
          </w:p>
        </w:tc>
      </w:tr>
      <w:tr w:rsidR="009A527E" w14:paraId="118FDD7C" w14:textId="77777777" w:rsidTr="00D609FD">
        <w:tc>
          <w:tcPr>
            <w:tcW w:w="5070" w:type="dxa"/>
          </w:tcPr>
          <w:p w14:paraId="473ACE41" w14:textId="57308F0D" w:rsidR="009A527E" w:rsidRDefault="009A527E" w:rsidP="009A527E">
            <w:r>
              <w:t>Administration fee</w:t>
            </w:r>
          </w:p>
        </w:tc>
        <w:tc>
          <w:tcPr>
            <w:tcW w:w="2126" w:type="dxa"/>
            <w:shd w:val="clear" w:color="auto" w:fill="F5EDC1" w:themeFill="accent4"/>
          </w:tcPr>
          <w:p w14:paraId="3607679C" w14:textId="7CECB79E" w:rsidR="009A527E" w:rsidRDefault="009A527E" w:rsidP="00D609FD">
            <w:pPr>
              <w:jc w:val="right"/>
            </w:pPr>
            <w:r>
              <w:t>9</w:t>
            </w:r>
          </w:p>
        </w:tc>
        <w:tc>
          <w:tcPr>
            <w:tcW w:w="2046" w:type="dxa"/>
            <w:shd w:val="clear" w:color="auto" w:fill="D4E2E0" w:themeFill="accent5"/>
          </w:tcPr>
          <w:p w14:paraId="551E96E6" w14:textId="204D16B2" w:rsidR="009A527E" w:rsidRDefault="009A527E" w:rsidP="00D609FD">
            <w:pPr>
              <w:jc w:val="right"/>
            </w:pPr>
            <w:r>
              <w:t>12</w:t>
            </w:r>
          </w:p>
        </w:tc>
      </w:tr>
      <w:tr w:rsidR="009A527E" w14:paraId="719A93D9" w14:textId="77777777" w:rsidTr="00D609FD">
        <w:tc>
          <w:tcPr>
            <w:tcW w:w="5070" w:type="dxa"/>
          </w:tcPr>
          <w:p w14:paraId="2ABF593D" w14:textId="77777777" w:rsidR="009A527E" w:rsidRDefault="009A527E" w:rsidP="009A527E"/>
        </w:tc>
        <w:tc>
          <w:tcPr>
            <w:tcW w:w="2126" w:type="dxa"/>
            <w:shd w:val="clear" w:color="auto" w:fill="F5EDC1" w:themeFill="accent4"/>
          </w:tcPr>
          <w:p w14:paraId="09CF43F1" w14:textId="5226E1D8" w:rsidR="009A527E" w:rsidRPr="009A527E" w:rsidRDefault="009A527E" w:rsidP="00D609FD">
            <w:pPr>
              <w:jc w:val="right"/>
              <w:rPr>
                <w:b/>
              </w:rPr>
            </w:pPr>
            <w:r w:rsidRPr="009A527E">
              <w:rPr>
                <w:b/>
              </w:rPr>
              <w:t>375</w:t>
            </w:r>
          </w:p>
        </w:tc>
        <w:tc>
          <w:tcPr>
            <w:tcW w:w="2046" w:type="dxa"/>
            <w:shd w:val="clear" w:color="auto" w:fill="D4E2E0" w:themeFill="accent5"/>
          </w:tcPr>
          <w:p w14:paraId="6F6E32AA" w14:textId="38B2F89B" w:rsidR="009A527E" w:rsidRPr="009A527E" w:rsidRDefault="009A527E" w:rsidP="00D609FD">
            <w:pPr>
              <w:jc w:val="right"/>
              <w:rPr>
                <w:b/>
              </w:rPr>
            </w:pPr>
            <w:r w:rsidRPr="009A527E">
              <w:rPr>
                <w:b/>
              </w:rPr>
              <w:t>311</w:t>
            </w:r>
          </w:p>
        </w:tc>
      </w:tr>
      <w:tr w:rsidR="009A527E" w14:paraId="6F836680" w14:textId="77777777" w:rsidTr="009A527E">
        <w:tc>
          <w:tcPr>
            <w:tcW w:w="5070" w:type="dxa"/>
          </w:tcPr>
          <w:p w14:paraId="4826616E" w14:textId="4F0C2D7D" w:rsidR="009A527E" w:rsidRDefault="009A527E" w:rsidP="009A527E"/>
        </w:tc>
        <w:tc>
          <w:tcPr>
            <w:tcW w:w="2126" w:type="dxa"/>
            <w:shd w:val="clear" w:color="auto" w:fill="auto"/>
          </w:tcPr>
          <w:p w14:paraId="03749307" w14:textId="77777777" w:rsidR="009A527E" w:rsidRDefault="009A527E" w:rsidP="00D609FD">
            <w:pPr>
              <w:jc w:val="right"/>
            </w:pPr>
          </w:p>
        </w:tc>
        <w:tc>
          <w:tcPr>
            <w:tcW w:w="2046" w:type="dxa"/>
            <w:shd w:val="clear" w:color="auto" w:fill="auto"/>
          </w:tcPr>
          <w:p w14:paraId="2A3933C2" w14:textId="77777777" w:rsidR="009A527E" w:rsidRDefault="009A527E" w:rsidP="00D609FD">
            <w:pPr>
              <w:jc w:val="right"/>
            </w:pPr>
          </w:p>
        </w:tc>
      </w:tr>
      <w:tr w:rsidR="009A527E" w14:paraId="7F3ED2DA" w14:textId="77777777" w:rsidTr="00D609FD">
        <w:tc>
          <w:tcPr>
            <w:tcW w:w="5070" w:type="dxa"/>
          </w:tcPr>
          <w:p w14:paraId="2234981D" w14:textId="5CD048F2" w:rsidR="009A527E" w:rsidRDefault="009A527E" w:rsidP="009A527E">
            <w:r>
              <w:t>Surplus/(Deficit)</w:t>
            </w:r>
          </w:p>
        </w:tc>
        <w:tc>
          <w:tcPr>
            <w:tcW w:w="2126" w:type="dxa"/>
            <w:shd w:val="clear" w:color="auto" w:fill="F5EDC1" w:themeFill="accent4"/>
          </w:tcPr>
          <w:p w14:paraId="56BC631B" w14:textId="4702B896" w:rsidR="009A527E" w:rsidRDefault="009A527E" w:rsidP="00D609FD">
            <w:pPr>
              <w:jc w:val="right"/>
            </w:pPr>
            <w:r>
              <w:t>(84)</w:t>
            </w:r>
          </w:p>
        </w:tc>
        <w:tc>
          <w:tcPr>
            <w:tcW w:w="2046" w:type="dxa"/>
            <w:shd w:val="clear" w:color="auto" w:fill="D4E2E0" w:themeFill="accent5"/>
          </w:tcPr>
          <w:p w14:paraId="1432E318" w14:textId="4E7021C4" w:rsidR="009A527E" w:rsidRDefault="009A527E" w:rsidP="00D609FD">
            <w:pPr>
              <w:jc w:val="right"/>
            </w:pPr>
            <w:r>
              <w:t>3</w:t>
            </w:r>
          </w:p>
        </w:tc>
      </w:tr>
      <w:tr w:rsidR="009A527E" w14:paraId="56AFCD38" w14:textId="77777777" w:rsidTr="009A527E">
        <w:tc>
          <w:tcPr>
            <w:tcW w:w="5070" w:type="dxa"/>
          </w:tcPr>
          <w:p w14:paraId="52481410" w14:textId="3493811B" w:rsidR="009A527E" w:rsidRDefault="009A527E" w:rsidP="009A527E">
            <w:r>
              <w:t>Balance July 1</w:t>
            </w:r>
          </w:p>
        </w:tc>
        <w:tc>
          <w:tcPr>
            <w:tcW w:w="2126" w:type="dxa"/>
            <w:shd w:val="clear" w:color="auto" w:fill="F5EDC1" w:themeFill="accent4"/>
          </w:tcPr>
          <w:p w14:paraId="323691E4" w14:textId="3D8B47B4" w:rsidR="009A527E" w:rsidRDefault="009A527E" w:rsidP="00D609FD">
            <w:pPr>
              <w:jc w:val="right"/>
            </w:pPr>
            <w:r>
              <w:t>1,086</w:t>
            </w:r>
          </w:p>
        </w:tc>
        <w:tc>
          <w:tcPr>
            <w:tcW w:w="2046" w:type="dxa"/>
            <w:shd w:val="clear" w:color="auto" w:fill="D4E2E0" w:themeFill="accent5"/>
          </w:tcPr>
          <w:p w14:paraId="728796C4" w14:textId="234A8B6D" w:rsidR="009A527E" w:rsidRDefault="009A527E" w:rsidP="00D609FD">
            <w:pPr>
              <w:jc w:val="right"/>
            </w:pPr>
            <w:r>
              <w:t>1,083</w:t>
            </w:r>
          </w:p>
        </w:tc>
      </w:tr>
      <w:tr w:rsidR="009A527E" w:rsidRPr="009A527E" w14:paraId="3E04D18C" w14:textId="77777777" w:rsidTr="009A527E">
        <w:tc>
          <w:tcPr>
            <w:tcW w:w="5070" w:type="dxa"/>
          </w:tcPr>
          <w:p w14:paraId="6316103F" w14:textId="59E7C046" w:rsidR="009A527E" w:rsidRPr="009A527E" w:rsidRDefault="009A527E" w:rsidP="009A527E">
            <w:pPr>
              <w:rPr>
                <w:b/>
              </w:rPr>
            </w:pPr>
            <w:r w:rsidRPr="009A527E">
              <w:rPr>
                <w:b/>
              </w:rPr>
              <w:t>Balance June 30</w:t>
            </w:r>
          </w:p>
        </w:tc>
        <w:tc>
          <w:tcPr>
            <w:tcW w:w="2126" w:type="dxa"/>
            <w:tcBorders>
              <w:bottom w:val="single" w:sz="4" w:space="0" w:color="auto"/>
            </w:tcBorders>
            <w:shd w:val="clear" w:color="auto" w:fill="F5EDC1" w:themeFill="accent4"/>
          </w:tcPr>
          <w:p w14:paraId="607A2C1C" w14:textId="2AC82428" w:rsidR="009A527E" w:rsidRPr="009A527E" w:rsidRDefault="009A527E" w:rsidP="00D609FD">
            <w:pPr>
              <w:jc w:val="right"/>
              <w:rPr>
                <w:b/>
              </w:rPr>
            </w:pPr>
            <w:r w:rsidRPr="009A527E">
              <w:rPr>
                <w:b/>
              </w:rPr>
              <w:t>1,002</w:t>
            </w:r>
          </w:p>
        </w:tc>
        <w:tc>
          <w:tcPr>
            <w:tcW w:w="2046" w:type="dxa"/>
            <w:tcBorders>
              <w:bottom w:val="single" w:sz="4" w:space="0" w:color="auto"/>
            </w:tcBorders>
            <w:shd w:val="clear" w:color="auto" w:fill="D4E2E0" w:themeFill="accent5"/>
          </w:tcPr>
          <w:p w14:paraId="49FB053D" w14:textId="5B1FED7E" w:rsidR="009A527E" w:rsidRPr="009A527E" w:rsidRDefault="009A527E" w:rsidP="00D609FD">
            <w:pPr>
              <w:jc w:val="right"/>
              <w:rPr>
                <w:b/>
              </w:rPr>
            </w:pPr>
            <w:r w:rsidRPr="009A527E">
              <w:rPr>
                <w:b/>
              </w:rPr>
              <w:t>1,086</w:t>
            </w:r>
          </w:p>
        </w:tc>
      </w:tr>
      <w:tr w:rsidR="009A527E" w14:paraId="79EB040B" w14:textId="77777777" w:rsidTr="009A527E">
        <w:tc>
          <w:tcPr>
            <w:tcW w:w="5070" w:type="dxa"/>
            <w:shd w:val="clear" w:color="auto" w:fill="auto"/>
          </w:tcPr>
          <w:p w14:paraId="644B1FCA" w14:textId="48CC4B0C" w:rsidR="009A527E" w:rsidRPr="009A527E" w:rsidRDefault="009A527E" w:rsidP="009A527E">
            <w:pPr>
              <w:rPr>
                <w:i/>
              </w:rPr>
            </w:pPr>
            <w:r>
              <w:rPr>
                <w:i/>
              </w:rPr>
              <w:t>Balance of funds held represents:</w:t>
            </w:r>
          </w:p>
        </w:tc>
        <w:tc>
          <w:tcPr>
            <w:tcW w:w="2126" w:type="dxa"/>
            <w:tcBorders>
              <w:top w:val="single" w:sz="4" w:space="0" w:color="auto"/>
            </w:tcBorders>
            <w:shd w:val="clear" w:color="auto" w:fill="auto"/>
          </w:tcPr>
          <w:p w14:paraId="310F788D" w14:textId="77777777" w:rsidR="009A527E" w:rsidRDefault="009A527E" w:rsidP="00D609FD">
            <w:pPr>
              <w:jc w:val="right"/>
            </w:pPr>
          </w:p>
        </w:tc>
        <w:tc>
          <w:tcPr>
            <w:tcW w:w="2046" w:type="dxa"/>
            <w:tcBorders>
              <w:top w:val="single" w:sz="4" w:space="0" w:color="auto"/>
            </w:tcBorders>
            <w:shd w:val="clear" w:color="auto" w:fill="auto"/>
          </w:tcPr>
          <w:p w14:paraId="39908FD7" w14:textId="77777777" w:rsidR="009A527E" w:rsidRDefault="009A527E" w:rsidP="00D609FD">
            <w:pPr>
              <w:jc w:val="right"/>
            </w:pPr>
          </w:p>
        </w:tc>
      </w:tr>
      <w:tr w:rsidR="009A527E" w14:paraId="1702282F" w14:textId="77777777" w:rsidTr="009A527E">
        <w:tc>
          <w:tcPr>
            <w:tcW w:w="5070" w:type="dxa"/>
          </w:tcPr>
          <w:p w14:paraId="2FE69DD7" w14:textId="6067D922" w:rsidR="009A527E" w:rsidRDefault="009A527E" w:rsidP="009A527E">
            <w:r>
              <w:t>Cash and cash equivalents</w:t>
            </w:r>
          </w:p>
        </w:tc>
        <w:tc>
          <w:tcPr>
            <w:tcW w:w="2126" w:type="dxa"/>
            <w:shd w:val="clear" w:color="auto" w:fill="F5EDC1" w:themeFill="accent4"/>
          </w:tcPr>
          <w:p w14:paraId="3D421E2B" w14:textId="0B01DC06" w:rsidR="009A527E" w:rsidRDefault="009A527E" w:rsidP="00D609FD">
            <w:pPr>
              <w:jc w:val="right"/>
            </w:pPr>
            <w:r>
              <w:t>1,002</w:t>
            </w:r>
          </w:p>
        </w:tc>
        <w:tc>
          <w:tcPr>
            <w:tcW w:w="2046" w:type="dxa"/>
            <w:shd w:val="clear" w:color="auto" w:fill="D4E2E0" w:themeFill="accent5"/>
          </w:tcPr>
          <w:p w14:paraId="2C8C2207" w14:textId="61629085" w:rsidR="009A527E" w:rsidRDefault="009A527E" w:rsidP="00D609FD">
            <w:pPr>
              <w:jc w:val="right"/>
            </w:pPr>
            <w:r>
              <w:t>1,086</w:t>
            </w:r>
          </w:p>
        </w:tc>
      </w:tr>
      <w:tr w:rsidR="009A527E" w14:paraId="01713E3E" w14:textId="77777777" w:rsidTr="009A527E">
        <w:tc>
          <w:tcPr>
            <w:tcW w:w="5070" w:type="dxa"/>
          </w:tcPr>
          <w:p w14:paraId="4FA4016F" w14:textId="77777777" w:rsidR="009A527E" w:rsidRDefault="009A527E" w:rsidP="009A527E"/>
        </w:tc>
        <w:tc>
          <w:tcPr>
            <w:tcW w:w="2126" w:type="dxa"/>
            <w:tcBorders>
              <w:bottom w:val="single" w:sz="4" w:space="0" w:color="auto"/>
            </w:tcBorders>
            <w:shd w:val="clear" w:color="auto" w:fill="F5EDC1" w:themeFill="accent4"/>
          </w:tcPr>
          <w:p w14:paraId="61D7D6D7" w14:textId="706D9322" w:rsidR="009A527E" w:rsidRPr="009A527E" w:rsidRDefault="009A527E" w:rsidP="00D609FD">
            <w:pPr>
              <w:jc w:val="right"/>
              <w:rPr>
                <w:b/>
              </w:rPr>
            </w:pPr>
            <w:r w:rsidRPr="009A527E">
              <w:rPr>
                <w:b/>
              </w:rPr>
              <w:t>1,002</w:t>
            </w:r>
          </w:p>
        </w:tc>
        <w:tc>
          <w:tcPr>
            <w:tcW w:w="2046" w:type="dxa"/>
            <w:tcBorders>
              <w:bottom w:val="single" w:sz="4" w:space="0" w:color="auto"/>
            </w:tcBorders>
            <w:shd w:val="clear" w:color="auto" w:fill="D4E2E0" w:themeFill="accent5"/>
          </w:tcPr>
          <w:p w14:paraId="3059D5F1" w14:textId="36B26B8D" w:rsidR="009A527E" w:rsidRPr="009A527E" w:rsidRDefault="009A527E" w:rsidP="00D609FD">
            <w:pPr>
              <w:jc w:val="right"/>
              <w:rPr>
                <w:b/>
              </w:rPr>
            </w:pPr>
            <w:r w:rsidRPr="009A527E">
              <w:rPr>
                <w:b/>
              </w:rPr>
              <w:t>1,086</w:t>
            </w:r>
          </w:p>
        </w:tc>
      </w:tr>
    </w:tbl>
    <w:p w14:paraId="2D129C35" w14:textId="6F8838D5" w:rsidR="009A527E" w:rsidRDefault="005F3F75" w:rsidP="005F3F75">
      <w:pPr>
        <w:pStyle w:val="Heading2nonumber"/>
        <w:numPr>
          <w:ilvl w:val="0"/>
          <w:numId w:val="15"/>
        </w:numPr>
      </w:pPr>
      <w:bookmarkStart w:id="721" w:name="_Toc430091399"/>
      <w:r>
        <w:t>Supplementary financial information</w:t>
      </w:r>
      <w:bookmarkEnd w:id="721"/>
    </w:p>
    <w:p w14:paraId="485E9508" w14:textId="0EBCB2A9" w:rsidR="005F3F75" w:rsidRPr="00DA1E18" w:rsidRDefault="005F3F75" w:rsidP="005F3F75">
      <w:pPr>
        <w:rPr>
          <w:rStyle w:val="Strong"/>
          <w:rFonts w:eastAsiaTheme="majorEastAsia"/>
        </w:rPr>
      </w:pPr>
      <w:r w:rsidRPr="00DA1E18">
        <w:rPr>
          <w:rStyle w:val="Strong"/>
          <w:rFonts w:eastAsiaTheme="majorEastAsia"/>
        </w:rPr>
        <w:t>Potential Claims Recoveries Written Off</w:t>
      </w:r>
    </w:p>
    <w:p w14:paraId="131BD819" w14:textId="77777777" w:rsidR="005F3F75" w:rsidRPr="005F3F75" w:rsidRDefault="005F3F75" w:rsidP="005F3F75">
      <w:pPr>
        <w:rPr>
          <w:rFonts w:eastAsiaTheme="majorEastAsia"/>
        </w:rPr>
      </w:pPr>
      <w:r w:rsidRPr="005F3F75">
        <w:rPr>
          <w:rFonts w:eastAsiaTheme="majorEastAsia"/>
        </w:rPr>
        <w:t>In relation to the General Account, WorkCover WA may have a statutory obligation to pay a workers' compensation claim. For uninsured claims where the employer has not maintained a workers' compensation insurance policy, or the employer is not able to be identified or located or an employer is in breach of the insurance contract, WorkCover seeks to recover the costs of the claims from the employer.</w:t>
      </w:r>
    </w:p>
    <w:p w14:paraId="7F6CA597" w14:textId="0D2A7A8D" w:rsidR="005F3F75" w:rsidRPr="005F3F75" w:rsidRDefault="005F3F75" w:rsidP="005F3F75">
      <w:pPr>
        <w:rPr>
          <w:rFonts w:eastAsiaTheme="majorEastAsia"/>
        </w:rPr>
      </w:pPr>
      <w:r w:rsidRPr="005F3F75">
        <w:rPr>
          <w:rFonts w:eastAsiaTheme="majorEastAsia"/>
        </w:rPr>
        <w:t>Potential recoveries receivable are assessed with regard to the ability of the de</w:t>
      </w:r>
      <w:r>
        <w:rPr>
          <w:rFonts w:eastAsiaTheme="majorEastAsia"/>
        </w:rPr>
        <w:t xml:space="preserve">btors to meet their obligation. </w:t>
      </w:r>
      <w:r w:rsidRPr="005F3F75">
        <w:rPr>
          <w:rFonts w:eastAsiaTheme="majorEastAsia"/>
        </w:rPr>
        <w:t xml:space="preserve">These recoveries have not been recognised as income because the amount to be </w:t>
      </w:r>
      <w:r>
        <w:rPr>
          <w:rFonts w:eastAsiaTheme="majorEastAsia"/>
        </w:rPr>
        <w:t xml:space="preserve">recovered could not be reliably </w:t>
      </w:r>
      <w:r w:rsidRPr="005F3F75">
        <w:rPr>
          <w:rFonts w:eastAsiaTheme="majorEastAsia"/>
        </w:rPr>
        <w:t>measured and consequently the write-off of these debts have not been charged as</w:t>
      </w:r>
      <w:r>
        <w:rPr>
          <w:rFonts w:eastAsiaTheme="majorEastAsia"/>
        </w:rPr>
        <w:t xml:space="preserve"> an expense in the Statement of </w:t>
      </w:r>
      <w:r w:rsidRPr="005F3F75">
        <w:rPr>
          <w:rFonts w:eastAsiaTheme="majorEastAsia"/>
        </w:rPr>
        <w:t>Comprehensive Income.</w:t>
      </w:r>
    </w:p>
    <w:p w14:paraId="1AA6C1FF" w14:textId="3494AFDB" w:rsidR="005F3F75" w:rsidRPr="005F3F75" w:rsidRDefault="005F3F75" w:rsidP="005F3F75">
      <w:pPr>
        <w:rPr>
          <w:rFonts w:eastAsiaTheme="majorEastAsia"/>
        </w:rPr>
      </w:pPr>
      <w:r w:rsidRPr="005F3F75">
        <w:rPr>
          <w:rFonts w:eastAsiaTheme="majorEastAsia"/>
        </w:rPr>
        <w:t>The General Account Uninsured debt write-offs outlined below are net of reco</w:t>
      </w:r>
      <w:r>
        <w:rPr>
          <w:rFonts w:eastAsiaTheme="majorEastAsia"/>
        </w:rPr>
        <w:t>veries received from employers.</w:t>
      </w:r>
    </w:p>
    <w:p w14:paraId="57F936EB" w14:textId="2DC3BA9D" w:rsidR="009A37DB" w:rsidRDefault="005F3F75" w:rsidP="005F3F75">
      <w:pPr>
        <w:rPr>
          <w:rFonts w:eastAsiaTheme="majorEastAsia"/>
        </w:rPr>
      </w:pPr>
      <w:r w:rsidRPr="005F3F75">
        <w:rPr>
          <w:rFonts w:eastAsiaTheme="majorEastAsia"/>
        </w:rPr>
        <w:t xml:space="preserve">In accordance with Section 48(2) of the </w:t>
      </w:r>
      <w:r w:rsidRPr="00D53392">
        <w:rPr>
          <w:rFonts w:eastAsiaTheme="majorEastAsia"/>
          <w:i/>
        </w:rPr>
        <w:t>Financial Management Act 2006</w:t>
      </w:r>
      <w:r w:rsidRPr="005F3F75">
        <w:rPr>
          <w:rFonts w:eastAsiaTheme="majorEastAsia"/>
        </w:rPr>
        <w:t>, potential recoveries were written off from the following</w:t>
      </w:r>
      <w:r w:rsidR="00D53392">
        <w:rPr>
          <w:rFonts w:eastAsiaTheme="majorEastAsia"/>
        </w:rPr>
        <w:t xml:space="preserve"> fund</w:t>
      </w:r>
      <w:r w:rsidRPr="005F3F75">
        <w:rPr>
          <w:rFonts w:eastAsiaTheme="majorEastAsia"/>
        </w:rPr>
        <w:t>:</w:t>
      </w:r>
    </w:p>
    <w:p w14:paraId="1F4DAB39" w14:textId="77777777" w:rsidR="009A37DB" w:rsidRDefault="009A37DB">
      <w:pPr>
        <w:keepLines w:val="0"/>
        <w:spacing w:after="0" w:line="240" w:lineRule="auto"/>
        <w:rPr>
          <w:rFonts w:eastAsiaTheme="majorEastAsia"/>
        </w:rPr>
      </w:pPr>
      <w:r>
        <w:rPr>
          <w:rFonts w:eastAsiaTheme="majorEastAsia"/>
        </w:rPr>
        <w:br w:type="page"/>
      </w:r>
    </w:p>
    <w:p w14:paraId="07FC349E" w14:textId="77777777" w:rsidR="005F3F75" w:rsidRDefault="005F3F75" w:rsidP="005F3F75">
      <w:pPr>
        <w:rPr>
          <w:rFonts w:eastAsiaTheme="maj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2080"/>
        <w:gridCol w:w="2003"/>
      </w:tblGrid>
      <w:tr w:rsidR="009A37DB" w14:paraId="74ACEC02" w14:textId="77777777" w:rsidTr="00D609FD">
        <w:tc>
          <w:tcPr>
            <w:tcW w:w="5070" w:type="dxa"/>
          </w:tcPr>
          <w:p w14:paraId="081C725F" w14:textId="77777777" w:rsidR="009A37DB" w:rsidRDefault="009A37DB" w:rsidP="00D609FD"/>
        </w:tc>
        <w:tc>
          <w:tcPr>
            <w:tcW w:w="2126" w:type="dxa"/>
          </w:tcPr>
          <w:p w14:paraId="465C6A19" w14:textId="77777777" w:rsidR="009A37DB" w:rsidRDefault="009A37DB" w:rsidP="00D609FD">
            <w:pPr>
              <w:jc w:val="right"/>
            </w:pPr>
            <w:r>
              <w:t>2015</w:t>
            </w:r>
          </w:p>
        </w:tc>
        <w:tc>
          <w:tcPr>
            <w:tcW w:w="2046" w:type="dxa"/>
          </w:tcPr>
          <w:p w14:paraId="625F14C6" w14:textId="77777777" w:rsidR="009A37DB" w:rsidRDefault="009A37DB" w:rsidP="00D609FD">
            <w:pPr>
              <w:jc w:val="right"/>
            </w:pPr>
            <w:r>
              <w:t>2014</w:t>
            </w:r>
          </w:p>
        </w:tc>
      </w:tr>
      <w:tr w:rsidR="009A37DB" w14:paraId="3D1A2D0D" w14:textId="77777777" w:rsidTr="00D609FD">
        <w:tc>
          <w:tcPr>
            <w:tcW w:w="5070" w:type="dxa"/>
          </w:tcPr>
          <w:p w14:paraId="28E70123" w14:textId="77777777" w:rsidR="009A37DB" w:rsidRDefault="009A37DB" w:rsidP="00D609FD">
            <w:pPr>
              <w:jc w:val="right"/>
            </w:pPr>
          </w:p>
        </w:tc>
        <w:tc>
          <w:tcPr>
            <w:tcW w:w="2126" w:type="dxa"/>
          </w:tcPr>
          <w:p w14:paraId="412371A8" w14:textId="77777777" w:rsidR="009A37DB" w:rsidRDefault="009A37DB" w:rsidP="00D609FD">
            <w:pPr>
              <w:jc w:val="right"/>
            </w:pPr>
            <w:r>
              <w:t>$000</w:t>
            </w:r>
          </w:p>
        </w:tc>
        <w:tc>
          <w:tcPr>
            <w:tcW w:w="2046" w:type="dxa"/>
          </w:tcPr>
          <w:p w14:paraId="07CC20FD" w14:textId="77777777" w:rsidR="009A37DB" w:rsidRDefault="009A37DB" w:rsidP="00D609FD">
            <w:pPr>
              <w:jc w:val="right"/>
            </w:pPr>
            <w:r>
              <w:t>$000</w:t>
            </w:r>
          </w:p>
        </w:tc>
      </w:tr>
      <w:tr w:rsidR="009A37DB" w14:paraId="125BDB16" w14:textId="77777777" w:rsidTr="009A37DB">
        <w:tc>
          <w:tcPr>
            <w:tcW w:w="5070" w:type="dxa"/>
            <w:shd w:val="clear" w:color="auto" w:fill="auto"/>
          </w:tcPr>
          <w:p w14:paraId="303F2CD5" w14:textId="228BB803" w:rsidR="009A37DB" w:rsidRPr="009A37DB" w:rsidRDefault="009A37DB" w:rsidP="00D609FD">
            <w:pPr>
              <w:rPr>
                <w:i/>
              </w:rPr>
            </w:pPr>
            <w:r>
              <w:rPr>
                <w:i/>
              </w:rPr>
              <w:t>Write-offs</w:t>
            </w:r>
          </w:p>
        </w:tc>
        <w:tc>
          <w:tcPr>
            <w:tcW w:w="2126" w:type="dxa"/>
            <w:shd w:val="clear" w:color="auto" w:fill="auto"/>
          </w:tcPr>
          <w:p w14:paraId="02A7AA72" w14:textId="71794D89" w:rsidR="009A37DB" w:rsidRDefault="009A37DB" w:rsidP="00D609FD">
            <w:pPr>
              <w:jc w:val="right"/>
            </w:pPr>
          </w:p>
        </w:tc>
        <w:tc>
          <w:tcPr>
            <w:tcW w:w="2046" w:type="dxa"/>
            <w:shd w:val="clear" w:color="auto" w:fill="auto"/>
          </w:tcPr>
          <w:p w14:paraId="75427A54" w14:textId="55A07EB9" w:rsidR="009A37DB" w:rsidRDefault="009A37DB" w:rsidP="00D609FD">
            <w:pPr>
              <w:jc w:val="right"/>
            </w:pPr>
          </w:p>
        </w:tc>
      </w:tr>
      <w:tr w:rsidR="009A37DB" w14:paraId="74A6154A" w14:textId="77777777" w:rsidTr="00D609FD">
        <w:tc>
          <w:tcPr>
            <w:tcW w:w="5070" w:type="dxa"/>
          </w:tcPr>
          <w:p w14:paraId="4C54DC1E" w14:textId="651F15CB" w:rsidR="009A37DB" w:rsidRDefault="009A37DB" w:rsidP="00D609FD">
            <w:r>
              <w:t>General account uninsured claims</w:t>
            </w:r>
          </w:p>
        </w:tc>
        <w:tc>
          <w:tcPr>
            <w:tcW w:w="2126" w:type="dxa"/>
            <w:shd w:val="clear" w:color="auto" w:fill="F5EDC1" w:themeFill="accent4"/>
          </w:tcPr>
          <w:p w14:paraId="6E8D37B3" w14:textId="7493EA41" w:rsidR="009A37DB" w:rsidRDefault="009A37DB" w:rsidP="00D609FD">
            <w:pPr>
              <w:jc w:val="right"/>
            </w:pPr>
            <w:r>
              <w:t>138</w:t>
            </w:r>
          </w:p>
        </w:tc>
        <w:tc>
          <w:tcPr>
            <w:tcW w:w="2046" w:type="dxa"/>
            <w:shd w:val="clear" w:color="auto" w:fill="D4E2E0" w:themeFill="accent5"/>
          </w:tcPr>
          <w:p w14:paraId="3A9EAED6" w14:textId="698EB3D3" w:rsidR="009A37DB" w:rsidRDefault="009A37DB" w:rsidP="00D609FD">
            <w:pPr>
              <w:jc w:val="right"/>
            </w:pPr>
            <w:r>
              <w:t>33</w:t>
            </w:r>
          </w:p>
        </w:tc>
      </w:tr>
      <w:tr w:rsidR="009A37DB" w14:paraId="02A01503" w14:textId="77777777" w:rsidTr="009A37DB">
        <w:tc>
          <w:tcPr>
            <w:tcW w:w="5070" w:type="dxa"/>
          </w:tcPr>
          <w:p w14:paraId="1671B47E" w14:textId="5252CC23" w:rsidR="009A37DB" w:rsidRDefault="009A37DB" w:rsidP="00D609FD">
            <w:r>
              <w:t>Fines and penalties</w:t>
            </w:r>
          </w:p>
        </w:tc>
        <w:tc>
          <w:tcPr>
            <w:tcW w:w="2126" w:type="dxa"/>
            <w:shd w:val="clear" w:color="auto" w:fill="F5EDC1" w:themeFill="accent4"/>
          </w:tcPr>
          <w:p w14:paraId="23260BD5" w14:textId="4D6E2F76" w:rsidR="009A37DB" w:rsidRDefault="009A37DB" w:rsidP="00D609FD">
            <w:pPr>
              <w:jc w:val="right"/>
            </w:pPr>
            <w:r>
              <w:t>48</w:t>
            </w:r>
          </w:p>
        </w:tc>
        <w:tc>
          <w:tcPr>
            <w:tcW w:w="2046" w:type="dxa"/>
            <w:shd w:val="clear" w:color="auto" w:fill="D4E2E0" w:themeFill="accent5"/>
          </w:tcPr>
          <w:p w14:paraId="05A0BDDA" w14:textId="171F9D0F" w:rsidR="009A37DB" w:rsidRDefault="009A37DB" w:rsidP="00D609FD">
            <w:pPr>
              <w:jc w:val="right"/>
            </w:pPr>
            <w:r>
              <w:t>19</w:t>
            </w:r>
          </w:p>
        </w:tc>
      </w:tr>
      <w:tr w:rsidR="009A37DB" w14:paraId="1F2EF6DF" w14:textId="77777777" w:rsidTr="009A37DB">
        <w:tc>
          <w:tcPr>
            <w:tcW w:w="5070" w:type="dxa"/>
          </w:tcPr>
          <w:p w14:paraId="7937651B" w14:textId="77777777" w:rsidR="009A37DB" w:rsidRDefault="009A37DB" w:rsidP="00D609FD"/>
        </w:tc>
        <w:tc>
          <w:tcPr>
            <w:tcW w:w="2126" w:type="dxa"/>
            <w:tcBorders>
              <w:bottom w:val="single" w:sz="4" w:space="0" w:color="auto"/>
            </w:tcBorders>
            <w:shd w:val="clear" w:color="auto" w:fill="F5EDC1" w:themeFill="accent4"/>
          </w:tcPr>
          <w:p w14:paraId="5D2EBBE3" w14:textId="01AE79CF" w:rsidR="009A37DB" w:rsidRPr="009A37DB" w:rsidRDefault="009A37DB" w:rsidP="00D609FD">
            <w:pPr>
              <w:jc w:val="right"/>
              <w:rPr>
                <w:b/>
              </w:rPr>
            </w:pPr>
            <w:r w:rsidRPr="009A37DB">
              <w:rPr>
                <w:b/>
              </w:rPr>
              <w:t>186</w:t>
            </w:r>
          </w:p>
        </w:tc>
        <w:tc>
          <w:tcPr>
            <w:tcW w:w="2046" w:type="dxa"/>
            <w:tcBorders>
              <w:bottom w:val="single" w:sz="4" w:space="0" w:color="auto"/>
            </w:tcBorders>
            <w:shd w:val="clear" w:color="auto" w:fill="D4E2E0" w:themeFill="accent5"/>
          </w:tcPr>
          <w:p w14:paraId="64EACFB3" w14:textId="1D83B459" w:rsidR="009A37DB" w:rsidRPr="009A37DB" w:rsidRDefault="009A37DB" w:rsidP="00D609FD">
            <w:pPr>
              <w:jc w:val="right"/>
              <w:rPr>
                <w:b/>
              </w:rPr>
            </w:pPr>
            <w:r w:rsidRPr="009A37DB">
              <w:rPr>
                <w:b/>
              </w:rPr>
              <w:t>52</w:t>
            </w:r>
          </w:p>
        </w:tc>
      </w:tr>
      <w:tr w:rsidR="009A37DB" w14:paraId="5EEB2A1B" w14:textId="77777777" w:rsidTr="009A37DB">
        <w:tc>
          <w:tcPr>
            <w:tcW w:w="5070" w:type="dxa"/>
          </w:tcPr>
          <w:p w14:paraId="04319037" w14:textId="77777777" w:rsidR="009A37DB" w:rsidRDefault="009A37DB" w:rsidP="00D609FD"/>
        </w:tc>
        <w:tc>
          <w:tcPr>
            <w:tcW w:w="2126" w:type="dxa"/>
            <w:tcBorders>
              <w:top w:val="single" w:sz="4" w:space="0" w:color="auto"/>
            </w:tcBorders>
            <w:shd w:val="clear" w:color="auto" w:fill="auto"/>
          </w:tcPr>
          <w:p w14:paraId="7C763B15" w14:textId="5C48A5B1" w:rsidR="009A37DB" w:rsidRPr="009A37DB" w:rsidRDefault="009A37DB" w:rsidP="00D609FD">
            <w:pPr>
              <w:jc w:val="right"/>
              <w:rPr>
                <w:b/>
              </w:rPr>
            </w:pPr>
            <w:r>
              <w:rPr>
                <w:b/>
              </w:rPr>
              <w:br/>
            </w:r>
            <w:r w:rsidRPr="009A37DB">
              <w:rPr>
                <w:b/>
              </w:rPr>
              <w:t>2015</w:t>
            </w:r>
          </w:p>
        </w:tc>
        <w:tc>
          <w:tcPr>
            <w:tcW w:w="2046" w:type="dxa"/>
            <w:tcBorders>
              <w:top w:val="single" w:sz="4" w:space="0" w:color="auto"/>
            </w:tcBorders>
            <w:shd w:val="clear" w:color="auto" w:fill="auto"/>
          </w:tcPr>
          <w:p w14:paraId="5EC5A22B" w14:textId="6A0963CB" w:rsidR="009A37DB" w:rsidRPr="009A37DB" w:rsidRDefault="009A37DB" w:rsidP="00D609FD">
            <w:pPr>
              <w:jc w:val="right"/>
              <w:rPr>
                <w:b/>
              </w:rPr>
            </w:pPr>
            <w:r>
              <w:rPr>
                <w:b/>
              </w:rPr>
              <w:br/>
            </w:r>
            <w:r w:rsidRPr="009A37DB">
              <w:rPr>
                <w:b/>
              </w:rPr>
              <w:t>2014</w:t>
            </w:r>
          </w:p>
        </w:tc>
      </w:tr>
      <w:tr w:rsidR="009A37DB" w14:paraId="0C82B2E5" w14:textId="77777777" w:rsidTr="009A37DB">
        <w:tc>
          <w:tcPr>
            <w:tcW w:w="5070" w:type="dxa"/>
            <w:shd w:val="clear" w:color="auto" w:fill="auto"/>
          </w:tcPr>
          <w:p w14:paraId="4F1766DB" w14:textId="36704130" w:rsidR="009A37DB" w:rsidRDefault="009A37DB" w:rsidP="00D609FD">
            <w:r>
              <w:t>Number of individual recovery write-offs with values between:</w:t>
            </w:r>
          </w:p>
        </w:tc>
        <w:tc>
          <w:tcPr>
            <w:tcW w:w="2126" w:type="dxa"/>
            <w:shd w:val="clear" w:color="auto" w:fill="auto"/>
          </w:tcPr>
          <w:p w14:paraId="4FD1C935" w14:textId="77777777" w:rsidR="009A37DB" w:rsidRDefault="009A37DB" w:rsidP="00D609FD">
            <w:pPr>
              <w:jc w:val="right"/>
            </w:pPr>
          </w:p>
        </w:tc>
        <w:tc>
          <w:tcPr>
            <w:tcW w:w="2046" w:type="dxa"/>
            <w:shd w:val="clear" w:color="auto" w:fill="auto"/>
          </w:tcPr>
          <w:p w14:paraId="3E20D470" w14:textId="77777777" w:rsidR="009A37DB" w:rsidRDefault="009A37DB" w:rsidP="00D609FD">
            <w:pPr>
              <w:jc w:val="right"/>
            </w:pPr>
          </w:p>
        </w:tc>
      </w:tr>
      <w:tr w:rsidR="009A37DB" w14:paraId="3692BD2D" w14:textId="77777777" w:rsidTr="00D609FD">
        <w:tc>
          <w:tcPr>
            <w:tcW w:w="5070" w:type="dxa"/>
          </w:tcPr>
          <w:p w14:paraId="7A86840A" w14:textId="7A33D6E2" w:rsidR="009A37DB" w:rsidRDefault="009A37DB" w:rsidP="009A37DB">
            <w:pPr>
              <w:jc w:val="right"/>
            </w:pPr>
            <w:r>
              <w:t>$0 – 100,000</w:t>
            </w:r>
          </w:p>
        </w:tc>
        <w:tc>
          <w:tcPr>
            <w:tcW w:w="2126" w:type="dxa"/>
            <w:shd w:val="clear" w:color="auto" w:fill="F5EDC1" w:themeFill="accent4"/>
          </w:tcPr>
          <w:p w14:paraId="158476FC" w14:textId="31C78E71" w:rsidR="009A37DB" w:rsidRDefault="009A37DB" w:rsidP="00D609FD">
            <w:pPr>
              <w:jc w:val="right"/>
            </w:pPr>
            <w:r>
              <w:t>4</w:t>
            </w:r>
          </w:p>
        </w:tc>
        <w:tc>
          <w:tcPr>
            <w:tcW w:w="2046" w:type="dxa"/>
            <w:shd w:val="clear" w:color="auto" w:fill="D4E2E0" w:themeFill="accent5"/>
          </w:tcPr>
          <w:p w14:paraId="15D5650F" w14:textId="4FB065EF" w:rsidR="009A37DB" w:rsidRDefault="009A37DB" w:rsidP="00D609FD">
            <w:pPr>
              <w:jc w:val="right"/>
            </w:pPr>
            <w:r>
              <w:t>7</w:t>
            </w:r>
          </w:p>
        </w:tc>
      </w:tr>
      <w:tr w:rsidR="009A37DB" w14:paraId="5671D0E1" w14:textId="77777777" w:rsidTr="00D609FD">
        <w:tc>
          <w:tcPr>
            <w:tcW w:w="5070" w:type="dxa"/>
          </w:tcPr>
          <w:p w14:paraId="430E9786" w14:textId="00F89235" w:rsidR="009A37DB" w:rsidRDefault="009A37DB" w:rsidP="009A37DB">
            <w:pPr>
              <w:jc w:val="right"/>
            </w:pPr>
            <w:r>
              <w:t>$100,001 – 150,000</w:t>
            </w:r>
          </w:p>
        </w:tc>
        <w:tc>
          <w:tcPr>
            <w:tcW w:w="2126" w:type="dxa"/>
            <w:shd w:val="clear" w:color="auto" w:fill="F5EDC1" w:themeFill="accent4"/>
          </w:tcPr>
          <w:p w14:paraId="21D7CF4A" w14:textId="5B0DA344" w:rsidR="009A37DB" w:rsidRDefault="009A37DB" w:rsidP="00D609FD">
            <w:pPr>
              <w:jc w:val="right"/>
            </w:pPr>
            <w:r>
              <w:t>1</w:t>
            </w:r>
          </w:p>
        </w:tc>
        <w:tc>
          <w:tcPr>
            <w:tcW w:w="2046" w:type="dxa"/>
            <w:shd w:val="clear" w:color="auto" w:fill="D4E2E0" w:themeFill="accent5"/>
          </w:tcPr>
          <w:p w14:paraId="6F381B07" w14:textId="353D4165" w:rsidR="009A37DB" w:rsidRDefault="009A37DB" w:rsidP="00D609FD">
            <w:pPr>
              <w:jc w:val="right"/>
            </w:pPr>
            <w:r>
              <w:t>-</w:t>
            </w:r>
          </w:p>
        </w:tc>
      </w:tr>
      <w:tr w:rsidR="009A37DB" w14:paraId="20F7F099" w14:textId="77777777" w:rsidTr="009A37DB">
        <w:tc>
          <w:tcPr>
            <w:tcW w:w="5070" w:type="dxa"/>
          </w:tcPr>
          <w:p w14:paraId="26EFFE77" w14:textId="77777777" w:rsidR="009A37DB" w:rsidRDefault="009A37DB" w:rsidP="009A37DB">
            <w:pPr>
              <w:jc w:val="right"/>
            </w:pPr>
          </w:p>
        </w:tc>
        <w:tc>
          <w:tcPr>
            <w:tcW w:w="2126" w:type="dxa"/>
            <w:shd w:val="clear" w:color="auto" w:fill="auto"/>
          </w:tcPr>
          <w:p w14:paraId="6001E854" w14:textId="2BDB7E09" w:rsidR="009A37DB" w:rsidRDefault="009A37DB" w:rsidP="00D609FD">
            <w:pPr>
              <w:jc w:val="right"/>
            </w:pPr>
            <w:r>
              <w:br/>
              <w:t>2015</w:t>
            </w:r>
            <w:r>
              <w:br/>
              <w:t>$000</w:t>
            </w:r>
          </w:p>
        </w:tc>
        <w:tc>
          <w:tcPr>
            <w:tcW w:w="2046" w:type="dxa"/>
            <w:shd w:val="clear" w:color="auto" w:fill="auto"/>
          </w:tcPr>
          <w:p w14:paraId="443ADB32" w14:textId="1E7EE21C" w:rsidR="009A37DB" w:rsidRDefault="009A37DB" w:rsidP="00D609FD">
            <w:pPr>
              <w:jc w:val="right"/>
            </w:pPr>
            <w:r>
              <w:br/>
              <w:t>2014</w:t>
            </w:r>
            <w:r>
              <w:br/>
              <w:t>$000</w:t>
            </w:r>
          </w:p>
        </w:tc>
      </w:tr>
      <w:tr w:rsidR="009A37DB" w14:paraId="0F70C142" w14:textId="77777777" w:rsidTr="009A37DB">
        <w:tc>
          <w:tcPr>
            <w:tcW w:w="5070" w:type="dxa"/>
          </w:tcPr>
          <w:p w14:paraId="7AD5AC46" w14:textId="73B2C4EF" w:rsidR="009A37DB" w:rsidRPr="009A37DB" w:rsidRDefault="009A37DB" w:rsidP="009A37DB">
            <w:pPr>
              <w:rPr>
                <w:i/>
              </w:rPr>
            </w:pPr>
            <w:r w:rsidRPr="009A37DB">
              <w:rPr>
                <w:i/>
              </w:rPr>
              <w:t>Losses Through Theft, Defaults And Other Causes</w:t>
            </w:r>
          </w:p>
        </w:tc>
        <w:tc>
          <w:tcPr>
            <w:tcW w:w="2126" w:type="dxa"/>
            <w:shd w:val="clear" w:color="auto" w:fill="auto"/>
          </w:tcPr>
          <w:p w14:paraId="723EE7A5" w14:textId="77777777" w:rsidR="009A37DB" w:rsidRDefault="009A37DB" w:rsidP="00D609FD">
            <w:pPr>
              <w:jc w:val="right"/>
            </w:pPr>
          </w:p>
        </w:tc>
        <w:tc>
          <w:tcPr>
            <w:tcW w:w="2046" w:type="dxa"/>
            <w:shd w:val="clear" w:color="auto" w:fill="auto"/>
          </w:tcPr>
          <w:p w14:paraId="7249ACA2" w14:textId="77777777" w:rsidR="009A37DB" w:rsidRDefault="009A37DB" w:rsidP="00D609FD">
            <w:pPr>
              <w:jc w:val="right"/>
            </w:pPr>
          </w:p>
        </w:tc>
      </w:tr>
      <w:tr w:rsidR="009A37DB" w14:paraId="3FE5E5A5" w14:textId="77777777" w:rsidTr="00D609FD">
        <w:tc>
          <w:tcPr>
            <w:tcW w:w="5070" w:type="dxa"/>
          </w:tcPr>
          <w:p w14:paraId="11B4FCC0" w14:textId="2C39FB5D" w:rsidR="009A37DB" w:rsidRDefault="009A37DB" w:rsidP="009A37DB">
            <w:r>
              <w:t>Losses of public money and public and other property through theft, default, and other causes</w:t>
            </w:r>
          </w:p>
        </w:tc>
        <w:tc>
          <w:tcPr>
            <w:tcW w:w="2126" w:type="dxa"/>
            <w:shd w:val="clear" w:color="auto" w:fill="F5EDC1" w:themeFill="accent4"/>
          </w:tcPr>
          <w:p w14:paraId="675100F4" w14:textId="476CDFE6" w:rsidR="009A37DB" w:rsidRDefault="009A37DB" w:rsidP="00D609FD">
            <w:pPr>
              <w:jc w:val="right"/>
            </w:pPr>
            <w:r>
              <w:t>-</w:t>
            </w:r>
          </w:p>
        </w:tc>
        <w:tc>
          <w:tcPr>
            <w:tcW w:w="2046" w:type="dxa"/>
            <w:shd w:val="clear" w:color="auto" w:fill="D4E2E0" w:themeFill="accent5"/>
          </w:tcPr>
          <w:p w14:paraId="299E7B1E" w14:textId="36D64E7A" w:rsidR="009A37DB" w:rsidRDefault="009A37DB" w:rsidP="00D609FD">
            <w:pPr>
              <w:jc w:val="right"/>
            </w:pPr>
            <w:r>
              <w:t>-</w:t>
            </w:r>
          </w:p>
        </w:tc>
      </w:tr>
      <w:tr w:rsidR="009A37DB" w14:paraId="3339E7C4" w14:textId="77777777" w:rsidTr="009A37DB">
        <w:tc>
          <w:tcPr>
            <w:tcW w:w="5070" w:type="dxa"/>
          </w:tcPr>
          <w:p w14:paraId="4CC16201" w14:textId="58CC66D1" w:rsidR="009A37DB" w:rsidRDefault="009A37DB" w:rsidP="009A37DB">
            <w:r>
              <w:t xml:space="preserve">Amount recovered </w:t>
            </w:r>
          </w:p>
        </w:tc>
        <w:tc>
          <w:tcPr>
            <w:tcW w:w="2126" w:type="dxa"/>
            <w:shd w:val="clear" w:color="auto" w:fill="F5EDC1" w:themeFill="accent4"/>
          </w:tcPr>
          <w:p w14:paraId="31D99CE7" w14:textId="3491568A" w:rsidR="009A37DB" w:rsidRDefault="009A37DB" w:rsidP="00D609FD">
            <w:pPr>
              <w:jc w:val="right"/>
            </w:pPr>
            <w:r>
              <w:t>-</w:t>
            </w:r>
          </w:p>
        </w:tc>
        <w:tc>
          <w:tcPr>
            <w:tcW w:w="2046" w:type="dxa"/>
            <w:shd w:val="clear" w:color="auto" w:fill="D4E2E0" w:themeFill="accent5"/>
          </w:tcPr>
          <w:p w14:paraId="046509E9" w14:textId="46B1B437" w:rsidR="009A37DB" w:rsidRDefault="009A37DB" w:rsidP="00D609FD">
            <w:pPr>
              <w:jc w:val="right"/>
            </w:pPr>
            <w:r>
              <w:t>-</w:t>
            </w:r>
          </w:p>
        </w:tc>
      </w:tr>
      <w:tr w:rsidR="009A37DB" w14:paraId="629A2B0E" w14:textId="77777777" w:rsidTr="009A37DB">
        <w:tc>
          <w:tcPr>
            <w:tcW w:w="5070" w:type="dxa"/>
          </w:tcPr>
          <w:p w14:paraId="4ED6BB88" w14:textId="77777777" w:rsidR="009A37DB" w:rsidRDefault="009A37DB" w:rsidP="009A37DB"/>
        </w:tc>
        <w:tc>
          <w:tcPr>
            <w:tcW w:w="2126" w:type="dxa"/>
            <w:tcBorders>
              <w:bottom w:val="single" w:sz="4" w:space="0" w:color="auto"/>
            </w:tcBorders>
            <w:shd w:val="clear" w:color="auto" w:fill="F5EDC1" w:themeFill="accent4"/>
          </w:tcPr>
          <w:p w14:paraId="1EE527B3" w14:textId="4F729FF0" w:rsidR="009A37DB" w:rsidRPr="009A37DB" w:rsidRDefault="009A37DB" w:rsidP="00D609FD">
            <w:pPr>
              <w:jc w:val="right"/>
              <w:rPr>
                <w:b/>
              </w:rPr>
            </w:pPr>
            <w:r w:rsidRPr="009A37DB">
              <w:rPr>
                <w:b/>
              </w:rPr>
              <w:t>-</w:t>
            </w:r>
          </w:p>
        </w:tc>
        <w:tc>
          <w:tcPr>
            <w:tcW w:w="2046" w:type="dxa"/>
            <w:tcBorders>
              <w:bottom w:val="single" w:sz="4" w:space="0" w:color="auto"/>
            </w:tcBorders>
            <w:shd w:val="clear" w:color="auto" w:fill="D4E2E0" w:themeFill="accent5"/>
          </w:tcPr>
          <w:p w14:paraId="5830C8F4" w14:textId="7B6E8A95" w:rsidR="009A37DB" w:rsidRPr="009A37DB" w:rsidRDefault="009A37DB" w:rsidP="00D609FD">
            <w:pPr>
              <w:jc w:val="right"/>
              <w:rPr>
                <w:b/>
              </w:rPr>
            </w:pPr>
            <w:r w:rsidRPr="009A37DB">
              <w:rPr>
                <w:b/>
              </w:rPr>
              <w:t>-</w:t>
            </w:r>
          </w:p>
        </w:tc>
      </w:tr>
    </w:tbl>
    <w:p w14:paraId="472B3003" w14:textId="4A795EAB" w:rsidR="00304C5F" w:rsidRDefault="00304C5F" w:rsidP="005F3F75">
      <w:pPr>
        <w:rPr>
          <w:rFonts w:eastAsiaTheme="majorEastAsia"/>
        </w:rPr>
      </w:pPr>
    </w:p>
    <w:p w14:paraId="2D31AA4D" w14:textId="77777777" w:rsidR="00304C5F" w:rsidRDefault="00304C5F">
      <w:pPr>
        <w:keepLines w:val="0"/>
        <w:spacing w:after="0" w:line="240" w:lineRule="auto"/>
        <w:rPr>
          <w:rFonts w:eastAsiaTheme="majorEastAsia"/>
        </w:rPr>
      </w:pPr>
      <w:r>
        <w:rPr>
          <w:rFonts w:eastAsiaTheme="majorEastAsia"/>
        </w:rPr>
        <w:br w:type="page"/>
      </w:r>
    </w:p>
    <w:p w14:paraId="79519977" w14:textId="19A7F975" w:rsidR="005F3F75" w:rsidRDefault="00304C5F" w:rsidP="00304C5F">
      <w:pPr>
        <w:pStyle w:val="Heading2nonumber"/>
        <w:numPr>
          <w:ilvl w:val="0"/>
          <w:numId w:val="15"/>
        </w:numPr>
      </w:pPr>
      <w:bookmarkStart w:id="722" w:name="_Toc430091400"/>
      <w:r>
        <w:t>Related bodies</w:t>
      </w:r>
      <w:bookmarkEnd w:id="722"/>
    </w:p>
    <w:p w14:paraId="2402C763" w14:textId="63A11C95" w:rsidR="00304C5F" w:rsidRDefault="00304C5F" w:rsidP="00304C5F">
      <w:pPr>
        <w:rPr>
          <w:rFonts w:eastAsiaTheme="majorEastAsia"/>
        </w:rPr>
      </w:pPr>
      <w:r>
        <w:rPr>
          <w:rFonts w:eastAsiaTheme="majorEastAsia"/>
        </w:rPr>
        <w:t>The Authority does not have related bodies.</w:t>
      </w:r>
    </w:p>
    <w:p w14:paraId="5C19C4D6" w14:textId="3963279E" w:rsidR="00304C5F" w:rsidRDefault="00304C5F" w:rsidP="00304C5F">
      <w:pPr>
        <w:pStyle w:val="Heading2nonumber"/>
        <w:numPr>
          <w:ilvl w:val="0"/>
          <w:numId w:val="15"/>
        </w:numPr>
      </w:pPr>
      <w:bookmarkStart w:id="723" w:name="_Toc430091401"/>
      <w:r>
        <w:t>Affiliated bodies</w:t>
      </w:r>
      <w:bookmarkEnd w:id="723"/>
    </w:p>
    <w:p w14:paraId="690329B0" w14:textId="404E7138" w:rsidR="00304C5F" w:rsidRDefault="00304C5F" w:rsidP="00304C5F">
      <w:pPr>
        <w:rPr>
          <w:rFonts w:eastAsiaTheme="majorEastAsia"/>
        </w:rPr>
      </w:pPr>
      <w:r>
        <w:rPr>
          <w:rFonts w:eastAsiaTheme="majorEastAsia"/>
        </w:rPr>
        <w:t>The Authority does not have affiliated bodies.</w:t>
      </w:r>
    </w:p>
    <w:p w14:paraId="2BF3BAB5" w14:textId="2E59F3B9" w:rsidR="00304C5F" w:rsidRDefault="00304C5F" w:rsidP="00304C5F">
      <w:pPr>
        <w:pStyle w:val="Heading2nonumber"/>
        <w:numPr>
          <w:ilvl w:val="0"/>
          <w:numId w:val="15"/>
        </w:numPr>
      </w:pPr>
      <w:bookmarkStart w:id="724" w:name="_Toc430091402"/>
      <w:r>
        <w:t>Indian Ocean Territories</w:t>
      </w:r>
      <w:bookmarkEnd w:id="724"/>
    </w:p>
    <w:p w14:paraId="7430AB4C" w14:textId="0A2884C3" w:rsidR="00304C5F" w:rsidRDefault="00304C5F" w:rsidP="00304C5F">
      <w:r>
        <w:t>The Commonwealth Government has a Service Delivery Arrangement with the Authority for the provision of services to Indian Ocean Territories (Christmas Island and Cocos-Keeling Island).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2075"/>
        <w:gridCol w:w="1998"/>
      </w:tblGrid>
      <w:tr w:rsidR="00304C5F" w14:paraId="392B64BA" w14:textId="77777777" w:rsidTr="00D609FD">
        <w:tc>
          <w:tcPr>
            <w:tcW w:w="5070" w:type="dxa"/>
          </w:tcPr>
          <w:p w14:paraId="1694EFAD" w14:textId="77777777" w:rsidR="00304C5F" w:rsidRDefault="00304C5F" w:rsidP="00D609FD"/>
        </w:tc>
        <w:tc>
          <w:tcPr>
            <w:tcW w:w="2126" w:type="dxa"/>
          </w:tcPr>
          <w:p w14:paraId="6ABB6AA1" w14:textId="77777777" w:rsidR="00304C5F" w:rsidRDefault="00304C5F" w:rsidP="00D609FD">
            <w:pPr>
              <w:jc w:val="right"/>
            </w:pPr>
            <w:r>
              <w:t>2015</w:t>
            </w:r>
          </w:p>
        </w:tc>
        <w:tc>
          <w:tcPr>
            <w:tcW w:w="2046" w:type="dxa"/>
          </w:tcPr>
          <w:p w14:paraId="32F697D4" w14:textId="77777777" w:rsidR="00304C5F" w:rsidRDefault="00304C5F" w:rsidP="00D609FD">
            <w:pPr>
              <w:jc w:val="right"/>
            </w:pPr>
            <w:r>
              <w:t>2014</w:t>
            </w:r>
          </w:p>
        </w:tc>
      </w:tr>
      <w:tr w:rsidR="00304C5F" w14:paraId="2E8CA96F" w14:textId="77777777" w:rsidTr="00304C5F">
        <w:trPr>
          <w:trHeight w:val="456"/>
        </w:trPr>
        <w:tc>
          <w:tcPr>
            <w:tcW w:w="5070" w:type="dxa"/>
          </w:tcPr>
          <w:p w14:paraId="50C3FCB3" w14:textId="77777777" w:rsidR="00304C5F" w:rsidRDefault="00304C5F" w:rsidP="00D609FD">
            <w:pPr>
              <w:jc w:val="right"/>
            </w:pPr>
          </w:p>
        </w:tc>
        <w:tc>
          <w:tcPr>
            <w:tcW w:w="2126" w:type="dxa"/>
          </w:tcPr>
          <w:p w14:paraId="09C243A9" w14:textId="77777777" w:rsidR="00304C5F" w:rsidRDefault="00304C5F" w:rsidP="00D609FD">
            <w:pPr>
              <w:jc w:val="right"/>
            </w:pPr>
            <w:r>
              <w:t>$000</w:t>
            </w:r>
          </w:p>
        </w:tc>
        <w:tc>
          <w:tcPr>
            <w:tcW w:w="2046" w:type="dxa"/>
          </w:tcPr>
          <w:p w14:paraId="7CAA5BB2" w14:textId="77777777" w:rsidR="00304C5F" w:rsidRDefault="00304C5F" w:rsidP="00D609FD">
            <w:pPr>
              <w:jc w:val="right"/>
            </w:pPr>
            <w:r>
              <w:t>$000</w:t>
            </w:r>
          </w:p>
        </w:tc>
      </w:tr>
      <w:tr w:rsidR="00304C5F" w14:paraId="070915B4" w14:textId="77777777" w:rsidTr="00D609FD">
        <w:tc>
          <w:tcPr>
            <w:tcW w:w="5070" w:type="dxa"/>
          </w:tcPr>
          <w:p w14:paraId="52DD75E9" w14:textId="4F79F3F2" w:rsidR="00304C5F" w:rsidRDefault="00304C5F" w:rsidP="00D609FD">
            <w:r>
              <w:t>Opening balance</w:t>
            </w:r>
          </w:p>
        </w:tc>
        <w:tc>
          <w:tcPr>
            <w:tcW w:w="2126" w:type="dxa"/>
            <w:shd w:val="clear" w:color="auto" w:fill="F5EDC1" w:themeFill="accent4"/>
          </w:tcPr>
          <w:p w14:paraId="15015DD7" w14:textId="14907338" w:rsidR="00304C5F" w:rsidRDefault="00304C5F" w:rsidP="00D609FD">
            <w:pPr>
              <w:jc w:val="right"/>
            </w:pPr>
            <w:r>
              <w:t>(2)</w:t>
            </w:r>
          </w:p>
        </w:tc>
        <w:tc>
          <w:tcPr>
            <w:tcW w:w="2046" w:type="dxa"/>
            <w:shd w:val="clear" w:color="auto" w:fill="D4E2E0" w:themeFill="accent5"/>
          </w:tcPr>
          <w:p w14:paraId="7079ADAF" w14:textId="04A0D8D4" w:rsidR="00304C5F" w:rsidRDefault="00304C5F" w:rsidP="00D609FD">
            <w:pPr>
              <w:jc w:val="right"/>
            </w:pPr>
            <w:r>
              <w:t>-</w:t>
            </w:r>
          </w:p>
        </w:tc>
      </w:tr>
      <w:tr w:rsidR="00304C5F" w14:paraId="20EE61F5" w14:textId="77777777" w:rsidTr="00D609FD">
        <w:tc>
          <w:tcPr>
            <w:tcW w:w="5070" w:type="dxa"/>
          </w:tcPr>
          <w:p w14:paraId="4BCFC3F9" w14:textId="29AAFA4F" w:rsidR="00304C5F" w:rsidRDefault="00304C5F" w:rsidP="00D609FD">
            <w:r>
              <w:t>Funding received from the Commonwealth</w:t>
            </w:r>
          </w:p>
        </w:tc>
        <w:tc>
          <w:tcPr>
            <w:tcW w:w="2126" w:type="dxa"/>
            <w:shd w:val="clear" w:color="auto" w:fill="F5EDC1" w:themeFill="accent4"/>
          </w:tcPr>
          <w:p w14:paraId="7C9E0AA9" w14:textId="1F517282" w:rsidR="00304C5F" w:rsidRDefault="00304C5F" w:rsidP="00D609FD">
            <w:pPr>
              <w:jc w:val="right"/>
            </w:pPr>
            <w:r>
              <w:t>16</w:t>
            </w:r>
          </w:p>
        </w:tc>
        <w:tc>
          <w:tcPr>
            <w:tcW w:w="2046" w:type="dxa"/>
            <w:shd w:val="clear" w:color="auto" w:fill="D4E2E0" w:themeFill="accent5"/>
          </w:tcPr>
          <w:p w14:paraId="560BE21D" w14:textId="12A2957C" w:rsidR="00304C5F" w:rsidRDefault="00304C5F" w:rsidP="00D609FD">
            <w:pPr>
              <w:jc w:val="right"/>
            </w:pPr>
            <w:r>
              <w:t>-</w:t>
            </w:r>
          </w:p>
        </w:tc>
      </w:tr>
      <w:tr w:rsidR="00304C5F" w14:paraId="0391AC7E" w14:textId="77777777" w:rsidTr="00304C5F">
        <w:tc>
          <w:tcPr>
            <w:tcW w:w="5070" w:type="dxa"/>
          </w:tcPr>
          <w:p w14:paraId="75FF4FC9" w14:textId="069314B3" w:rsidR="00304C5F" w:rsidRDefault="00304C5F" w:rsidP="00D609FD">
            <w:r>
              <w:t>Revenue received from insurers</w:t>
            </w:r>
          </w:p>
        </w:tc>
        <w:tc>
          <w:tcPr>
            <w:tcW w:w="2126" w:type="dxa"/>
            <w:shd w:val="clear" w:color="auto" w:fill="F5EDC1" w:themeFill="accent4"/>
          </w:tcPr>
          <w:p w14:paraId="5EA4BF0A" w14:textId="538DCFF9" w:rsidR="00304C5F" w:rsidRDefault="00304C5F" w:rsidP="00D609FD">
            <w:pPr>
              <w:jc w:val="right"/>
            </w:pPr>
            <w:r>
              <w:t>13</w:t>
            </w:r>
          </w:p>
        </w:tc>
        <w:tc>
          <w:tcPr>
            <w:tcW w:w="2046" w:type="dxa"/>
            <w:shd w:val="clear" w:color="auto" w:fill="D4E2E0" w:themeFill="accent5"/>
          </w:tcPr>
          <w:p w14:paraId="7141C78F" w14:textId="02705F19" w:rsidR="00304C5F" w:rsidRDefault="00304C5F" w:rsidP="00D609FD">
            <w:pPr>
              <w:jc w:val="right"/>
            </w:pPr>
            <w:r>
              <w:t>10</w:t>
            </w:r>
          </w:p>
        </w:tc>
      </w:tr>
      <w:tr w:rsidR="00304C5F" w14:paraId="084CC515" w14:textId="77777777" w:rsidTr="00304C5F">
        <w:tc>
          <w:tcPr>
            <w:tcW w:w="5070" w:type="dxa"/>
          </w:tcPr>
          <w:p w14:paraId="65A0B6E5" w14:textId="77777777" w:rsidR="00304C5F" w:rsidRDefault="00304C5F" w:rsidP="00D609FD"/>
        </w:tc>
        <w:tc>
          <w:tcPr>
            <w:tcW w:w="2126" w:type="dxa"/>
            <w:tcBorders>
              <w:bottom w:val="single" w:sz="4" w:space="0" w:color="auto"/>
            </w:tcBorders>
            <w:shd w:val="clear" w:color="auto" w:fill="F5EDC1" w:themeFill="accent4"/>
          </w:tcPr>
          <w:p w14:paraId="6195668D" w14:textId="043158A6" w:rsidR="00304C5F" w:rsidRPr="00304C5F" w:rsidRDefault="00304C5F" w:rsidP="00D609FD">
            <w:pPr>
              <w:jc w:val="right"/>
              <w:rPr>
                <w:b/>
              </w:rPr>
            </w:pPr>
            <w:r w:rsidRPr="00304C5F">
              <w:rPr>
                <w:b/>
              </w:rPr>
              <w:t>27</w:t>
            </w:r>
          </w:p>
        </w:tc>
        <w:tc>
          <w:tcPr>
            <w:tcW w:w="2046" w:type="dxa"/>
            <w:tcBorders>
              <w:bottom w:val="single" w:sz="4" w:space="0" w:color="auto"/>
            </w:tcBorders>
            <w:shd w:val="clear" w:color="auto" w:fill="D4E2E0" w:themeFill="accent5"/>
          </w:tcPr>
          <w:p w14:paraId="3B8C16A0" w14:textId="74229D9C" w:rsidR="00304C5F" w:rsidRPr="00304C5F" w:rsidRDefault="00304C5F" w:rsidP="00D609FD">
            <w:pPr>
              <w:jc w:val="right"/>
              <w:rPr>
                <w:b/>
              </w:rPr>
            </w:pPr>
            <w:r w:rsidRPr="00304C5F">
              <w:rPr>
                <w:b/>
              </w:rPr>
              <w:t>10</w:t>
            </w:r>
          </w:p>
        </w:tc>
      </w:tr>
      <w:tr w:rsidR="00304C5F" w14:paraId="451BF7E1" w14:textId="77777777" w:rsidTr="00304C5F">
        <w:tc>
          <w:tcPr>
            <w:tcW w:w="5070" w:type="dxa"/>
          </w:tcPr>
          <w:p w14:paraId="1D50FEAC" w14:textId="584FBB07" w:rsidR="00304C5F" w:rsidRPr="00304C5F" w:rsidRDefault="00304C5F" w:rsidP="00D609FD">
            <w:pPr>
              <w:rPr>
                <w:i/>
              </w:rPr>
            </w:pPr>
            <w:r w:rsidRPr="00304C5F">
              <w:rPr>
                <w:i/>
              </w:rPr>
              <w:t>Payments by Program Area</w:t>
            </w:r>
          </w:p>
        </w:tc>
        <w:tc>
          <w:tcPr>
            <w:tcW w:w="2126" w:type="dxa"/>
            <w:tcBorders>
              <w:top w:val="single" w:sz="4" w:space="0" w:color="auto"/>
            </w:tcBorders>
            <w:shd w:val="clear" w:color="auto" w:fill="auto"/>
          </w:tcPr>
          <w:p w14:paraId="4746DAC9" w14:textId="77777777" w:rsidR="00304C5F" w:rsidRDefault="00304C5F" w:rsidP="00D609FD">
            <w:pPr>
              <w:jc w:val="right"/>
            </w:pPr>
          </w:p>
        </w:tc>
        <w:tc>
          <w:tcPr>
            <w:tcW w:w="2046" w:type="dxa"/>
            <w:tcBorders>
              <w:top w:val="single" w:sz="4" w:space="0" w:color="auto"/>
            </w:tcBorders>
            <w:shd w:val="clear" w:color="auto" w:fill="auto"/>
          </w:tcPr>
          <w:p w14:paraId="044423BF" w14:textId="77777777" w:rsidR="00304C5F" w:rsidRDefault="00304C5F" w:rsidP="00D609FD">
            <w:pPr>
              <w:jc w:val="right"/>
            </w:pPr>
          </w:p>
        </w:tc>
      </w:tr>
      <w:tr w:rsidR="00304C5F" w14:paraId="0F5F5BC1" w14:textId="77777777" w:rsidTr="00D609FD">
        <w:tc>
          <w:tcPr>
            <w:tcW w:w="5070" w:type="dxa"/>
          </w:tcPr>
          <w:p w14:paraId="7F865E90" w14:textId="05C6D310" w:rsidR="00304C5F" w:rsidRDefault="00304C5F" w:rsidP="00D609FD">
            <w:r>
              <w:t>Regulatory Services</w:t>
            </w:r>
          </w:p>
        </w:tc>
        <w:tc>
          <w:tcPr>
            <w:tcW w:w="2126" w:type="dxa"/>
            <w:shd w:val="clear" w:color="auto" w:fill="F5EDC1" w:themeFill="accent4"/>
          </w:tcPr>
          <w:p w14:paraId="60E6A921" w14:textId="379BC649" w:rsidR="00304C5F" w:rsidRDefault="00304C5F" w:rsidP="00D609FD">
            <w:pPr>
              <w:jc w:val="right"/>
            </w:pPr>
            <w:r>
              <w:t>4</w:t>
            </w:r>
          </w:p>
        </w:tc>
        <w:tc>
          <w:tcPr>
            <w:tcW w:w="2046" w:type="dxa"/>
            <w:shd w:val="clear" w:color="auto" w:fill="D4E2E0" w:themeFill="accent5"/>
          </w:tcPr>
          <w:p w14:paraId="0BF349B5" w14:textId="6E129E35" w:rsidR="00304C5F" w:rsidRDefault="00304C5F" w:rsidP="00D609FD">
            <w:pPr>
              <w:jc w:val="right"/>
            </w:pPr>
            <w:r>
              <w:t>4</w:t>
            </w:r>
          </w:p>
        </w:tc>
      </w:tr>
      <w:tr w:rsidR="00304C5F" w14:paraId="066535C6" w14:textId="77777777" w:rsidTr="00D609FD">
        <w:tc>
          <w:tcPr>
            <w:tcW w:w="5070" w:type="dxa"/>
          </w:tcPr>
          <w:p w14:paraId="444AA3EB" w14:textId="73CCAEF0" w:rsidR="00304C5F" w:rsidRDefault="00304C5F" w:rsidP="00D609FD">
            <w:r>
              <w:t>Conciliation and Arbitration Services</w:t>
            </w:r>
          </w:p>
        </w:tc>
        <w:tc>
          <w:tcPr>
            <w:tcW w:w="2126" w:type="dxa"/>
            <w:shd w:val="clear" w:color="auto" w:fill="F5EDC1" w:themeFill="accent4"/>
          </w:tcPr>
          <w:p w14:paraId="7E7F4C07" w14:textId="0E602E5E" w:rsidR="00304C5F" w:rsidRDefault="00304C5F" w:rsidP="00D609FD">
            <w:pPr>
              <w:jc w:val="right"/>
            </w:pPr>
            <w:r>
              <w:t>5</w:t>
            </w:r>
          </w:p>
        </w:tc>
        <w:tc>
          <w:tcPr>
            <w:tcW w:w="2046" w:type="dxa"/>
            <w:shd w:val="clear" w:color="auto" w:fill="D4E2E0" w:themeFill="accent5"/>
          </w:tcPr>
          <w:p w14:paraId="7494AAB1" w14:textId="1ADF8552" w:rsidR="00304C5F" w:rsidRDefault="00304C5F" w:rsidP="00D609FD">
            <w:pPr>
              <w:jc w:val="right"/>
            </w:pPr>
            <w:r>
              <w:t>5</w:t>
            </w:r>
          </w:p>
        </w:tc>
      </w:tr>
      <w:tr w:rsidR="00304C5F" w14:paraId="3F4F5BB0" w14:textId="77777777" w:rsidTr="00D609FD">
        <w:tc>
          <w:tcPr>
            <w:tcW w:w="5070" w:type="dxa"/>
          </w:tcPr>
          <w:p w14:paraId="38E4D05E" w14:textId="627D40AF" w:rsidR="00304C5F" w:rsidRDefault="00304C5F" w:rsidP="00D609FD">
            <w:r>
              <w:t>Legislation and Scheme Information</w:t>
            </w:r>
          </w:p>
        </w:tc>
        <w:tc>
          <w:tcPr>
            <w:tcW w:w="2126" w:type="dxa"/>
            <w:shd w:val="clear" w:color="auto" w:fill="F5EDC1" w:themeFill="accent4"/>
          </w:tcPr>
          <w:p w14:paraId="3D1A7905" w14:textId="7A2759EE" w:rsidR="00304C5F" w:rsidRDefault="00304C5F" w:rsidP="00D609FD">
            <w:pPr>
              <w:jc w:val="right"/>
            </w:pPr>
            <w:r>
              <w:t>3</w:t>
            </w:r>
          </w:p>
        </w:tc>
        <w:tc>
          <w:tcPr>
            <w:tcW w:w="2046" w:type="dxa"/>
            <w:shd w:val="clear" w:color="auto" w:fill="D4E2E0" w:themeFill="accent5"/>
          </w:tcPr>
          <w:p w14:paraId="3BA18A9C" w14:textId="52B1EFED" w:rsidR="00304C5F" w:rsidRDefault="00304C5F" w:rsidP="00D609FD">
            <w:pPr>
              <w:jc w:val="right"/>
            </w:pPr>
            <w:r>
              <w:t>3</w:t>
            </w:r>
          </w:p>
        </w:tc>
      </w:tr>
      <w:tr w:rsidR="00304C5F" w14:paraId="07A882A8" w14:textId="77777777" w:rsidTr="005D1311">
        <w:tc>
          <w:tcPr>
            <w:tcW w:w="5070" w:type="dxa"/>
          </w:tcPr>
          <w:p w14:paraId="0F1F1334" w14:textId="77777777" w:rsidR="00304C5F" w:rsidRDefault="00304C5F" w:rsidP="00D609FD"/>
        </w:tc>
        <w:tc>
          <w:tcPr>
            <w:tcW w:w="2126" w:type="dxa"/>
            <w:shd w:val="clear" w:color="auto" w:fill="auto"/>
          </w:tcPr>
          <w:p w14:paraId="36307268" w14:textId="77777777" w:rsidR="00304C5F" w:rsidRDefault="00304C5F" w:rsidP="00D609FD">
            <w:pPr>
              <w:jc w:val="right"/>
            </w:pPr>
          </w:p>
        </w:tc>
        <w:tc>
          <w:tcPr>
            <w:tcW w:w="2046" w:type="dxa"/>
            <w:shd w:val="clear" w:color="auto" w:fill="auto"/>
          </w:tcPr>
          <w:p w14:paraId="7BA1C250" w14:textId="77777777" w:rsidR="00304C5F" w:rsidRDefault="00304C5F" w:rsidP="00D609FD">
            <w:pPr>
              <w:jc w:val="right"/>
            </w:pPr>
          </w:p>
        </w:tc>
      </w:tr>
      <w:tr w:rsidR="00304C5F" w14:paraId="5A1DF0FE" w14:textId="77777777" w:rsidTr="00304C5F">
        <w:tc>
          <w:tcPr>
            <w:tcW w:w="5070" w:type="dxa"/>
          </w:tcPr>
          <w:p w14:paraId="06263982" w14:textId="49B3226E" w:rsidR="00304C5F" w:rsidRPr="00304C5F" w:rsidRDefault="00304C5F" w:rsidP="00D609FD">
            <w:pPr>
              <w:rPr>
                <w:b/>
              </w:rPr>
            </w:pPr>
            <w:r w:rsidRPr="00304C5F">
              <w:rPr>
                <w:b/>
              </w:rPr>
              <w:t>Total Payments</w:t>
            </w:r>
          </w:p>
        </w:tc>
        <w:tc>
          <w:tcPr>
            <w:tcW w:w="2126" w:type="dxa"/>
            <w:tcBorders>
              <w:bottom w:val="single" w:sz="4" w:space="0" w:color="auto"/>
            </w:tcBorders>
            <w:shd w:val="clear" w:color="auto" w:fill="F5EDC1" w:themeFill="accent4"/>
          </w:tcPr>
          <w:p w14:paraId="0378F70A" w14:textId="783CADD9" w:rsidR="00304C5F" w:rsidRPr="00304C5F" w:rsidRDefault="00304C5F" w:rsidP="00D609FD">
            <w:pPr>
              <w:jc w:val="right"/>
              <w:rPr>
                <w:b/>
              </w:rPr>
            </w:pPr>
            <w:r w:rsidRPr="00304C5F">
              <w:rPr>
                <w:b/>
              </w:rPr>
              <w:t>12</w:t>
            </w:r>
          </w:p>
        </w:tc>
        <w:tc>
          <w:tcPr>
            <w:tcW w:w="2046" w:type="dxa"/>
            <w:tcBorders>
              <w:bottom w:val="single" w:sz="4" w:space="0" w:color="auto"/>
            </w:tcBorders>
            <w:shd w:val="clear" w:color="auto" w:fill="D4E2E0" w:themeFill="accent5"/>
          </w:tcPr>
          <w:p w14:paraId="52A9E0B2" w14:textId="4AE66082" w:rsidR="00304C5F" w:rsidRPr="00304C5F" w:rsidRDefault="00304C5F" w:rsidP="00D609FD">
            <w:pPr>
              <w:jc w:val="right"/>
              <w:rPr>
                <w:b/>
              </w:rPr>
            </w:pPr>
            <w:r w:rsidRPr="00304C5F">
              <w:rPr>
                <w:b/>
              </w:rPr>
              <w:t>12</w:t>
            </w:r>
          </w:p>
        </w:tc>
      </w:tr>
      <w:tr w:rsidR="00304C5F" w14:paraId="2CE423EF" w14:textId="77777777" w:rsidTr="00304C5F">
        <w:tc>
          <w:tcPr>
            <w:tcW w:w="5070" w:type="dxa"/>
          </w:tcPr>
          <w:p w14:paraId="6E988D39" w14:textId="47434591" w:rsidR="00304C5F" w:rsidRPr="00304C5F" w:rsidRDefault="00304C5F" w:rsidP="00D609FD">
            <w:pPr>
              <w:rPr>
                <w:b/>
              </w:rPr>
            </w:pPr>
            <w:r w:rsidRPr="00304C5F">
              <w:rPr>
                <w:b/>
              </w:rPr>
              <w:t>Balance carried forward</w:t>
            </w:r>
          </w:p>
        </w:tc>
        <w:tc>
          <w:tcPr>
            <w:tcW w:w="2126" w:type="dxa"/>
            <w:tcBorders>
              <w:top w:val="single" w:sz="4" w:space="0" w:color="auto"/>
              <w:bottom w:val="single" w:sz="4" w:space="0" w:color="auto"/>
            </w:tcBorders>
            <w:shd w:val="clear" w:color="auto" w:fill="F5EDC1" w:themeFill="accent4"/>
          </w:tcPr>
          <w:p w14:paraId="6D6EB78B" w14:textId="7AD098EC" w:rsidR="00304C5F" w:rsidRPr="00304C5F" w:rsidRDefault="00304C5F" w:rsidP="00D609FD">
            <w:pPr>
              <w:jc w:val="right"/>
              <w:rPr>
                <w:b/>
              </w:rPr>
            </w:pPr>
            <w:r w:rsidRPr="00304C5F">
              <w:rPr>
                <w:b/>
              </w:rPr>
              <w:t>15</w:t>
            </w:r>
          </w:p>
        </w:tc>
        <w:tc>
          <w:tcPr>
            <w:tcW w:w="2046" w:type="dxa"/>
            <w:tcBorders>
              <w:top w:val="single" w:sz="4" w:space="0" w:color="auto"/>
              <w:bottom w:val="single" w:sz="4" w:space="0" w:color="auto"/>
            </w:tcBorders>
            <w:shd w:val="clear" w:color="auto" w:fill="D4E2E0" w:themeFill="accent5"/>
          </w:tcPr>
          <w:p w14:paraId="4B8448A8" w14:textId="2F87A05A" w:rsidR="00304C5F" w:rsidRPr="00304C5F" w:rsidRDefault="00304C5F" w:rsidP="00D609FD">
            <w:pPr>
              <w:jc w:val="right"/>
              <w:rPr>
                <w:b/>
              </w:rPr>
            </w:pPr>
            <w:r w:rsidRPr="00304C5F">
              <w:rPr>
                <w:b/>
              </w:rPr>
              <w:t>(2)</w:t>
            </w:r>
          </w:p>
        </w:tc>
      </w:tr>
    </w:tbl>
    <w:p w14:paraId="6CB9C741" w14:textId="77777777" w:rsidR="00A25F17" w:rsidRDefault="00A25F17" w:rsidP="00304C5F">
      <w:pPr>
        <w:rPr>
          <w:rFonts w:eastAsiaTheme="majorEastAsia"/>
        </w:rPr>
        <w:sectPr w:rsidR="00A25F17" w:rsidSect="00583619">
          <w:pgSz w:w="11906" w:h="16838"/>
          <w:pgMar w:top="1440" w:right="1440" w:bottom="1440" w:left="1440" w:header="709" w:footer="0" w:gutter="0"/>
          <w:cols w:space="708"/>
          <w:docGrid w:linePitch="360"/>
        </w:sectPr>
      </w:pPr>
    </w:p>
    <w:p w14:paraId="014AD1A9" w14:textId="6EC9C251" w:rsidR="00304C5F" w:rsidRDefault="00A25F17" w:rsidP="00A25F17">
      <w:pPr>
        <w:pStyle w:val="Heading2nonumber"/>
        <w:numPr>
          <w:ilvl w:val="0"/>
          <w:numId w:val="15"/>
        </w:numPr>
      </w:pPr>
      <w:bookmarkStart w:id="725" w:name="_Toc430091403"/>
      <w:r>
        <w:t>Schedule of income and expenses by service</w:t>
      </w:r>
      <w:bookmarkEnd w:id="7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gridCol w:w="3498"/>
        <w:gridCol w:w="3495"/>
        <w:gridCol w:w="3490"/>
      </w:tblGrid>
      <w:tr w:rsidR="00D609FD" w14:paraId="600EB978" w14:textId="77777777" w:rsidTr="00A91D62">
        <w:tc>
          <w:tcPr>
            <w:tcW w:w="3543" w:type="dxa"/>
          </w:tcPr>
          <w:p w14:paraId="3DAC9566" w14:textId="77777777" w:rsidR="00D609FD" w:rsidRDefault="00D609FD" w:rsidP="00D609FD"/>
        </w:tc>
        <w:tc>
          <w:tcPr>
            <w:tcW w:w="3543" w:type="dxa"/>
          </w:tcPr>
          <w:p w14:paraId="20EC38F5" w14:textId="6A07D614" w:rsidR="00D609FD" w:rsidRDefault="00D609FD" w:rsidP="00D609FD">
            <w:r>
              <w:t>Scheme Regulation</w:t>
            </w:r>
          </w:p>
        </w:tc>
        <w:tc>
          <w:tcPr>
            <w:tcW w:w="3544" w:type="dxa"/>
          </w:tcPr>
          <w:p w14:paraId="2151CCBF" w14:textId="49ACBFDE" w:rsidR="00D609FD" w:rsidRDefault="00D609FD" w:rsidP="00D609FD">
            <w:r>
              <w:t>Scheme Services</w:t>
            </w:r>
          </w:p>
        </w:tc>
        <w:tc>
          <w:tcPr>
            <w:tcW w:w="3544" w:type="dxa"/>
          </w:tcPr>
          <w:p w14:paraId="5A2888A3" w14:textId="03497222" w:rsidR="00D609FD" w:rsidRDefault="00D609FD" w:rsidP="00D609FD">
            <w:r>
              <w:t>Grand Total</w:t>
            </w:r>
          </w:p>
        </w:tc>
      </w:tr>
    </w:tbl>
    <w:p w14:paraId="689AAB5D" w14:textId="77777777" w:rsidR="00D609FD" w:rsidRDefault="00D609FD" w:rsidP="00D609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1538"/>
        <w:gridCol w:w="1539"/>
        <w:gridCol w:w="1540"/>
        <w:gridCol w:w="1539"/>
        <w:gridCol w:w="1539"/>
        <w:gridCol w:w="1433"/>
      </w:tblGrid>
      <w:tr w:rsidR="00D609FD" w14:paraId="38B71EE8" w14:textId="77777777" w:rsidTr="00D609FD">
        <w:tc>
          <w:tcPr>
            <w:tcW w:w="4928" w:type="dxa"/>
          </w:tcPr>
          <w:p w14:paraId="3CBE5867" w14:textId="77777777" w:rsidR="00D609FD" w:rsidRDefault="00D609FD" w:rsidP="00A25F17">
            <w:pPr>
              <w:rPr>
                <w:rFonts w:eastAsiaTheme="majorEastAsia"/>
              </w:rPr>
            </w:pPr>
          </w:p>
        </w:tc>
        <w:tc>
          <w:tcPr>
            <w:tcW w:w="1559" w:type="dxa"/>
            <w:shd w:val="clear" w:color="auto" w:fill="FFFFFF" w:themeFill="background1"/>
          </w:tcPr>
          <w:p w14:paraId="6D52412E" w14:textId="33AC2498" w:rsidR="00D609FD" w:rsidRPr="00D609FD" w:rsidRDefault="00D609FD" w:rsidP="00D609FD">
            <w:pPr>
              <w:jc w:val="right"/>
              <w:rPr>
                <w:rFonts w:eastAsiaTheme="majorEastAsia"/>
                <w:b/>
              </w:rPr>
            </w:pPr>
            <w:r w:rsidRPr="00D609FD">
              <w:rPr>
                <w:rFonts w:eastAsiaTheme="majorEastAsia"/>
                <w:b/>
              </w:rPr>
              <w:t>2015</w:t>
            </w:r>
          </w:p>
        </w:tc>
        <w:tc>
          <w:tcPr>
            <w:tcW w:w="1559" w:type="dxa"/>
            <w:shd w:val="clear" w:color="auto" w:fill="FFFFFF" w:themeFill="background1"/>
          </w:tcPr>
          <w:p w14:paraId="079B72C8" w14:textId="6E04B56F" w:rsidR="00D609FD" w:rsidRPr="00D609FD" w:rsidRDefault="00D609FD" w:rsidP="00D609FD">
            <w:pPr>
              <w:jc w:val="right"/>
              <w:rPr>
                <w:rFonts w:eastAsiaTheme="majorEastAsia"/>
                <w:b/>
              </w:rPr>
            </w:pPr>
            <w:r w:rsidRPr="00D609FD">
              <w:rPr>
                <w:rFonts w:eastAsiaTheme="majorEastAsia"/>
                <w:b/>
              </w:rPr>
              <w:t>2014</w:t>
            </w:r>
          </w:p>
        </w:tc>
        <w:tc>
          <w:tcPr>
            <w:tcW w:w="1560" w:type="dxa"/>
            <w:shd w:val="clear" w:color="auto" w:fill="FFFFFF" w:themeFill="background1"/>
          </w:tcPr>
          <w:p w14:paraId="718F19E0" w14:textId="45B1487A" w:rsidR="00D609FD" w:rsidRPr="00D609FD" w:rsidRDefault="00D609FD" w:rsidP="00D609FD">
            <w:pPr>
              <w:jc w:val="right"/>
              <w:rPr>
                <w:rFonts w:eastAsiaTheme="majorEastAsia"/>
                <w:b/>
              </w:rPr>
            </w:pPr>
            <w:r w:rsidRPr="00D609FD">
              <w:rPr>
                <w:rFonts w:eastAsiaTheme="majorEastAsia"/>
                <w:b/>
              </w:rPr>
              <w:t>2015</w:t>
            </w:r>
          </w:p>
        </w:tc>
        <w:tc>
          <w:tcPr>
            <w:tcW w:w="1559" w:type="dxa"/>
            <w:shd w:val="clear" w:color="auto" w:fill="FFFFFF" w:themeFill="background1"/>
          </w:tcPr>
          <w:p w14:paraId="19E0A18F" w14:textId="3D365267" w:rsidR="00D609FD" w:rsidRPr="00D609FD" w:rsidRDefault="00D609FD" w:rsidP="00D609FD">
            <w:pPr>
              <w:jc w:val="right"/>
              <w:rPr>
                <w:rFonts w:eastAsiaTheme="majorEastAsia"/>
                <w:b/>
              </w:rPr>
            </w:pPr>
            <w:r w:rsidRPr="00D609FD">
              <w:rPr>
                <w:rFonts w:eastAsiaTheme="majorEastAsia"/>
                <w:b/>
              </w:rPr>
              <w:t>2014</w:t>
            </w:r>
          </w:p>
        </w:tc>
        <w:tc>
          <w:tcPr>
            <w:tcW w:w="1559" w:type="dxa"/>
            <w:shd w:val="clear" w:color="auto" w:fill="FFFFFF" w:themeFill="background1"/>
          </w:tcPr>
          <w:p w14:paraId="59A2B61A" w14:textId="68040A57" w:rsidR="00D609FD" w:rsidRPr="00D609FD" w:rsidRDefault="00D609FD" w:rsidP="00D609FD">
            <w:pPr>
              <w:jc w:val="right"/>
              <w:rPr>
                <w:rFonts w:eastAsiaTheme="majorEastAsia"/>
                <w:b/>
              </w:rPr>
            </w:pPr>
            <w:r w:rsidRPr="00D609FD">
              <w:rPr>
                <w:rFonts w:eastAsiaTheme="majorEastAsia"/>
                <w:b/>
              </w:rPr>
              <w:t>2015</w:t>
            </w:r>
          </w:p>
        </w:tc>
        <w:tc>
          <w:tcPr>
            <w:tcW w:w="1450" w:type="dxa"/>
            <w:shd w:val="clear" w:color="auto" w:fill="FFFFFF" w:themeFill="background1"/>
          </w:tcPr>
          <w:p w14:paraId="5230E467" w14:textId="7E0D8C09" w:rsidR="00D609FD" w:rsidRPr="00D609FD" w:rsidRDefault="00D609FD" w:rsidP="00D609FD">
            <w:pPr>
              <w:jc w:val="right"/>
              <w:rPr>
                <w:rFonts w:eastAsiaTheme="majorEastAsia"/>
                <w:b/>
              </w:rPr>
            </w:pPr>
            <w:r w:rsidRPr="00D609FD">
              <w:rPr>
                <w:rFonts w:eastAsiaTheme="majorEastAsia"/>
                <w:b/>
              </w:rPr>
              <w:t>2014</w:t>
            </w:r>
          </w:p>
        </w:tc>
      </w:tr>
      <w:tr w:rsidR="00D609FD" w14:paraId="5F1DEAAF" w14:textId="77777777" w:rsidTr="00D609FD">
        <w:tc>
          <w:tcPr>
            <w:tcW w:w="4928" w:type="dxa"/>
          </w:tcPr>
          <w:p w14:paraId="64297BCD" w14:textId="2813326A" w:rsidR="00D609FD" w:rsidRPr="00D609FD" w:rsidRDefault="00D609FD" w:rsidP="00A25F17">
            <w:pPr>
              <w:rPr>
                <w:rFonts w:eastAsiaTheme="majorEastAsia"/>
                <w:i/>
              </w:rPr>
            </w:pPr>
            <w:r w:rsidRPr="00D609FD">
              <w:rPr>
                <w:rFonts w:eastAsiaTheme="majorEastAsia"/>
                <w:i/>
              </w:rPr>
              <w:t>Income</w:t>
            </w:r>
          </w:p>
        </w:tc>
        <w:tc>
          <w:tcPr>
            <w:tcW w:w="1559" w:type="dxa"/>
            <w:shd w:val="clear" w:color="auto" w:fill="FFFFFF" w:themeFill="background1"/>
          </w:tcPr>
          <w:p w14:paraId="267F594A" w14:textId="1F6F00D0" w:rsidR="00D609FD" w:rsidRPr="00D609FD" w:rsidRDefault="00D609FD" w:rsidP="00D609FD">
            <w:pPr>
              <w:jc w:val="right"/>
              <w:rPr>
                <w:rFonts w:eastAsiaTheme="majorEastAsia"/>
                <w:b/>
              </w:rPr>
            </w:pPr>
            <w:r w:rsidRPr="00D609FD">
              <w:rPr>
                <w:rFonts w:eastAsiaTheme="majorEastAsia"/>
                <w:b/>
              </w:rPr>
              <w:t>$000</w:t>
            </w:r>
          </w:p>
        </w:tc>
        <w:tc>
          <w:tcPr>
            <w:tcW w:w="1559" w:type="dxa"/>
            <w:shd w:val="clear" w:color="auto" w:fill="FFFFFF" w:themeFill="background1"/>
          </w:tcPr>
          <w:p w14:paraId="7E914259" w14:textId="007EF3F3" w:rsidR="00D609FD" w:rsidRPr="00D609FD" w:rsidRDefault="00D609FD" w:rsidP="00D609FD">
            <w:pPr>
              <w:jc w:val="right"/>
              <w:rPr>
                <w:rFonts w:eastAsiaTheme="majorEastAsia"/>
                <w:b/>
              </w:rPr>
            </w:pPr>
            <w:r w:rsidRPr="00D609FD">
              <w:rPr>
                <w:rFonts w:eastAsiaTheme="majorEastAsia"/>
                <w:b/>
              </w:rPr>
              <w:t>$000</w:t>
            </w:r>
          </w:p>
        </w:tc>
        <w:tc>
          <w:tcPr>
            <w:tcW w:w="1560" w:type="dxa"/>
            <w:shd w:val="clear" w:color="auto" w:fill="FFFFFF" w:themeFill="background1"/>
          </w:tcPr>
          <w:p w14:paraId="25AB41B3" w14:textId="2161503A" w:rsidR="00D609FD" w:rsidRPr="00D609FD" w:rsidRDefault="00D609FD" w:rsidP="00D609FD">
            <w:pPr>
              <w:jc w:val="right"/>
              <w:rPr>
                <w:rFonts w:eastAsiaTheme="majorEastAsia"/>
                <w:b/>
              </w:rPr>
            </w:pPr>
            <w:r w:rsidRPr="00D609FD">
              <w:rPr>
                <w:rFonts w:eastAsiaTheme="majorEastAsia"/>
                <w:b/>
              </w:rPr>
              <w:t>$000</w:t>
            </w:r>
          </w:p>
        </w:tc>
        <w:tc>
          <w:tcPr>
            <w:tcW w:w="1559" w:type="dxa"/>
            <w:shd w:val="clear" w:color="auto" w:fill="FFFFFF" w:themeFill="background1"/>
          </w:tcPr>
          <w:p w14:paraId="36044320" w14:textId="2D4F7539" w:rsidR="00D609FD" w:rsidRPr="00D609FD" w:rsidRDefault="00D609FD" w:rsidP="00D609FD">
            <w:pPr>
              <w:jc w:val="right"/>
              <w:rPr>
                <w:rFonts w:eastAsiaTheme="majorEastAsia"/>
                <w:b/>
              </w:rPr>
            </w:pPr>
            <w:r w:rsidRPr="00D609FD">
              <w:rPr>
                <w:rFonts w:eastAsiaTheme="majorEastAsia"/>
                <w:b/>
              </w:rPr>
              <w:t>$000</w:t>
            </w:r>
          </w:p>
        </w:tc>
        <w:tc>
          <w:tcPr>
            <w:tcW w:w="1559" w:type="dxa"/>
            <w:shd w:val="clear" w:color="auto" w:fill="FFFFFF" w:themeFill="background1"/>
          </w:tcPr>
          <w:p w14:paraId="5C8FE6F5" w14:textId="5C50DADE" w:rsidR="00D609FD" w:rsidRPr="00D609FD" w:rsidRDefault="00D609FD" w:rsidP="00D609FD">
            <w:pPr>
              <w:jc w:val="right"/>
              <w:rPr>
                <w:rFonts w:eastAsiaTheme="majorEastAsia"/>
                <w:b/>
              </w:rPr>
            </w:pPr>
            <w:r w:rsidRPr="00D609FD">
              <w:rPr>
                <w:rFonts w:eastAsiaTheme="majorEastAsia"/>
                <w:b/>
              </w:rPr>
              <w:t>$000</w:t>
            </w:r>
          </w:p>
        </w:tc>
        <w:tc>
          <w:tcPr>
            <w:tcW w:w="1450" w:type="dxa"/>
            <w:shd w:val="clear" w:color="auto" w:fill="FFFFFF" w:themeFill="background1"/>
          </w:tcPr>
          <w:p w14:paraId="179C3806" w14:textId="24E95FF6" w:rsidR="00D609FD" w:rsidRPr="00D609FD" w:rsidRDefault="00D609FD" w:rsidP="00D609FD">
            <w:pPr>
              <w:jc w:val="right"/>
              <w:rPr>
                <w:rFonts w:eastAsiaTheme="majorEastAsia"/>
                <w:b/>
              </w:rPr>
            </w:pPr>
            <w:r w:rsidRPr="00D609FD">
              <w:rPr>
                <w:rFonts w:eastAsiaTheme="majorEastAsia"/>
                <w:b/>
              </w:rPr>
              <w:t>$000</w:t>
            </w:r>
          </w:p>
        </w:tc>
      </w:tr>
      <w:tr w:rsidR="00D609FD" w14:paraId="056E03F6" w14:textId="77777777" w:rsidTr="00D609FD">
        <w:tc>
          <w:tcPr>
            <w:tcW w:w="4928" w:type="dxa"/>
          </w:tcPr>
          <w:p w14:paraId="19C137BC" w14:textId="46D37B5C" w:rsidR="00D609FD" w:rsidRDefault="00D609FD" w:rsidP="00A25F17">
            <w:pPr>
              <w:rPr>
                <w:rFonts w:eastAsiaTheme="majorEastAsia"/>
              </w:rPr>
            </w:pPr>
            <w:r>
              <w:rPr>
                <w:rFonts w:eastAsiaTheme="majorEastAsia"/>
              </w:rPr>
              <w:t>Insurer contributions</w:t>
            </w:r>
          </w:p>
        </w:tc>
        <w:tc>
          <w:tcPr>
            <w:tcW w:w="1559" w:type="dxa"/>
            <w:shd w:val="clear" w:color="auto" w:fill="F5EDC1" w:themeFill="accent4"/>
          </w:tcPr>
          <w:p w14:paraId="2483D9F3" w14:textId="3A3055A2" w:rsidR="00D609FD" w:rsidRDefault="00D609FD" w:rsidP="00D609FD">
            <w:pPr>
              <w:jc w:val="right"/>
              <w:rPr>
                <w:rFonts w:eastAsiaTheme="majorEastAsia"/>
              </w:rPr>
            </w:pPr>
            <w:r>
              <w:rPr>
                <w:rFonts w:eastAsiaTheme="majorEastAsia"/>
              </w:rPr>
              <w:t>10,086</w:t>
            </w:r>
          </w:p>
        </w:tc>
        <w:tc>
          <w:tcPr>
            <w:tcW w:w="1559" w:type="dxa"/>
            <w:shd w:val="clear" w:color="auto" w:fill="D4E2E0" w:themeFill="accent5"/>
          </w:tcPr>
          <w:p w14:paraId="714D1105" w14:textId="6B520031" w:rsidR="00D609FD" w:rsidRDefault="00D609FD" w:rsidP="00D609FD">
            <w:pPr>
              <w:jc w:val="right"/>
              <w:rPr>
                <w:rFonts w:eastAsiaTheme="majorEastAsia"/>
              </w:rPr>
            </w:pPr>
            <w:r>
              <w:rPr>
                <w:rFonts w:eastAsiaTheme="majorEastAsia"/>
              </w:rPr>
              <w:t>10,075</w:t>
            </w:r>
          </w:p>
        </w:tc>
        <w:tc>
          <w:tcPr>
            <w:tcW w:w="1560" w:type="dxa"/>
            <w:shd w:val="clear" w:color="auto" w:fill="F5EDC1" w:themeFill="accent4"/>
          </w:tcPr>
          <w:p w14:paraId="3492F38A" w14:textId="43DE378F" w:rsidR="00D609FD" w:rsidRDefault="00D609FD" w:rsidP="00D609FD">
            <w:pPr>
              <w:jc w:val="right"/>
              <w:rPr>
                <w:rFonts w:eastAsiaTheme="majorEastAsia"/>
              </w:rPr>
            </w:pPr>
            <w:r>
              <w:rPr>
                <w:rFonts w:eastAsiaTheme="majorEastAsia"/>
              </w:rPr>
              <w:t>11,405</w:t>
            </w:r>
          </w:p>
        </w:tc>
        <w:tc>
          <w:tcPr>
            <w:tcW w:w="1559" w:type="dxa"/>
            <w:shd w:val="clear" w:color="auto" w:fill="D4E2E0" w:themeFill="accent5"/>
          </w:tcPr>
          <w:p w14:paraId="0495BF3E" w14:textId="3F064809" w:rsidR="00D609FD" w:rsidRDefault="00D609FD" w:rsidP="00D609FD">
            <w:pPr>
              <w:jc w:val="right"/>
              <w:rPr>
                <w:rFonts w:eastAsiaTheme="majorEastAsia"/>
              </w:rPr>
            </w:pPr>
            <w:r>
              <w:rPr>
                <w:rFonts w:eastAsiaTheme="majorEastAsia"/>
              </w:rPr>
              <w:t>11,434</w:t>
            </w:r>
          </w:p>
        </w:tc>
        <w:tc>
          <w:tcPr>
            <w:tcW w:w="1559" w:type="dxa"/>
            <w:shd w:val="clear" w:color="auto" w:fill="F5EDC1" w:themeFill="accent4"/>
          </w:tcPr>
          <w:p w14:paraId="7FD65349" w14:textId="74D2CAE9" w:rsidR="00D609FD" w:rsidRDefault="00D14944" w:rsidP="00D609FD">
            <w:pPr>
              <w:jc w:val="right"/>
              <w:rPr>
                <w:rFonts w:eastAsiaTheme="majorEastAsia"/>
              </w:rPr>
            </w:pPr>
            <w:r>
              <w:rPr>
                <w:rFonts w:eastAsiaTheme="majorEastAsia"/>
              </w:rPr>
              <w:t>21,491</w:t>
            </w:r>
          </w:p>
        </w:tc>
        <w:tc>
          <w:tcPr>
            <w:tcW w:w="1450" w:type="dxa"/>
            <w:shd w:val="clear" w:color="auto" w:fill="D4E2E0" w:themeFill="accent5"/>
          </w:tcPr>
          <w:p w14:paraId="5C460656" w14:textId="55BF323F" w:rsidR="00D609FD" w:rsidRDefault="00D14944" w:rsidP="00D609FD">
            <w:pPr>
              <w:jc w:val="right"/>
              <w:rPr>
                <w:rFonts w:eastAsiaTheme="majorEastAsia"/>
              </w:rPr>
            </w:pPr>
            <w:r>
              <w:rPr>
                <w:rFonts w:eastAsiaTheme="majorEastAsia"/>
              </w:rPr>
              <w:t>21,509</w:t>
            </w:r>
          </w:p>
        </w:tc>
      </w:tr>
      <w:tr w:rsidR="00D609FD" w14:paraId="03EF846A" w14:textId="77777777" w:rsidTr="00D609FD">
        <w:tc>
          <w:tcPr>
            <w:tcW w:w="4928" w:type="dxa"/>
          </w:tcPr>
          <w:p w14:paraId="1CEEBCC9" w14:textId="60D647D0" w:rsidR="00D609FD" w:rsidRDefault="00D609FD" w:rsidP="00A25F17">
            <w:pPr>
              <w:rPr>
                <w:rFonts w:eastAsiaTheme="majorEastAsia"/>
              </w:rPr>
            </w:pPr>
            <w:r>
              <w:rPr>
                <w:rFonts w:eastAsiaTheme="majorEastAsia"/>
              </w:rPr>
              <w:t>Interest revenue</w:t>
            </w:r>
          </w:p>
        </w:tc>
        <w:tc>
          <w:tcPr>
            <w:tcW w:w="1559" w:type="dxa"/>
            <w:shd w:val="clear" w:color="auto" w:fill="F5EDC1" w:themeFill="accent4"/>
          </w:tcPr>
          <w:p w14:paraId="0DCD271E" w14:textId="178DDF51" w:rsidR="00D609FD" w:rsidRDefault="00D609FD" w:rsidP="00D609FD">
            <w:pPr>
              <w:jc w:val="right"/>
              <w:rPr>
                <w:rFonts w:eastAsiaTheme="majorEastAsia"/>
              </w:rPr>
            </w:pPr>
            <w:r>
              <w:rPr>
                <w:rFonts w:eastAsiaTheme="majorEastAsia"/>
              </w:rPr>
              <w:t>1,297</w:t>
            </w:r>
          </w:p>
        </w:tc>
        <w:tc>
          <w:tcPr>
            <w:tcW w:w="1559" w:type="dxa"/>
            <w:shd w:val="clear" w:color="auto" w:fill="D4E2E0" w:themeFill="accent5"/>
          </w:tcPr>
          <w:p w14:paraId="126250F0" w14:textId="38BCD75B" w:rsidR="00D609FD" w:rsidRDefault="00D609FD" w:rsidP="00D609FD">
            <w:pPr>
              <w:jc w:val="right"/>
              <w:rPr>
                <w:rFonts w:eastAsiaTheme="majorEastAsia"/>
              </w:rPr>
            </w:pPr>
            <w:r>
              <w:rPr>
                <w:rFonts w:eastAsiaTheme="majorEastAsia"/>
              </w:rPr>
              <w:t>1,137</w:t>
            </w:r>
          </w:p>
        </w:tc>
        <w:tc>
          <w:tcPr>
            <w:tcW w:w="1560" w:type="dxa"/>
            <w:shd w:val="clear" w:color="auto" w:fill="F5EDC1" w:themeFill="accent4"/>
          </w:tcPr>
          <w:p w14:paraId="60C7D303" w14:textId="3F9E88FD" w:rsidR="00D609FD" w:rsidRDefault="00D609FD" w:rsidP="00D609FD">
            <w:pPr>
              <w:jc w:val="right"/>
              <w:rPr>
                <w:rFonts w:eastAsiaTheme="majorEastAsia"/>
              </w:rPr>
            </w:pPr>
            <w:r>
              <w:rPr>
                <w:rFonts w:eastAsiaTheme="majorEastAsia"/>
              </w:rPr>
              <w:t>1,466</w:t>
            </w:r>
          </w:p>
        </w:tc>
        <w:tc>
          <w:tcPr>
            <w:tcW w:w="1559" w:type="dxa"/>
            <w:shd w:val="clear" w:color="auto" w:fill="D4E2E0" w:themeFill="accent5"/>
          </w:tcPr>
          <w:p w14:paraId="6CF71365" w14:textId="3FFA1DF6" w:rsidR="00D609FD" w:rsidRDefault="00D609FD" w:rsidP="00D609FD">
            <w:pPr>
              <w:jc w:val="right"/>
              <w:rPr>
                <w:rFonts w:eastAsiaTheme="majorEastAsia"/>
              </w:rPr>
            </w:pPr>
            <w:r>
              <w:rPr>
                <w:rFonts w:eastAsiaTheme="majorEastAsia"/>
              </w:rPr>
              <w:t>1,290</w:t>
            </w:r>
          </w:p>
        </w:tc>
        <w:tc>
          <w:tcPr>
            <w:tcW w:w="1559" w:type="dxa"/>
            <w:shd w:val="clear" w:color="auto" w:fill="F5EDC1" w:themeFill="accent4"/>
          </w:tcPr>
          <w:p w14:paraId="5DB00CD0" w14:textId="3C4DB3F9" w:rsidR="00D609FD" w:rsidRDefault="00D14944" w:rsidP="00D609FD">
            <w:pPr>
              <w:jc w:val="right"/>
              <w:rPr>
                <w:rFonts w:eastAsiaTheme="majorEastAsia"/>
              </w:rPr>
            </w:pPr>
            <w:r>
              <w:rPr>
                <w:rFonts w:eastAsiaTheme="majorEastAsia"/>
              </w:rPr>
              <w:t>2,763</w:t>
            </w:r>
          </w:p>
        </w:tc>
        <w:tc>
          <w:tcPr>
            <w:tcW w:w="1450" w:type="dxa"/>
            <w:shd w:val="clear" w:color="auto" w:fill="D4E2E0" w:themeFill="accent5"/>
          </w:tcPr>
          <w:p w14:paraId="45E882D2" w14:textId="4FADF9CD" w:rsidR="00D609FD" w:rsidRDefault="00D14944" w:rsidP="00D609FD">
            <w:pPr>
              <w:jc w:val="right"/>
              <w:rPr>
                <w:rFonts w:eastAsiaTheme="majorEastAsia"/>
              </w:rPr>
            </w:pPr>
            <w:r>
              <w:rPr>
                <w:rFonts w:eastAsiaTheme="majorEastAsia"/>
              </w:rPr>
              <w:t>2,427</w:t>
            </w:r>
          </w:p>
        </w:tc>
      </w:tr>
      <w:tr w:rsidR="00D609FD" w14:paraId="7BF4C78F" w14:textId="77777777" w:rsidTr="00D609FD">
        <w:tc>
          <w:tcPr>
            <w:tcW w:w="4928" w:type="dxa"/>
          </w:tcPr>
          <w:p w14:paraId="5834A8A8" w14:textId="7898B687" w:rsidR="00D609FD" w:rsidRDefault="00D609FD" w:rsidP="00A25F17">
            <w:pPr>
              <w:rPr>
                <w:rFonts w:eastAsiaTheme="majorEastAsia"/>
              </w:rPr>
            </w:pPr>
            <w:r>
              <w:rPr>
                <w:rFonts w:eastAsiaTheme="majorEastAsia"/>
              </w:rPr>
              <w:t>Other revenue</w:t>
            </w:r>
          </w:p>
        </w:tc>
        <w:tc>
          <w:tcPr>
            <w:tcW w:w="1559" w:type="dxa"/>
            <w:shd w:val="clear" w:color="auto" w:fill="F5EDC1" w:themeFill="accent4"/>
          </w:tcPr>
          <w:p w14:paraId="773710E4" w14:textId="159F435E" w:rsidR="00D609FD" w:rsidRDefault="00D609FD" w:rsidP="00D609FD">
            <w:pPr>
              <w:jc w:val="right"/>
              <w:rPr>
                <w:rFonts w:eastAsiaTheme="majorEastAsia"/>
              </w:rPr>
            </w:pPr>
            <w:r>
              <w:rPr>
                <w:rFonts w:eastAsiaTheme="majorEastAsia"/>
              </w:rPr>
              <w:t>518</w:t>
            </w:r>
          </w:p>
        </w:tc>
        <w:tc>
          <w:tcPr>
            <w:tcW w:w="1559" w:type="dxa"/>
            <w:shd w:val="clear" w:color="auto" w:fill="D4E2E0" w:themeFill="accent5"/>
          </w:tcPr>
          <w:p w14:paraId="168FEF32" w14:textId="19E83D66" w:rsidR="00D609FD" w:rsidRDefault="00D609FD" w:rsidP="00D609FD">
            <w:pPr>
              <w:jc w:val="right"/>
              <w:rPr>
                <w:rFonts w:eastAsiaTheme="majorEastAsia"/>
              </w:rPr>
            </w:pPr>
            <w:r>
              <w:rPr>
                <w:rFonts w:eastAsiaTheme="majorEastAsia"/>
              </w:rPr>
              <w:t>365</w:t>
            </w:r>
          </w:p>
        </w:tc>
        <w:tc>
          <w:tcPr>
            <w:tcW w:w="1560" w:type="dxa"/>
            <w:shd w:val="clear" w:color="auto" w:fill="F5EDC1" w:themeFill="accent4"/>
          </w:tcPr>
          <w:p w14:paraId="2AD80817" w14:textId="7D883A22" w:rsidR="00D609FD" w:rsidRDefault="00D609FD" w:rsidP="00D609FD">
            <w:pPr>
              <w:jc w:val="right"/>
              <w:rPr>
                <w:rFonts w:eastAsiaTheme="majorEastAsia"/>
              </w:rPr>
            </w:pPr>
            <w:r>
              <w:rPr>
                <w:rFonts w:eastAsiaTheme="majorEastAsia"/>
              </w:rPr>
              <w:t>586</w:t>
            </w:r>
          </w:p>
        </w:tc>
        <w:tc>
          <w:tcPr>
            <w:tcW w:w="1559" w:type="dxa"/>
            <w:shd w:val="clear" w:color="auto" w:fill="D4E2E0" w:themeFill="accent5"/>
          </w:tcPr>
          <w:p w14:paraId="3CBB134D" w14:textId="6E2B2083" w:rsidR="00D609FD" w:rsidRDefault="00D609FD" w:rsidP="00D609FD">
            <w:pPr>
              <w:jc w:val="right"/>
              <w:rPr>
                <w:rFonts w:eastAsiaTheme="majorEastAsia"/>
              </w:rPr>
            </w:pPr>
            <w:r>
              <w:rPr>
                <w:rFonts w:eastAsiaTheme="majorEastAsia"/>
              </w:rPr>
              <w:t>415</w:t>
            </w:r>
          </w:p>
        </w:tc>
        <w:tc>
          <w:tcPr>
            <w:tcW w:w="1559" w:type="dxa"/>
            <w:shd w:val="clear" w:color="auto" w:fill="F5EDC1" w:themeFill="accent4"/>
          </w:tcPr>
          <w:p w14:paraId="6FE04C9B" w14:textId="01AF74AB" w:rsidR="00D609FD" w:rsidRDefault="00D14944" w:rsidP="00D609FD">
            <w:pPr>
              <w:jc w:val="right"/>
              <w:rPr>
                <w:rFonts w:eastAsiaTheme="majorEastAsia"/>
              </w:rPr>
            </w:pPr>
            <w:r>
              <w:rPr>
                <w:rFonts w:eastAsiaTheme="majorEastAsia"/>
              </w:rPr>
              <w:t>1,104</w:t>
            </w:r>
          </w:p>
        </w:tc>
        <w:tc>
          <w:tcPr>
            <w:tcW w:w="1450" w:type="dxa"/>
            <w:shd w:val="clear" w:color="auto" w:fill="D4E2E0" w:themeFill="accent5"/>
          </w:tcPr>
          <w:p w14:paraId="0AE7DC22" w14:textId="431B6E61" w:rsidR="00D609FD" w:rsidRDefault="00D14944" w:rsidP="00D609FD">
            <w:pPr>
              <w:jc w:val="right"/>
              <w:rPr>
                <w:rFonts w:eastAsiaTheme="majorEastAsia"/>
              </w:rPr>
            </w:pPr>
            <w:r>
              <w:rPr>
                <w:rFonts w:eastAsiaTheme="majorEastAsia"/>
              </w:rPr>
              <w:t>780</w:t>
            </w:r>
          </w:p>
        </w:tc>
      </w:tr>
      <w:tr w:rsidR="00D609FD" w14:paraId="0A805CE7" w14:textId="77777777" w:rsidTr="00D609FD">
        <w:tc>
          <w:tcPr>
            <w:tcW w:w="4928" w:type="dxa"/>
          </w:tcPr>
          <w:p w14:paraId="70062E59" w14:textId="37FFDB7A" w:rsidR="00D609FD" w:rsidRDefault="00D609FD" w:rsidP="00A25F17">
            <w:pPr>
              <w:rPr>
                <w:rFonts w:eastAsiaTheme="majorEastAsia"/>
              </w:rPr>
            </w:pPr>
            <w:r>
              <w:rPr>
                <w:rFonts w:eastAsiaTheme="majorEastAsia"/>
              </w:rPr>
              <w:t>Employers’ Indemnity Supplementation Fund</w:t>
            </w:r>
          </w:p>
        </w:tc>
        <w:tc>
          <w:tcPr>
            <w:tcW w:w="1559" w:type="dxa"/>
            <w:shd w:val="clear" w:color="auto" w:fill="F5EDC1" w:themeFill="accent4"/>
          </w:tcPr>
          <w:p w14:paraId="382D1201" w14:textId="6D93AE4F" w:rsidR="00D609FD" w:rsidRDefault="00D609FD" w:rsidP="00D609FD">
            <w:pPr>
              <w:jc w:val="right"/>
              <w:rPr>
                <w:rFonts w:eastAsiaTheme="majorEastAsia"/>
              </w:rPr>
            </w:pPr>
            <w:r>
              <w:rPr>
                <w:rFonts w:eastAsiaTheme="majorEastAsia"/>
              </w:rPr>
              <w:t>4,457</w:t>
            </w:r>
          </w:p>
        </w:tc>
        <w:tc>
          <w:tcPr>
            <w:tcW w:w="1559" w:type="dxa"/>
            <w:shd w:val="clear" w:color="auto" w:fill="D4E2E0" w:themeFill="accent5"/>
          </w:tcPr>
          <w:p w14:paraId="34188C00" w14:textId="5593087B" w:rsidR="00D609FD" w:rsidRDefault="00D609FD" w:rsidP="00D609FD">
            <w:pPr>
              <w:jc w:val="right"/>
              <w:rPr>
                <w:rFonts w:eastAsiaTheme="majorEastAsia"/>
              </w:rPr>
            </w:pPr>
            <w:r>
              <w:rPr>
                <w:rFonts w:eastAsiaTheme="majorEastAsia"/>
              </w:rPr>
              <w:t>4,687</w:t>
            </w:r>
          </w:p>
        </w:tc>
        <w:tc>
          <w:tcPr>
            <w:tcW w:w="1560" w:type="dxa"/>
            <w:shd w:val="clear" w:color="auto" w:fill="F5EDC1" w:themeFill="accent4"/>
          </w:tcPr>
          <w:p w14:paraId="2CBFBB76" w14:textId="04B93339" w:rsidR="00D609FD" w:rsidRDefault="00D609FD" w:rsidP="00D609FD">
            <w:pPr>
              <w:jc w:val="right"/>
              <w:rPr>
                <w:rFonts w:eastAsiaTheme="majorEastAsia"/>
              </w:rPr>
            </w:pPr>
            <w:r>
              <w:rPr>
                <w:rFonts w:eastAsiaTheme="majorEastAsia"/>
              </w:rPr>
              <w:t>5,039</w:t>
            </w:r>
          </w:p>
        </w:tc>
        <w:tc>
          <w:tcPr>
            <w:tcW w:w="1559" w:type="dxa"/>
            <w:shd w:val="clear" w:color="auto" w:fill="D4E2E0" w:themeFill="accent5"/>
          </w:tcPr>
          <w:p w14:paraId="52876114" w14:textId="4FEED1B2" w:rsidR="00D609FD" w:rsidRDefault="00D609FD" w:rsidP="00D609FD">
            <w:pPr>
              <w:jc w:val="right"/>
              <w:rPr>
                <w:rFonts w:eastAsiaTheme="majorEastAsia"/>
              </w:rPr>
            </w:pPr>
            <w:r>
              <w:rPr>
                <w:rFonts w:eastAsiaTheme="majorEastAsia"/>
              </w:rPr>
              <w:t>5,318</w:t>
            </w:r>
          </w:p>
        </w:tc>
        <w:tc>
          <w:tcPr>
            <w:tcW w:w="1559" w:type="dxa"/>
            <w:shd w:val="clear" w:color="auto" w:fill="F5EDC1" w:themeFill="accent4"/>
          </w:tcPr>
          <w:p w14:paraId="2EA4137C" w14:textId="0A039F75" w:rsidR="00D609FD" w:rsidRDefault="00D14944" w:rsidP="00D609FD">
            <w:pPr>
              <w:jc w:val="right"/>
              <w:rPr>
                <w:rFonts w:eastAsiaTheme="majorEastAsia"/>
              </w:rPr>
            </w:pPr>
            <w:r>
              <w:rPr>
                <w:rFonts w:eastAsiaTheme="majorEastAsia"/>
              </w:rPr>
              <w:t>9,496</w:t>
            </w:r>
          </w:p>
        </w:tc>
        <w:tc>
          <w:tcPr>
            <w:tcW w:w="1450" w:type="dxa"/>
            <w:shd w:val="clear" w:color="auto" w:fill="D4E2E0" w:themeFill="accent5"/>
          </w:tcPr>
          <w:p w14:paraId="678C4001" w14:textId="1DA903A8" w:rsidR="00D609FD" w:rsidRDefault="00D14944" w:rsidP="00D609FD">
            <w:pPr>
              <w:jc w:val="right"/>
              <w:rPr>
                <w:rFonts w:eastAsiaTheme="majorEastAsia"/>
              </w:rPr>
            </w:pPr>
            <w:r>
              <w:rPr>
                <w:rFonts w:eastAsiaTheme="majorEastAsia"/>
              </w:rPr>
              <w:t>10,005</w:t>
            </w:r>
          </w:p>
        </w:tc>
      </w:tr>
      <w:tr w:rsidR="00D609FD" w14:paraId="6CB05045" w14:textId="77777777" w:rsidTr="00D609FD">
        <w:tc>
          <w:tcPr>
            <w:tcW w:w="4928" w:type="dxa"/>
          </w:tcPr>
          <w:p w14:paraId="10C5AF83" w14:textId="6E4A5C45" w:rsidR="00D609FD" w:rsidRDefault="00D609FD" w:rsidP="00A25F17">
            <w:pPr>
              <w:rPr>
                <w:rFonts w:eastAsiaTheme="majorEastAsia"/>
              </w:rPr>
            </w:pPr>
            <w:r>
              <w:rPr>
                <w:rFonts w:eastAsiaTheme="majorEastAsia"/>
              </w:rPr>
              <w:t>Decrease in claims liability</w:t>
            </w:r>
          </w:p>
        </w:tc>
        <w:tc>
          <w:tcPr>
            <w:tcW w:w="1559" w:type="dxa"/>
            <w:shd w:val="clear" w:color="auto" w:fill="F5EDC1" w:themeFill="accent4"/>
          </w:tcPr>
          <w:p w14:paraId="0AEAEF0A" w14:textId="35C2AB84" w:rsidR="00D609FD" w:rsidRDefault="00D609FD" w:rsidP="00D609FD">
            <w:pPr>
              <w:jc w:val="right"/>
              <w:rPr>
                <w:rFonts w:eastAsiaTheme="majorEastAsia"/>
              </w:rPr>
            </w:pPr>
            <w:r>
              <w:rPr>
                <w:rFonts w:eastAsiaTheme="majorEastAsia"/>
              </w:rPr>
              <w:t>2,077</w:t>
            </w:r>
          </w:p>
        </w:tc>
        <w:tc>
          <w:tcPr>
            <w:tcW w:w="1559" w:type="dxa"/>
            <w:shd w:val="clear" w:color="auto" w:fill="D4E2E0" w:themeFill="accent5"/>
          </w:tcPr>
          <w:p w14:paraId="71E0F9D1" w14:textId="083AC8BD" w:rsidR="00D609FD" w:rsidRDefault="00D609FD" w:rsidP="00D609FD">
            <w:pPr>
              <w:jc w:val="right"/>
              <w:rPr>
                <w:rFonts w:eastAsiaTheme="majorEastAsia"/>
              </w:rPr>
            </w:pPr>
            <w:r>
              <w:rPr>
                <w:rFonts w:eastAsiaTheme="majorEastAsia"/>
              </w:rPr>
              <w:t>-</w:t>
            </w:r>
          </w:p>
        </w:tc>
        <w:tc>
          <w:tcPr>
            <w:tcW w:w="1560" w:type="dxa"/>
            <w:shd w:val="clear" w:color="auto" w:fill="F5EDC1" w:themeFill="accent4"/>
          </w:tcPr>
          <w:p w14:paraId="5EDCC70D" w14:textId="5233AFB5" w:rsidR="00D609FD" w:rsidRDefault="00D609FD" w:rsidP="00D609FD">
            <w:pPr>
              <w:jc w:val="right"/>
              <w:rPr>
                <w:rFonts w:eastAsiaTheme="majorEastAsia"/>
              </w:rPr>
            </w:pPr>
            <w:r>
              <w:rPr>
                <w:rFonts w:eastAsiaTheme="majorEastAsia"/>
              </w:rPr>
              <w:t>2,348</w:t>
            </w:r>
          </w:p>
        </w:tc>
        <w:tc>
          <w:tcPr>
            <w:tcW w:w="1559" w:type="dxa"/>
            <w:shd w:val="clear" w:color="auto" w:fill="D4E2E0" w:themeFill="accent5"/>
          </w:tcPr>
          <w:p w14:paraId="56CD2ECA" w14:textId="23E8A3AC" w:rsidR="00D609FD" w:rsidRDefault="00D609FD" w:rsidP="00D609FD">
            <w:pPr>
              <w:jc w:val="right"/>
              <w:rPr>
                <w:rFonts w:eastAsiaTheme="majorEastAsia"/>
              </w:rPr>
            </w:pPr>
            <w:r>
              <w:rPr>
                <w:rFonts w:eastAsiaTheme="majorEastAsia"/>
              </w:rPr>
              <w:t>-</w:t>
            </w:r>
          </w:p>
        </w:tc>
        <w:tc>
          <w:tcPr>
            <w:tcW w:w="1559" w:type="dxa"/>
            <w:shd w:val="clear" w:color="auto" w:fill="F5EDC1" w:themeFill="accent4"/>
          </w:tcPr>
          <w:p w14:paraId="1888D8E5" w14:textId="6914F978" w:rsidR="00D609FD" w:rsidRDefault="00D14944" w:rsidP="00D609FD">
            <w:pPr>
              <w:jc w:val="right"/>
              <w:rPr>
                <w:rFonts w:eastAsiaTheme="majorEastAsia"/>
              </w:rPr>
            </w:pPr>
            <w:r>
              <w:rPr>
                <w:rFonts w:eastAsiaTheme="majorEastAsia"/>
              </w:rPr>
              <w:t>4,425</w:t>
            </w:r>
          </w:p>
        </w:tc>
        <w:tc>
          <w:tcPr>
            <w:tcW w:w="1450" w:type="dxa"/>
            <w:shd w:val="clear" w:color="auto" w:fill="D4E2E0" w:themeFill="accent5"/>
          </w:tcPr>
          <w:p w14:paraId="54F5970A" w14:textId="41568E8B" w:rsidR="00D609FD" w:rsidRDefault="00D609FD" w:rsidP="00D609FD">
            <w:pPr>
              <w:jc w:val="right"/>
              <w:rPr>
                <w:rFonts w:eastAsiaTheme="majorEastAsia"/>
              </w:rPr>
            </w:pPr>
            <w:r>
              <w:rPr>
                <w:rFonts w:eastAsiaTheme="majorEastAsia"/>
              </w:rPr>
              <w:t>-</w:t>
            </w:r>
          </w:p>
        </w:tc>
      </w:tr>
      <w:tr w:rsidR="00D609FD" w14:paraId="70AF7C43" w14:textId="77777777" w:rsidTr="00D609FD">
        <w:tc>
          <w:tcPr>
            <w:tcW w:w="4928" w:type="dxa"/>
          </w:tcPr>
          <w:p w14:paraId="20806A14" w14:textId="173EFE1E" w:rsidR="00D609FD" w:rsidRPr="00D609FD" w:rsidRDefault="00D609FD" w:rsidP="00A25F17">
            <w:pPr>
              <w:rPr>
                <w:rFonts w:eastAsiaTheme="majorEastAsia"/>
                <w:b/>
              </w:rPr>
            </w:pPr>
            <w:r w:rsidRPr="00D609FD">
              <w:rPr>
                <w:rFonts w:eastAsiaTheme="majorEastAsia"/>
                <w:b/>
              </w:rPr>
              <w:t>Total Income</w:t>
            </w:r>
          </w:p>
        </w:tc>
        <w:tc>
          <w:tcPr>
            <w:tcW w:w="1559" w:type="dxa"/>
            <w:tcBorders>
              <w:bottom w:val="single" w:sz="4" w:space="0" w:color="auto"/>
            </w:tcBorders>
            <w:shd w:val="clear" w:color="auto" w:fill="F5EDC1" w:themeFill="accent4"/>
          </w:tcPr>
          <w:p w14:paraId="79723B55" w14:textId="66A78E67" w:rsidR="00D609FD" w:rsidRPr="00D609FD" w:rsidRDefault="00D609FD" w:rsidP="00D609FD">
            <w:pPr>
              <w:jc w:val="right"/>
              <w:rPr>
                <w:rFonts w:eastAsiaTheme="majorEastAsia"/>
                <w:b/>
              </w:rPr>
            </w:pPr>
            <w:r w:rsidRPr="00D609FD">
              <w:rPr>
                <w:rFonts w:eastAsiaTheme="majorEastAsia"/>
                <w:b/>
              </w:rPr>
              <w:t>18,435</w:t>
            </w:r>
          </w:p>
        </w:tc>
        <w:tc>
          <w:tcPr>
            <w:tcW w:w="1559" w:type="dxa"/>
            <w:tcBorders>
              <w:bottom w:val="single" w:sz="4" w:space="0" w:color="auto"/>
            </w:tcBorders>
            <w:shd w:val="clear" w:color="auto" w:fill="D4E2E0" w:themeFill="accent5"/>
          </w:tcPr>
          <w:p w14:paraId="2E5B2351" w14:textId="450EE686" w:rsidR="00D609FD" w:rsidRPr="00D609FD" w:rsidRDefault="00D609FD" w:rsidP="00D609FD">
            <w:pPr>
              <w:jc w:val="right"/>
              <w:rPr>
                <w:rFonts w:eastAsiaTheme="majorEastAsia"/>
                <w:b/>
              </w:rPr>
            </w:pPr>
            <w:r w:rsidRPr="00D609FD">
              <w:rPr>
                <w:rFonts w:eastAsiaTheme="majorEastAsia"/>
                <w:b/>
              </w:rPr>
              <w:t>16,264</w:t>
            </w:r>
          </w:p>
        </w:tc>
        <w:tc>
          <w:tcPr>
            <w:tcW w:w="1560" w:type="dxa"/>
            <w:tcBorders>
              <w:bottom w:val="single" w:sz="4" w:space="0" w:color="auto"/>
            </w:tcBorders>
            <w:shd w:val="clear" w:color="auto" w:fill="F5EDC1" w:themeFill="accent4"/>
          </w:tcPr>
          <w:p w14:paraId="7966A26E" w14:textId="67AE8C1A" w:rsidR="00D609FD" w:rsidRPr="00D609FD" w:rsidRDefault="00D609FD" w:rsidP="00D609FD">
            <w:pPr>
              <w:jc w:val="right"/>
              <w:rPr>
                <w:rFonts w:eastAsiaTheme="majorEastAsia"/>
                <w:b/>
              </w:rPr>
            </w:pPr>
            <w:r w:rsidRPr="00D609FD">
              <w:rPr>
                <w:rFonts w:eastAsiaTheme="majorEastAsia"/>
                <w:b/>
              </w:rPr>
              <w:t>20,844</w:t>
            </w:r>
          </w:p>
        </w:tc>
        <w:tc>
          <w:tcPr>
            <w:tcW w:w="1559" w:type="dxa"/>
            <w:tcBorders>
              <w:bottom w:val="single" w:sz="4" w:space="0" w:color="auto"/>
            </w:tcBorders>
            <w:shd w:val="clear" w:color="auto" w:fill="D4E2E0" w:themeFill="accent5"/>
          </w:tcPr>
          <w:p w14:paraId="71724527" w14:textId="2E41B117" w:rsidR="00D609FD" w:rsidRPr="00D609FD" w:rsidRDefault="00D609FD" w:rsidP="00D609FD">
            <w:pPr>
              <w:jc w:val="right"/>
              <w:rPr>
                <w:rFonts w:eastAsiaTheme="majorEastAsia"/>
                <w:b/>
              </w:rPr>
            </w:pPr>
            <w:r w:rsidRPr="00D609FD">
              <w:rPr>
                <w:rFonts w:eastAsiaTheme="majorEastAsia"/>
                <w:b/>
              </w:rPr>
              <w:t>18,457</w:t>
            </w:r>
          </w:p>
        </w:tc>
        <w:tc>
          <w:tcPr>
            <w:tcW w:w="1559" w:type="dxa"/>
            <w:tcBorders>
              <w:bottom w:val="single" w:sz="4" w:space="0" w:color="auto"/>
            </w:tcBorders>
            <w:shd w:val="clear" w:color="auto" w:fill="F5EDC1" w:themeFill="accent4"/>
          </w:tcPr>
          <w:p w14:paraId="47D3D849" w14:textId="29338B8F" w:rsidR="00D609FD" w:rsidRPr="00D609FD" w:rsidRDefault="00D609FD" w:rsidP="00D609FD">
            <w:pPr>
              <w:jc w:val="right"/>
              <w:rPr>
                <w:rFonts w:eastAsiaTheme="majorEastAsia"/>
                <w:b/>
              </w:rPr>
            </w:pPr>
            <w:r w:rsidRPr="00D609FD">
              <w:rPr>
                <w:rFonts w:eastAsiaTheme="majorEastAsia"/>
                <w:b/>
              </w:rPr>
              <w:t>39,279</w:t>
            </w:r>
          </w:p>
        </w:tc>
        <w:tc>
          <w:tcPr>
            <w:tcW w:w="1450" w:type="dxa"/>
            <w:tcBorders>
              <w:bottom w:val="single" w:sz="4" w:space="0" w:color="auto"/>
            </w:tcBorders>
            <w:shd w:val="clear" w:color="auto" w:fill="D4E2E0" w:themeFill="accent5"/>
          </w:tcPr>
          <w:p w14:paraId="251D50BF" w14:textId="397DBC60" w:rsidR="00D609FD" w:rsidRPr="00D609FD" w:rsidRDefault="00D609FD" w:rsidP="00D609FD">
            <w:pPr>
              <w:jc w:val="right"/>
              <w:rPr>
                <w:rFonts w:eastAsiaTheme="majorEastAsia"/>
                <w:b/>
              </w:rPr>
            </w:pPr>
            <w:r w:rsidRPr="00D609FD">
              <w:rPr>
                <w:rFonts w:eastAsiaTheme="majorEastAsia"/>
                <w:b/>
              </w:rPr>
              <w:t>34,721</w:t>
            </w:r>
          </w:p>
        </w:tc>
      </w:tr>
      <w:tr w:rsidR="00D609FD" w14:paraId="07C26F03" w14:textId="77777777" w:rsidTr="00D609FD">
        <w:tc>
          <w:tcPr>
            <w:tcW w:w="4928" w:type="dxa"/>
          </w:tcPr>
          <w:p w14:paraId="0DA87392" w14:textId="198EEEB2" w:rsidR="00D609FD" w:rsidRPr="00D609FD" w:rsidRDefault="00D609FD" w:rsidP="00A25F17">
            <w:pPr>
              <w:rPr>
                <w:rFonts w:eastAsiaTheme="majorEastAsia"/>
                <w:i/>
              </w:rPr>
            </w:pPr>
            <w:r w:rsidRPr="00D609FD">
              <w:rPr>
                <w:rFonts w:eastAsiaTheme="majorEastAsia"/>
                <w:i/>
              </w:rPr>
              <w:t>Expenses</w:t>
            </w:r>
          </w:p>
        </w:tc>
        <w:tc>
          <w:tcPr>
            <w:tcW w:w="1559" w:type="dxa"/>
            <w:tcBorders>
              <w:top w:val="single" w:sz="4" w:space="0" w:color="auto"/>
            </w:tcBorders>
            <w:shd w:val="clear" w:color="auto" w:fill="FFFFFF" w:themeFill="background1"/>
          </w:tcPr>
          <w:p w14:paraId="12664F3B" w14:textId="77777777" w:rsidR="00D609FD" w:rsidRDefault="00D609FD" w:rsidP="00D609FD">
            <w:pPr>
              <w:jc w:val="right"/>
              <w:rPr>
                <w:rFonts w:eastAsiaTheme="majorEastAsia"/>
              </w:rPr>
            </w:pPr>
          </w:p>
        </w:tc>
        <w:tc>
          <w:tcPr>
            <w:tcW w:w="1559" w:type="dxa"/>
            <w:tcBorders>
              <w:top w:val="single" w:sz="4" w:space="0" w:color="auto"/>
            </w:tcBorders>
            <w:shd w:val="clear" w:color="auto" w:fill="FFFFFF" w:themeFill="background1"/>
          </w:tcPr>
          <w:p w14:paraId="79FA3DD5" w14:textId="77777777" w:rsidR="00D609FD" w:rsidRDefault="00D609FD" w:rsidP="00D609FD">
            <w:pPr>
              <w:jc w:val="right"/>
              <w:rPr>
                <w:rFonts w:eastAsiaTheme="majorEastAsia"/>
              </w:rPr>
            </w:pPr>
          </w:p>
        </w:tc>
        <w:tc>
          <w:tcPr>
            <w:tcW w:w="1560" w:type="dxa"/>
            <w:tcBorders>
              <w:top w:val="single" w:sz="4" w:space="0" w:color="auto"/>
            </w:tcBorders>
            <w:shd w:val="clear" w:color="auto" w:fill="FFFFFF" w:themeFill="background1"/>
          </w:tcPr>
          <w:p w14:paraId="10230573" w14:textId="77777777" w:rsidR="00D609FD" w:rsidRDefault="00D609FD" w:rsidP="00D609FD">
            <w:pPr>
              <w:jc w:val="right"/>
              <w:rPr>
                <w:rFonts w:eastAsiaTheme="majorEastAsia"/>
              </w:rPr>
            </w:pPr>
          </w:p>
        </w:tc>
        <w:tc>
          <w:tcPr>
            <w:tcW w:w="1559" w:type="dxa"/>
            <w:tcBorders>
              <w:top w:val="single" w:sz="4" w:space="0" w:color="auto"/>
            </w:tcBorders>
            <w:shd w:val="clear" w:color="auto" w:fill="FFFFFF" w:themeFill="background1"/>
          </w:tcPr>
          <w:p w14:paraId="2A94C400" w14:textId="77777777" w:rsidR="00D609FD" w:rsidRDefault="00D609FD" w:rsidP="00D609FD">
            <w:pPr>
              <w:jc w:val="right"/>
              <w:rPr>
                <w:rFonts w:eastAsiaTheme="majorEastAsia"/>
              </w:rPr>
            </w:pPr>
          </w:p>
        </w:tc>
        <w:tc>
          <w:tcPr>
            <w:tcW w:w="1559" w:type="dxa"/>
            <w:tcBorders>
              <w:top w:val="single" w:sz="4" w:space="0" w:color="auto"/>
            </w:tcBorders>
            <w:shd w:val="clear" w:color="auto" w:fill="FFFFFF" w:themeFill="background1"/>
          </w:tcPr>
          <w:p w14:paraId="283008D2" w14:textId="77777777" w:rsidR="00D609FD" w:rsidRDefault="00D609FD" w:rsidP="00D609FD">
            <w:pPr>
              <w:jc w:val="right"/>
              <w:rPr>
                <w:rFonts w:eastAsiaTheme="majorEastAsia"/>
              </w:rPr>
            </w:pPr>
          </w:p>
        </w:tc>
        <w:tc>
          <w:tcPr>
            <w:tcW w:w="1450" w:type="dxa"/>
            <w:tcBorders>
              <w:top w:val="single" w:sz="4" w:space="0" w:color="auto"/>
            </w:tcBorders>
            <w:shd w:val="clear" w:color="auto" w:fill="FFFFFF" w:themeFill="background1"/>
          </w:tcPr>
          <w:p w14:paraId="55CF2B71" w14:textId="77777777" w:rsidR="00D609FD" w:rsidRDefault="00D609FD" w:rsidP="00D609FD">
            <w:pPr>
              <w:jc w:val="right"/>
              <w:rPr>
                <w:rFonts w:eastAsiaTheme="majorEastAsia"/>
              </w:rPr>
            </w:pPr>
          </w:p>
        </w:tc>
      </w:tr>
      <w:tr w:rsidR="00D609FD" w14:paraId="502E4160" w14:textId="77777777" w:rsidTr="00D609FD">
        <w:tc>
          <w:tcPr>
            <w:tcW w:w="4928" w:type="dxa"/>
          </w:tcPr>
          <w:p w14:paraId="09FA2B81" w14:textId="1B67EEF2" w:rsidR="00D609FD" w:rsidRDefault="00D609FD" w:rsidP="00A25F17">
            <w:pPr>
              <w:rPr>
                <w:rFonts w:eastAsiaTheme="majorEastAsia"/>
              </w:rPr>
            </w:pPr>
            <w:r>
              <w:rPr>
                <w:rFonts w:eastAsiaTheme="majorEastAsia"/>
              </w:rPr>
              <w:t>Employee benefits expense</w:t>
            </w:r>
          </w:p>
        </w:tc>
        <w:tc>
          <w:tcPr>
            <w:tcW w:w="1559" w:type="dxa"/>
            <w:shd w:val="clear" w:color="auto" w:fill="F5EDC1" w:themeFill="accent4"/>
          </w:tcPr>
          <w:p w14:paraId="5D63A05F" w14:textId="7D4669F1" w:rsidR="00D609FD" w:rsidRDefault="00D609FD" w:rsidP="00D609FD">
            <w:pPr>
              <w:jc w:val="right"/>
              <w:rPr>
                <w:rFonts w:eastAsiaTheme="majorEastAsia"/>
              </w:rPr>
            </w:pPr>
            <w:r>
              <w:rPr>
                <w:rFonts w:eastAsiaTheme="majorEastAsia"/>
              </w:rPr>
              <w:t>6,551</w:t>
            </w:r>
          </w:p>
        </w:tc>
        <w:tc>
          <w:tcPr>
            <w:tcW w:w="1559" w:type="dxa"/>
            <w:shd w:val="clear" w:color="auto" w:fill="D4E2E0" w:themeFill="accent5"/>
          </w:tcPr>
          <w:p w14:paraId="520C324E" w14:textId="115B2CF4" w:rsidR="00D609FD" w:rsidRDefault="00D609FD" w:rsidP="00D609FD">
            <w:pPr>
              <w:jc w:val="right"/>
              <w:rPr>
                <w:rFonts w:eastAsiaTheme="majorEastAsia"/>
              </w:rPr>
            </w:pPr>
            <w:r>
              <w:rPr>
                <w:rFonts w:eastAsiaTheme="majorEastAsia"/>
              </w:rPr>
              <w:t>6,582</w:t>
            </w:r>
          </w:p>
        </w:tc>
        <w:tc>
          <w:tcPr>
            <w:tcW w:w="1560" w:type="dxa"/>
            <w:shd w:val="clear" w:color="auto" w:fill="F5EDC1" w:themeFill="accent4"/>
          </w:tcPr>
          <w:p w14:paraId="38F2B35A" w14:textId="71D83D6B" w:rsidR="00D609FD" w:rsidRDefault="00D609FD" w:rsidP="00D609FD">
            <w:pPr>
              <w:jc w:val="right"/>
              <w:rPr>
                <w:rFonts w:eastAsiaTheme="majorEastAsia"/>
              </w:rPr>
            </w:pPr>
            <w:r>
              <w:rPr>
                <w:rFonts w:eastAsiaTheme="majorEastAsia"/>
              </w:rPr>
              <w:t>7,408</w:t>
            </w:r>
          </w:p>
        </w:tc>
        <w:tc>
          <w:tcPr>
            <w:tcW w:w="1559" w:type="dxa"/>
            <w:shd w:val="clear" w:color="auto" w:fill="D4E2E0" w:themeFill="accent5"/>
          </w:tcPr>
          <w:p w14:paraId="51D75571" w14:textId="0FB9153B" w:rsidR="00D609FD" w:rsidRDefault="00D609FD" w:rsidP="00D609FD">
            <w:pPr>
              <w:jc w:val="right"/>
              <w:rPr>
                <w:rFonts w:eastAsiaTheme="majorEastAsia"/>
              </w:rPr>
            </w:pPr>
            <w:r>
              <w:rPr>
                <w:rFonts w:eastAsiaTheme="majorEastAsia"/>
              </w:rPr>
              <w:t>7,470</w:t>
            </w:r>
          </w:p>
        </w:tc>
        <w:tc>
          <w:tcPr>
            <w:tcW w:w="1559" w:type="dxa"/>
            <w:shd w:val="clear" w:color="auto" w:fill="F5EDC1" w:themeFill="accent4"/>
          </w:tcPr>
          <w:p w14:paraId="4CF5B068" w14:textId="4A70265D" w:rsidR="00D609FD" w:rsidRDefault="00D609FD" w:rsidP="00D609FD">
            <w:pPr>
              <w:jc w:val="right"/>
              <w:rPr>
                <w:rFonts w:eastAsiaTheme="majorEastAsia"/>
              </w:rPr>
            </w:pPr>
            <w:r>
              <w:rPr>
                <w:rFonts w:eastAsiaTheme="majorEastAsia"/>
              </w:rPr>
              <w:t>13,959</w:t>
            </w:r>
          </w:p>
        </w:tc>
        <w:tc>
          <w:tcPr>
            <w:tcW w:w="1450" w:type="dxa"/>
            <w:shd w:val="clear" w:color="auto" w:fill="D4E2E0" w:themeFill="accent5"/>
          </w:tcPr>
          <w:p w14:paraId="087D7641" w14:textId="4B7CA4E3" w:rsidR="00D609FD" w:rsidRDefault="00D609FD" w:rsidP="00D609FD">
            <w:pPr>
              <w:jc w:val="right"/>
              <w:rPr>
                <w:rFonts w:eastAsiaTheme="majorEastAsia"/>
              </w:rPr>
            </w:pPr>
            <w:r>
              <w:rPr>
                <w:rFonts w:eastAsiaTheme="majorEastAsia"/>
              </w:rPr>
              <w:t>14,052</w:t>
            </w:r>
          </w:p>
        </w:tc>
      </w:tr>
      <w:tr w:rsidR="00D609FD" w14:paraId="43AD5F22" w14:textId="77777777" w:rsidTr="00D609FD">
        <w:tc>
          <w:tcPr>
            <w:tcW w:w="4928" w:type="dxa"/>
          </w:tcPr>
          <w:p w14:paraId="76300243" w14:textId="6D2780BA" w:rsidR="00D609FD" w:rsidRDefault="00D609FD" w:rsidP="00A25F17">
            <w:pPr>
              <w:rPr>
                <w:rFonts w:eastAsiaTheme="majorEastAsia"/>
              </w:rPr>
            </w:pPr>
            <w:r>
              <w:rPr>
                <w:rFonts w:eastAsiaTheme="majorEastAsia"/>
              </w:rPr>
              <w:t>Supplies and services</w:t>
            </w:r>
          </w:p>
        </w:tc>
        <w:tc>
          <w:tcPr>
            <w:tcW w:w="1559" w:type="dxa"/>
            <w:shd w:val="clear" w:color="auto" w:fill="F5EDC1" w:themeFill="accent4"/>
          </w:tcPr>
          <w:p w14:paraId="2AD3BDF3" w14:textId="1F82568F" w:rsidR="00D609FD" w:rsidRDefault="00D609FD" w:rsidP="00D609FD">
            <w:pPr>
              <w:jc w:val="right"/>
              <w:rPr>
                <w:rFonts w:eastAsiaTheme="majorEastAsia"/>
              </w:rPr>
            </w:pPr>
            <w:r>
              <w:rPr>
                <w:rFonts w:eastAsiaTheme="majorEastAsia"/>
              </w:rPr>
              <w:t>1,556</w:t>
            </w:r>
          </w:p>
        </w:tc>
        <w:tc>
          <w:tcPr>
            <w:tcW w:w="1559" w:type="dxa"/>
            <w:shd w:val="clear" w:color="auto" w:fill="D4E2E0" w:themeFill="accent5"/>
          </w:tcPr>
          <w:p w14:paraId="182AE5A0" w14:textId="663F7082" w:rsidR="00D609FD" w:rsidRDefault="00D609FD" w:rsidP="00D609FD">
            <w:pPr>
              <w:jc w:val="right"/>
              <w:rPr>
                <w:rFonts w:eastAsiaTheme="majorEastAsia"/>
              </w:rPr>
            </w:pPr>
            <w:r>
              <w:rPr>
                <w:rFonts w:eastAsiaTheme="majorEastAsia"/>
              </w:rPr>
              <w:t>1,362</w:t>
            </w:r>
          </w:p>
        </w:tc>
        <w:tc>
          <w:tcPr>
            <w:tcW w:w="1560" w:type="dxa"/>
            <w:shd w:val="clear" w:color="auto" w:fill="F5EDC1" w:themeFill="accent4"/>
          </w:tcPr>
          <w:p w14:paraId="40B7F681" w14:textId="2ACC0CC9" w:rsidR="00D609FD" w:rsidRDefault="00D609FD" w:rsidP="00D609FD">
            <w:pPr>
              <w:jc w:val="right"/>
              <w:rPr>
                <w:rFonts w:eastAsiaTheme="majorEastAsia"/>
              </w:rPr>
            </w:pPr>
            <w:r>
              <w:rPr>
                <w:rFonts w:eastAsiaTheme="majorEastAsia"/>
              </w:rPr>
              <w:t>1,759</w:t>
            </w:r>
          </w:p>
        </w:tc>
        <w:tc>
          <w:tcPr>
            <w:tcW w:w="1559" w:type="dxa"/>
            <w:shd w:val="clear" w:color="auto" w:fill="D4E2E0" w:themeFill="accent5"/>
          </w:tcPr>
          <w:p w14:paraId="6C78825C" w14:textId="71134186" w:rsidR="00D609FD" w:rsidRDefault="00D609FD" w:rsidP="00D609FD">
            <w:pPr>
              <w:jc w:val="right"/>
              <w:rPr>
                <w:rFonts w:eastAsiaTheme="majorEastAsia"/>
              </w:rPr>
            </w:pPr>
            <w:r>
              <w:rPr>
                <w:rFonts w:eastAsiaTheme="majorEastAsia"/>
              </w:rPr>
              <w:t>1,546</w:t>
            </w:r>
          </w:p>
        </w:tc>
        <w:tc>
          <w:tcPr>
            <w:tcW w:w="1559" w:type="dxa"/>
            <w:shd w:val="clear" w:color="auto" w:fill="F5EDC1" w:themeFill="accent4"/>
          </w:tcPr>
          <w:p w14:paraId="662DF8E8" w14:textId="371FA18F" w:rsidR="00D609FD" w:rsidRDefault="004C140C" w:rsidP="00D609FD">
            <w:pPr>
              <w:jc w:val="right"/>
              <w:rPr>
                <w:rFonts w:eastAsiaTheme="majorEastAsia"/>
              </w:rPr>
            </w:pPr>
            <w:r>
              <w:rPr>
                <w:rFonts w:eastAsiaTheme="majorEastAsia"/>
              </w:rPr>
              <w:t>3,315</w:t>
            </w:r>
          </w:p>
        </w:tc>
        <w:tc>
          <w:tcPr>
            <w:tcW w:w="1450" w:type="dxa"/>
            <w:shd w:val="clear" w:color="auto" w:fill="D4E2E0" w:themeFill="accent5"/>
          </w:tcPr>
          <w:p w14:paraId="0CB2D54B" w14:textId="4D34928E" w:rsidR="00D609FD" w:rsidRDefault="004C140C" w:rsidP="00D609FD">
            <w:pPr>
              <w:jc w:val="right"/>
              <w:rPr>
                <w:rFonts w:eastAsiaTheme="majorEastAsia"/>
              </w:rPr>
            </w:pPr>
            <w:r>
              <w:rPr>
                <w:rFonts w:eastAsiaTheme="majorEastAsia"/>
              </w:rPr>
              <w:t>2,908</w:t>
            </w:r>
          </w:p>
        </w:tc>
      </w:tr>
      <w:tr w:rsidR="00D609FD" w14:paraId="174AEDE7" w14:textId="77777777" w:rsidTr="00D609FD">
        <w:tc>
          <w:tcPr>
            <w:tcW w:w="4928" w:type="dxa"/>
          </w:tcPr>
          <w:p w14:paraId="3BFE397D" w14:textId="309565E6" w:rsidR="00D609FD" w:rsidRDefault="00D609FD" w:rsidP="00A25F17">
            <w:pPr>
              <w:rPr>
                <w:rFonts w:eastAsiaTheme="majorEastAsia"/>
              </w:rPr>
            </w:pPr>
            <w:r>
              <w:rPr>
                <w:rFonts w:eastAsiaTheme="majorEastAsia"/>
              </w:rPr>
              <w:t>Depreciation and amortisation expense</w:t>
            </w:r>
          </w:p>
        </w:tc>
        <w:tc>
          <w:tcPr>
            <w:tcW w:w="1559" w:type="dxa"/>
            <w:shd w:val="clear" w:color="auto" w:fill="F5EDC1" w:themeFill="accent4"/>
          </w:tcPr>
          <w:p w14:paraId="22F0374C" w14:textId="6E72FE1F" w:rsidR="00D609FD" w:rsidRDefault="00D609FD" w:rsidP="00D609FD">
            <w:pPr>
              <w:jc w:val="right"/>
              <w:rPr>
                <w:rFonts w:eastAsiaTheme="majorEastAsia"/>
              </w:rPr>
            </w:pPr>
            <w:r>
              <w:rPr>
                <w:rFonts w:eastAsiaTheme="majorEastAsia"/>
              </w:rPr>
              <w:t>497</w:t>
            </w:r>
          </w:p>
        </w:tc>
        <w:tc>
          <w:tcPr>
            <w:tcW w:w="1559" w:type="dxa"/>
            <w:shd w:val="clear" w:color="auto" w:fill="D4E2E0" w:themeFill="accent5"/>
          </w:tcPr>
          <w:p w14:paraId="748622A4" w14:textId="4C8BD5BC" w:rsidR="00D609FD" w:rsidRDefault="00D609FD" w:rsidP="00D609FD">
            <w:pPr>
              <w:jc w:val="right"/>
              <w:rPr>
                <w:rFonts w:eastAsiaTheme="majorEastAsia"/>
              </w:rPr>
            </w:pPr>
            <w:r>
              <w:rPr>
                <w:rFonts w:eastAsiaTheme="majorEastAsia"/>
              </w:rPr>
              <w:t>414</w:t>
            </w:r>
          </w:p>
        </w:tc>
        <w:tc>
          <w:tcPr>
            <w:tcW w:w="1560" w:type="dxa"/>
            <w:shd w:val="clear" w:color="auto" w:fill="F5EDC1" w:themeFill="accent4"/>
          </w:tcPr>
          <w:p w14:paraId="58EBEB15" w14:textId="2B936B7C" w:rsidR="00D609FD" w:rsidRDefault="00D609FD" w:rsidP="00D609FD">
            <w:pPr>
              <w:jc w:val="right"/>
              <w:rPr>
                <w:rFonts w:eastAsiaTheme="majorEastAsia"/>
              </w:rPr>
            </w:pPr>
            <w:r>
              <w:rPr>
                <w:rFonts w:eastAsiaTheme="majorEastAsia"/>
              </w:rPr>
              <w:t>561</w:t>
            </w:r>
          </w:p>
        </w:tc>
        <w:tc>
          <w:tcPr>
            <w:tcW w:w="1559" w:type="dxa"/>
            <w:shd w:val="clear" w:color="auto" w:fill="D4E2E0" w:themeFill="accent5"/>
          </w:tcPr>
          <w:p w14:paraId="6DA6680E" w14:textId="518F33E3" w:rsidR="00D609FD" w:rsidRDefault="00D609FD" w:rsidP="00D609FD">
            <w:pPr>
              <w:jc w:val="right"/>
              <w:rPr>
                <w:rFonts w:eastAsiaTheme="majorEastAsia"/>
              </w:rPr>
            </w:pPr>
            <w:r>
              <w:rPr>
                <w:rFonts w:eastAsiaTheme="majorEastAsia"/>
              </w:rPr>
              <w:t>470</w:t>
            </w:r>
          </w:p>
        </w:tc>
        <w:tc>
          <w:tcPr>
            <w:tcW w:w="1559" w:type="dxa"/>
            <w:shd w:val="clear" w:color="auto" w:fill="F5EDC1" w:themeFill="accent4"/>
          </w:tcPr>
          <w:p w14:paraId="23F2E2B7" w14:textId="7DC65C02" w:rsidR="00D609FD" w:rsidRDefault="00D609FD" w:rsidP="00D609FD">
            <w:pPr>
              <w:jc w:val="right"/>
              <w:rPr>
                <w:rFonts w:eastAsiaTheme="majorEastAsia"/>
              </w:rPr>
            </w:pPr>
            <w:r>
              <w:rPr>
                <w:rFonts w:eastAsiaTheme="majorEastAsia"/>
              </w:rPr>
              <w:t>1,058</w:t>
            </w:r>
          </w:p>
        </w:tc>
        <w:tc>
          <w:tcPr>
            <w:tcW w:w="1450" w:type="dxa"/>
            <w:shd w:val="clear" w:color="auto" w:fill="D4E2E0" w:themeFill="accent5"/>
          </w:tcPr>
          <w:p w14:paraId="37F04319" w14:textId="3DC4C30B" w:rsidR="00D609FD" w:rsidRDefault="00D609FD" w:rsidP="00D609FD">
            <w:pPr>
              <w:jc w:val="right"/>
              <w:rPr>
                <w:rFonts w:eastAsiaTheme="majorEastAsia"/>
              </w:rPr>
            </w:pPr>
            <w:r>
              <w:rPr>
                <w:rFonts w:eastAsiaTheme="majorEastAsia"/>
              </w:rPr>
              <w:t>884</w:t>
            </w:r>
          </w:p>
        </w:tc>
      </w:tr>
      <w:tr w:rsidR="00D609FD" w14:paraId="7B5EEDA1" w14:textId="77777777" w:rsidTr="00D609FD">
        <w:tc>
          <w:tcPr>
            <w:tcW w:w="4928" w:type="dxa"/>
          </w:tcPr>
          <w:p w14:paraId="388710D0" w14:textId="03CF369F" w:rsidR="00D609FD" w:rsidRDefault="00D609FD" w:rsidP="00A25F17">
            <w:pPr>
              <w:rPr>
                <w:rFonts w:eastAsiaTheme="majorEastAsia"/>
              </w:rPr>
            </w:pPr>
            <w:r>
              <w:rPr>
                <w:rFonts w:eastAsiaTheme="majorEastAsia"/>
              </w:rPr>
              <w:t>Accommodation expenses</w:t>
            </w:r>
          </w:p>
        </w:tc>
        <w:tc>
          <w:tcPr>
            <w:tcW w:w="1559" w:type="dxa"/>
            <w:shd w:val="clear" w:color="auto" w:fill="F5EDC1" w:themeFill="accent4"/>
          </w:tcPr>
          <w:p w14:paraId="309CC512" w14:textId="3F6F3246" w:rsidR="00D609FD" w:rsidRDefault="00D609FD" w:rsidP="00D609FD">
            <w:pPr>
              <w:jc w:val="right"/>
              <w:rPr>
                <w:rFonts w:eastAsiaTheme="majorEastAsia"/>
              </w:rPr>
            </w:pPr>
            <w:r>
              <w:rPr>
                <w:rFonts w:eastAsiaTheme="majorEastAsia"/>
              </w:rPr>
              <w:t>317</w:t>
            </w:r>
          </w:p>
        </w:tc>
        <w:tc>
          <w:tcPr>
            <w:tcW w:w="1559" w:type="dxa"/>
            <w:shd w:val="clear" w:color="auto" w:fill="D4E2E0" w:themeFill="accent5"/>
          </w:tcPr>
          <w:p w14:paraId="0940FE49" w14:textId="27E89055" w:rsidR="00D609FD" w:rsidRDefault="00D609FD" w:rsidP="00D609FD">
            <w:pPr>
              <w:jc w:val="right"/>
              <w:rPr>
                <w:rFonts w:eastAsiaTheme="majorEastAsia"/>
              </w:rPr>
            </w:pPr>
            <w:r>
              <w:rPr>
                <w:rFonts w:eastAsiaTheme="majorEastAsia"/>
              </w:rPr>
              <w:t>275</w:t>
            </w:r>
          </w:p>
        </w:tc>
        <w:tc>
          <w:tcPr>
            <w:tcW w:w="1560" w:type="dxa"/>
            <w:shd w:val="clear" w:color="auto" w:fill="F5EDC1" w:themeFill="accent4"/>
          </w:tcPr>
          <w:p w14:paraId="1D67F995" w14:textId="1FF5CBBF" w:rsidR="00D609FD" w:rsidRDefault="00D609FD" w:rsidP="00D609FD">
            <w:pPr>
              <w:jc w:val="right"/>
              <w:rPr>
                <w:rFonts w:eastAsiaTheme="majorEastAsia"/>
              </w:rPr>
            </w:pPr>
            <w:r>
              <w:rPr>
                <w:rFonts w:eastAsiaTheme="majorEastAsia"/>
              </w:rPr>
              <w:t>357</w:t>
            </w:r>
          </w:p>
        </w:tc>
        <w:tc>
          <w:tcPr>
            <w:tcW w:w="1559" w:type="dxa"/>
            <w:shd w:val="clear" w:color="auto" w:fill="D4E2E0" w:themeFill="accent5"/>
          </w:tcPr>
          <w:p w14:paraId="38DE9269" w14:textId="33962113" w:rsidR="00D609FD" w:rsidRDefault="00D609FD" w:rsidP="00D609FD">
            <w:pPr>
              <w:jc w:val="right"/>
              <w:rPr>
                <w:rFonts w:eastAsiaTheme="majorEastAsia"/>
              </w:rPr>
            </w:pPr>
            <w:r>
              <w:rPr>
                <w:rFonts w:eastAsiaTheme="majorEastAsia"/>
              </w:rPr>
              <w:t>312</w:t>
            </w:r>
          </w:p>
        </w:tc>
        <w:tc>
          <w:tcPr>
            <w:tcW w:w="1559" w:type="dxa"/>
            <w:shd w:val="clear" w:color="auto" w:fill="F5EDC1" w:themeFill="accent4"/>
          </w:tcPr>
          <w:p w14:paraId="4DA39259" w14:textId="217FA2B5" w:rsidR="00D609FD" w:rsidRDefault="00D609FD" w:rsidP="00D609FD">
            <w:pPr>
              <w:jc w:val="right"/>
              <w:rPr>
                <w:rFonts w:eastAsiaTheme="majorEastAsia"/>
              </w:rPr>
            </w:pPr>
            <w:r>
              <w:rPr>
                <w:rFonts w:eastAsiaTheme="majorEastAsia"/>
              </w:rPr>
              <w:t>674</w:t>
            </w:r>
          </w:p>
        </w:tc>
        <w:tc>
          <w:tcPr>
            <w:tcW w:w="1450" w:type="dxa"/>
            <w:shd w:val="clear" w:color="auto" w:fill="D4E2E0" w:themeFill="accent5"/>
          </w:tcPr>
          <w:p w14:paraId="17322FC2" w14:textId="3891B433" w:rsidR="00D609FD" w:rsidRDefault="00D609FD" w:rsidP="00D609FD">
            <w:pPr>
              <w:jc w:val="right"/>
              <w:rPr>
                <w:rFonts w:eastAsiaTheme="majorEastAsia"/>
              </w:rPr>
            </w:pPr>
            <w:r>
              <w:rPr>
                <w:rFonts w:eastAsiaTheme="majorEastAsia"/>
              </w:rPr>
              <w:t>587</w:t>
            </w:r>
          </w:p>
        </w:tc>
      </w:tr>
      <w:tr w:rsidR="00D609FD" w14:paraId="30D9F9D5" w14:textId="77777777" w:rsidTr="00D609FD">
        <w:tc>
          <w:tcPr>
            <w:tcW w:w="4928" w:type="dxa"/>
          </w:tcPr>
          <w:p w14:paraId="2414F9BB" w14:textId="35522A69" w:rsidR="00D609FD" w:rsidRDefault="00D609FD" w:rsidP="00A25F17">
            <w:pPr>
              <w:rPr>
                <w:rFonts w:eastAsiaTheme="majorEastAsia"/>
              </w:rPr>
            </w:pPr>
            <w:r>
              <w:rPr>
                <w:rFonts w:eastAsiaTheme="majorEastAsia"/>
              </w:rPr>
              <w:t>Claims expense</w:t>
            </w:r>
          </w:p>
        </w:tc>
        <w:tc>
          <w:tcPr>
            <w:tcW w:w="1559" w:type="dxa"/>
            <w:shd w:val="clear" w:color="auto" w:fill="F5EDC1" w:themeFill="accent4"/>
          </w:tcPr>
          <w:p w14:paraId="53BD3AB2" w14:textId="2C31C34E" w:rsidR="00D609FD" w:rsidRDefault="00D609FD" w:rsidP="00D609FD">
            <w:pPr>
              <w:jc w:val="right"/>
              <w:rPr>
                <w:rFonts w:eastAsiaTheme="majorEastAsia"/>
              </w:rPr>
            </w:pPr>
            <w:r>
              <w:rPr>
                <w:rFonts w:eastAsiaTheme="majorEastAsia"/>
              </w:rPr>
              <w:t>593</w:t>
            </w:r>
          </w:p>
        </w:tc>
        <w:tc>
          <w:tcPr>
            <w:tcW w:w="1559" w:type="dxa"/>
            <w:shd w:val="clear" w:color="auto" w:fill="D4E2E0" w:themeFill="accent5"/>
          </w:tcPr>
          <w:p w14:paraId="1D81AE9C" w14:textId="0C1E53EB" w:rsidR="00D609FD" w:rsidRDefault="00D609FD" w:rsidP="00D609FD">
            <w:pPr>
              <w:jc w:val="right"/>
              <w:rPr>
                <w:rFonts w:eastAsiaTheme="majorEastAsia"/>
              </w:rPr>
            </w:pPr>
            <w:r>
              <w:rPr>
                <w:rFonts w:eastAsiaTheme="majorEastAsia"/>
              </w:rPr>
              <w:t>3,672</w:t>
            </w:r>
          </w:p>
        </w:tc>
        <w:tc>
          <w:tcPr>
            <w:tcW w:w="1560" w:type="dxa"/>
            <w:shd w:val="clear" w:color="auto" w:fill="F5EDC1" w:themeFill="accent4"/>
          </w:tcPr>
          <w:p w14:paraId="13145863" w14:textId="028603EA" w:rsidR="00D609FD" w:rsidRDefault="00D609FD" w:rsidP="00D609FD">
            <w:pPr>
              <w:jc w:val="right"/>
              <w:rPr>
                <w:rFonts w:eastAsiaTheme="majorEastAsia"/>
              </w:rPr>
            </w:pPr>
            <w:r>
              <w:rPr>
                <w:rFonts w:eastAsiaTheme="majorEastAsia"/>
              </w:rPr>
              <w:t>670</w:t>
            </w:r>
          </w:p>
        </w:tc>
        <w:tc>
          <w:tcPr>
            <w:tcW w:w="1559" w:type="dxa"/>
            <w:shd w:val="clear" w:color="auto" w:fill="D4E2E0" w:themeFill="accent5"/>
          </w:tcPr>
          <w:p w14:paraId="0E8F8CE8" w14:textId="6A50DB8E" w:rsidR="00D609FD" w:rsidRDefault="00D609FD" w:rsidP="00D609FD">
            <w:pPr>
              <w:jc w:val="right"/>
              <w:rPr>
                <w:rFonts w:eastAsiaTheme="majorEastAsia"/>
              </w:rPr>
            </w:pPr>
            <w:r>
              <w:rPr>
                <w:rFonts w:eastAsiaTheme="majorEastAsia"/>
              </w:rPr>
              <w:t>4,168</w:t>
            </w:r>
          </w:p>
        </w:tc>
        <w:tc>
          <w:tcPr>
            <w:tcW w:w="1559" w:type="dxa"/>
            <w:shd w:val="clear" w:color="auto" w:fill="F5EDC1" w:themeFill="accent4"/>
          </w:tcPr>
          <w:p w14:paraId="341D69F0" w14:textId="3B03D598" w:rsidR="00D609FD" w:rsidRDefault="00D609FD" w:rsidP="00D609FD">
            <w:pPr>
              <w:jc w:val="right"/>
              <w:rPr>
                <w:rFonts w:eastAsiaTheme="majorEastAsia"/>
              </w:rPr>
            </w:pPr>
            <w:r>
              <w:rPr>
                <w:rFonts w:eastAsiaTheme="majorEastAsia"/>
              </w:rPr>
              <w:t>1,263</w:t>
            </w:r>
          </w:p>
        </w:tc>
        <w:tc>
          <w:tcPr>
            <w:tcW w:w="1450" w:type="dxa"/>
            <w:shd w:val="clear" w:color="auto" w:fill="D4E2E0" w:themeFill="accent5"/>
          </w:tcPr>
          <w:p w14:paraId="6775E4DE" w14:textId="1D25EE21" w:rsidR="00D609FD" w:rsidRDefault="00D609FD" w:rsidP="00D609FD">
            <w:pPr>
              <w:jc w:val="right"/>
              <w:rPr>
                <w:rFonts w:eastAsiaTheme="majorEastAsia"/>
              </w:rPr>
            </w:pPr>
            <w:r>
              <w:rPr>
                <w:rFonts w:eastAsiaTheme="majorEastAsia"/>
              </w:rPr>
              <w:t>7,840</w:t>
            </w:r>
          </w:p>
        </w:tc>
      </w:tr>
      <w:tr w:rsidR="00D609FD" w14:paraId="3417C3D2" w14:textId="77777777" w:rsidTr="00D609FD">
        <w:tc>
          <w:tcPr>
            <w:tcW w:w="4928" w:type="dxa"/>
          </w:tcPr>
          <w:p w14:paraId="0C5EF1A4" w14:textId="0EC01666" w:rsidR="00D609FD" w:rsidRDefault="00D609FD" w:rsidP="00A25F17">
            <w:pPr>
              <w:rPr>
                <w:rFonts w:eastAsiaTheme="majorEastAsia"/>
              </w:rPr>
            </w:pPr>
            <w:r>
              <w:rPr>
                <w:rFonts w:eastAsiaTheme="majorEastAsia"/>
              </w:rPr>
              <w:t>Loss on disposal of non current assets</w:t>
            </w:r>
          </w:p>
        </w:tc>
        <w:tc>
          <w:tcPr>
            <w:tcW w:w="1559" w:type="dxa"/>
            <w:shd w:val="clear" w:color="auto" w:fill="F5EDC1" w:themeFill="accent4"/>
          </w:tcPr>
          <w:p w14:paraId="3168C78B" w14:textId="7A2808FD" w:rsidR="00D609FD" w:rsidRDefault="00D609FD" w:rsidP="00D609FD">
            <w:pPr>
              <w:jc w:val="right"/>
              <w:rPr>
                <w:rFonts w:eastAsiaTheme="majorEastAsia"/>
              </w:rPr>
            </w:pPr>
            <w:r>
              <w:rPr>
                <w:rFonts w:eastAsiaTheme="majorEastAsia"/>
              </w:rPr>
              <w:t>6</w:t>
            </w:r>
          </w:p>
        </w:tc>
        <w:tc>
          <w:tcPr>
            <w:tcW w:w="1559" w:type="dxa"/>
            <w:shd w:val="clear" w:color="auto" w:fill="D4E2E0" w:themeFill="accent5"/>
          </w:tcPr>
          <w:p w14:paraId="1BBBE45C" w14:textId="6CEDCC1E" w:rsidR="00D609FD" w:rsidRDefault="00D609FD" w:rsidP="00D609FD">
            <w:pPr>
              <w:jc w:val="right"/>
              <w:rPr>
                <w:rFonts w:eastAsiaTheme="majorEastAsia"/>
              </w:rPr>
            </w:pPr>
            <w:r>
              <w:rPr>
                <w:rFonts w:eastAsiaTheme="majorEastAsia"/>
              </w:rPr>
              <w:t>14</w:t>
            </w:r>
          </w:p>
        </w:tc>
        <w:tc>
          <w:tcPr>
            <w:tcW w:w="1560" w:type="dxa"/>
            <w:shd w:val="clear" w:color="auto" w:fill="F5EDC1" w:themeFill="accent4"/>
          </w:tcPr>
          <w:p w14:paraId="12344E21" w14:textId="79BC7EA0" w:rsidR="00D609FD" w:rsidRDefault="00D609FD" w:rsidP="00D609FD">
            <w:pPr>
              <w:jc w:val="right"/>
              <w:rPr>
                <w:rFonts w:eastAsiaTheme="majorEastAsia"/>
              </w:rPr>
            </w:pPr>
            <w:r>
              <w:rPr>
                <w:rFonts w:eastAsiaTheme="majorEastAsia"/>
              </w:rPr>
              <w:t>6</w:t>
            </w:r>
          </w:p>
        </w:tc>
        <w:tc>
          <w:tcPr>
            <w:tcW w:w="1559" w:type="dxa"/>
            <w:shd w:val="clear" w:color="auto" w:fill="D4E2E0" w:themeFill="accent5"/>
          </w:tcPr>
          <w:p w14:paraId="7BA5FE02" w14:textId="4F52B756" w:rsidR="00D609FD" w:rsidRDefault="00D609FD" w:rsidP="00D609FD">
            <w:pPr>
              <w:jc w:val="right"/>
              <w:rPr>
                <w:rFonts w:eastAsiaTheme="majorEastAsia"/>
              </w:rPr>
            </w:pPr>
            <w:r>
              <w:rPr>
                <w:rFonts w:eastAsiaTheme="majorEastAsia"/>
              </w:rPr>
              <w:t>16</w:t>
            </w:r>
          </w:p>
        </w:tc>
        <w:tc>
          <w:tcPr>
            <w:tcW w:w="1559" w:type="dxa"/>
            <w:shd w:val="clear" w:color="auto" w:fill="F5EDC1" w:themeFill="accent4"/>
          </w:tcPr>
          <w:p w14:paraId="2A0E9182" w14:textId="335037C8" w:rsidR="00D609FD" w:rsidRDefault="00D609FD" w:rsidP="00D609FD">
            <w:pPr>
              <w:jc w:val="right"/>
              <w:rPr>
                <w:rFonts w:eastAsiaTheme="majorEastAsia"/>
              </w:rPr>
            </w:pPr>
            <w:r>
              <w:rPr>
                <w:rFonts w:eastAsiaTheme="majorEastAsia"/>
              </w:rPr>
              <w:t>12</w:t>
            </w:r>
          </w:p>
        </w:tc>
        <w:tc>
          <w:tcPr>
            <w:tcW w:w="1450" w:type="dxa"/>
            <w:shd w:val="clear" w:color="auto" w:fill="D4E2E0" w:themeFill="accent5"/>
          </w:tcPr>
          <w:p w14:paraId="0BF0E898" w14:textId="2778CFD2" w:rsidR="00D609FD" w:rsidRDefault="00D609FD" w:rsidP="00D609FD">
            <w:pPr>
              <w:jc w:val="right"/>
              <w:rPr>
                <w:rFonts w:eastAsiaTheme="majorEastAsia"/>
              </w:rPr>
            </w:pPr>
            <w:r>
              <w:rPr>
                <w:rFonts w:eastAsiaTheme="majorEastAsia"/>
              </w:rPr>
              <w:t>30</w:t>
            </w:r>
          </w:p>
        </w:tc>
      </w:tr>
      <w:tr w:rsidR="00D609FD" w14:paraId="6F45BA3D" w14:textId="77777777" w:rsidTr="00D609FD">
        <w:tc>
          <w:tcPr>
            <w:tcW w:w="4928" w:type="dxa"/>
          </w:tcPr>
          <w:p w14:paraId="73CDFD06" w14:textId="6106AD5F" w:rsidR="00D609FD" w:rsidRDefault="00D609FD" w:rsidP="00A25F17">
            <w:pPr>
              <w:rPr>
                <w:rFonts w:eastAsiaTheme="majorEastAsia"/>
              </w:rPr>
            </w:pPr>
            <w:r>
              <w:rPr>
                <w:rFonts w:eastAsiaTheme="majorEastAsia"/>
              </w:rPr>
              <w:t>Other expenses</w:t>
            </w:r>
          </w:p>
        </w:tc>
        <w:tc>
          <w:tcPr>
            <w:tcW w:w="1559" w:type="dxa"/>
            <w:shd w:val="clear" w:color="auto" w:fill="F5EDC1" w:themeFill="accent4"/>
          </w:tcPr>
          <w:p w14:paraId="4070D66D" w14:textId="5835EF0D" w:rsidR="00D609FD" w:rsidRDefault="00D609FD" w:rsidP="00D609FD">
            <w:pPr>
              <w:jc w:val="right"/>
              <w:rPr>
                <w:rFonts w:eastAsiaTheme="majorEastAsia"/>
              </w:rPr>
            </w:pPr>
            <w:r>
              <w:rPr>
                <w:rFonts w:eastAsiaTheme="majorEastAsia"/>
              </w:rPr>
              <w:t>603</w:t>
            </w:r>
          </w:p>
        </w:tc>
        <w:tc>
          <w:tcPr>
            <w:tcW w:w="1559" w:type="dxa"/>
            <w:shd w:val="clear" w:color="auto" w:fill="D4E2E0" w:themeFill="accent5"/>
          </w:tcPr>
          <w:p w14:paraId="43DEE831" w14:textId="2820A1E3" w:rsidR="00D609FD" w:rsidRDefault="00D609FD" w:rsidP="00D609FD">
            <w:pPr>
              <w:jc w:val="right"/>
              <w:rPr>
                <w:rFonts w:eastAsiaTheme="majorEastAsia"/>
              </w:rPr>
            </w:pPr>
            <w:r>
              <w:rPr>
                <w:rFonts w:eastAsiaTheme="majorEastAsia"/>
              </w:rPr>
              <w:t>696</w:t>
            </w:r>
          </w:p>
        </w:tc>
        <w:tc>
          <w:tcPr>
            <w:tcW w:w="1560" w:type="dxa"/>
            <w:shd w:val="clear" w:color="auto" w:fill="F5EDC1" w:themeFill="accent4"/>
          </w:tcPr>
          <w:p w14:paraId="597E7C69" w14:textId="06EF44FB" w:rsidR="00D609FD" w:rsidRDefault="00D609FD" w:rsidP="00D609FD">
            <w:pPr>
              <w:jc w:val="right"/>
              <w:rPr>
                <w:rFonts w:eastAsiaTheme="majorEastAsia"/>
              </w:rPr>
            </w:pPr>
            <w:r>
              <w:rPr>
                <w:rFonts w:eastAsiaTheme="majorEastAsia"/>
              </w:rPr>
              <w:t>682</w:t>
            </w:r>
          </w:p>
        </w:tc>
        <w:tc>
          <w:tcPr>
            <w:tcW w:w="1559" w:type="dxa"/>
            <w:shd w:val="clear" w:color="auto" w:fill="D4E2E0" w:themeFill="accent5"/>
          </w:tcPr>
          <w:p w14:paraId="6477B577" w14:textId="2435F78D" w:rsidR="00D609FD" w:rsidRDefault="00D609FD" w:rsidP="00D609FD">
            <w:pPr>
              <w:jc w:val="right"/>
              <w:rPr>
                <w:rFonts w:eastAsiaTheme="majorEastAsia"/>
              </w:rPr>
            </w:pPr>
            <w:r>
              <w:rPr>
                <w:rFonts w:eastAsiaTheme="majorEastAsia"/>
              </w:rPr>
              <w:t>790</w:t>
            </w:r>
          </w:p>
        </w:tc>
        <w:tc>
          <w:tcPr>
            <w:tcW w:w="1559" w:type="dxa"/>
            <w:shd w:val="clear" w:color="auto" w:fill="F5EDC1" w:themeFill="accent4"/>
          </w:tcPr>
          <w:p w14:paraId="5F797098" w14:textId="45668FB3" w:rsidR="00D609FD" w:rsidRDefault="00D609FD" w:rsidP="00D609FD">
            <w:pPr>
              <w:jc w:val="right"/>
              <w:rPr>
                <w:rFonts w:eastAsiaTheme="majorEastAsia"/>
              </w:rPr>
            </w:pPr>
            <w:r>
              <w:rPr>
                <w:rFonts w:eastAsiaTheme="majorEastAsia"/>
              </w:rPr>
              <w:t>1,285</w:t>
            </w:r>
          </w:p>
        </w:tc>
        <w:tc>
          <w:tcPr>
            <w:tcW w:w="1450" w:type="dxa"/>
            <w:shd w:val="clear" w:color="auto" w:fill="D4E2E0" w:themeFill="accent5"/>
          </w:tcPr>
          <w:p w14:paraId="50E1534E" w14:textId="0AA397B4" w:rsidR="00D609FD" w:rsidRDefault="00D609FD" w:rsidP="00D609FD">
            <w:pPr>
              <w:jc w:val="right"/>
              <w:rPr>
                <w:rFonts w:eastAsiaTheme="majorEastAsia"/>
              </w:rPr>
            </w:pPr>
            <w:r>
              <w:rPr>
                <w:rFonts w:eastAsiaTheme="majorEastAsia"/>
              </w:rPr>
              <w:t>1,486</w:t>
            </w:r>
          </w:p>
        </w:tc>
      </w:tr>
      <w:tr w:rsidR="00D609FD" w14:paraId="6F544F77" w14:textId="77777777" w:rsidTr="00D609FD">
        <w:tc>
          <w:tcPr>
            <w:tcW w:w="4928" w:type="dxa"/>
          </w:tcPr>
          <w:p w14:paraId="4475C714" w14:textId="107989B6" w:rsidR="00D609FD" w:rsidRPr="00D609FD" w:rsidRDefault="00D609FD" w:rsidP="00A25F17">
            <w:pPr>
              <w:rPr>
                <w:rFonts w:eastAsiaTheme="majorEastAsia"/>
                <w:b/>
              </w:rPr>
            </w:pPr>
            <w:r w:rsidRPr="00D609FD">
              <w:rPr>
                <w:rFonts w:eastAsiaTheme="majorEastAsia"/>
                <w:b/>
              </w:rPr>
              <w:t>Total Expenses</w:t>
            </w:r>
          </w:p>
        </w:tc>
        <w:tc>
          <w:tcPr>
            <w:tcW w:w="1559" w:type="dxa"/>
            <w:tcBorders>
              <w:bottom w:val="single" w:sz="4" w:space="0" w:color="auto"/>
            </w:tcBorders>
            <w:shd w:val="clear" w:color="auto" w:fill="F5EDC1" w:themeFill="accent4"/>
          </w:tcPr>
          <w:p w14:paraId="75632440" w14:textId="21A4B9CD" w:rsidR="00D609FD" w:rsidRPr="00D609FD" w:rsidRDefault="00D609FD" w:rsidP="00D609FD">
            <w:pPr>
              <w:jc w:val="right"/>
              <w:rPr>
                <w:rFonts w:eastAsiaTheme="majorEastAsia"/>
                <w:b/>
              </w:rPr>
            </w:pPr>
            <w:r w:rsidRPr="00D609FD">
              <w:rPr>
                <w:rFonts w:eastAsiaTheme="majorEastAsia"/>
                <w:b/>
              </w:rPr>
              <w:t>10,123</w:t>
            </w:r>
          </w:p>
        </w:tc>
        <w:tc>
          <w:tcPr>
            <w:tcW w:w="1559" w:type="dxa"/>
            <w:tcBorders>
              <w:bottom w:val="single" w:sz="4" w:space="0" w:color="auto"/>
            </w:tcBorders>
            <w:shd w:val="clear" w:color="auto" w:fill="D4E2E0" w:themeFill="accent5"/>
          </w:tcPr>
          <w:p w14:paraId="7772B138" w14:textId="4778A72B" w:rsidR="00D609FD" w:rsidRPr="00D609FD" w:rsidRDefault="00D609FD" w:rsidP="00D609FD">
            <w:pPr>
              <w:jc w:val="right"/>
              <w:rPr>
                <w:rFonts w:eastAsiaTheme="majorEastAsia"/>
                <w:b/>
              </w:rPr>
            </w:pPr>
            <w:r w:rsidRPr="00D609FD">
              <w:rPr>
                <w:rFonts w:eastAsiaTheme="majorEastAsia"/>
                <w:b/>
              </w:rPr>
              <w:t>13,015</w:t>
            </w:r>
          </w:p>
        </w:tc>
        <w:tc>
          <w:tcPr>
            <w:tcW w:w="1560" w:type="dxa"/>
            <w:tcBorders>
              <w:bottom w:val="single" w:sz="4" w:space="0" w:color="auto"/>
            </w:tcBorders>
            <w:shd w:val="clear" w:color="auto" w:fill="F5EDC1" w:themeFill="accent4"/>
          </w:tcPr>
          <w:p w14:paraId="0605A8DC" w14:textId="7AB1F136" w:rsidR="00D609FD" w:rsidRPr="00D609FD" w:rsidRDefault="00D609FD" w:rsidP="00D609FD">
            <w:pPr>
              <w:jc w:val="right"/>
              <w:rPr>
                <w:rFonts w:eastAsiaTheme="majorEastAsia"/>
                <w:b/>
              </w:rPr>
            </w:pPr>
            <w:r w:rsidRPr="00D609FD">
              <w:rPr>
                <w:rFonts w:eastAsiaTheme="majorEastAsia"/>
                <w:b/>
              </w:rPr>
              <w:t>11,443</w:t>
            </w:r>
          </w:p>
        </w:tc>
        <w:tc>
          <w:tcPr>
            <w:tcW w:w="1559" w:type="dxa"/>
            <w:tcBorders>
              <w:bottom w:val="single" w:sz="4" w:space="0" w:color="auto"/>
            </w:tcBorders>
            <w:shd w:val="clear" w:color="auto" w:fill="D4E2E0" w:themeFill="accent5"/>
          </w:tcPr>
          <w:p w14:paraId="222BA89C" w14:textId="177FA798" w:rsidR="00D609FD" w:rsidRPr="00D609FD" w:rsidRDefault="00D609FD" w:rsidP="00D609FD">
            <w:pPr>
              <w:jc w:val="right"/>
              <w:rPr>
                <w:rFonts w:eastAsiaTheme="majorEastAsia"/>
                <w:b/>
              </w:rPr>
            </w:pPr>
            <w:r w:rsidRPr="00D609FD">
              <w:rPr>
                <w:rFonts w:eastAsiaTheme="majorEastAsia"/>
                <w:b/>
              </w:rPr>
              <w:t>14,772</w:t>
            </w:r>
          </w:p>
        </w:tc>
        <w:tc>
          <w:tcPr>
            <w:tcW w:w="1559" w:type="dxa"/>
            <w:tcBorders>
              <w:bottom w:val="single" w:sz="4" w:space="0" w:color="auto"/>
            </w:tcBorders>
            <w:shd w:val="clear" w:color="auto" w:fill="F5EDC1" w:themeFill="accent4"/>
          </w:tcPr>
          <w:p w14:paraId="7FF03459" w14:textId="64BBB7C8" w:rsidR="00D609FD" w:rsidRPr="00D609FD" w:rsidRDefault="004C140C" w:rsidP="00D609FD">
            <w:pPr>
              <w:jc w:val="right"/>
              <w:rPr>
                <w:rFonts w:eastAsiaTheme="majorEastAsia"/>
                <w:b/>
              </w:rPr>
            </w:pPr>
            <w:r>
              <w:rPr>
                <w:rFonts w:eastAsiaTheme="majorEastAsia"/>
                <w:b/>
              </w:rPr>
              <w:t>21,566</w:t>
            </w:r>
          </w:p>
        </w:tc>
        <w:tc>
          <w:tcPr>
            <w:tcW w:w="1450" w:type="dxa"/>
            <w:tcBorders>
              <w:bottom w:val="single" w:sz="4" w:space="0" w:color="auto"/>
            </w:tcBorders>
            <w:shd w:val="clear" w:color="auto" w:fill="D4E2E0" w:themeFill="accent5"/>
          </w:tcPr>
          <w:p w14:paraId="3D1525B4" w14:textId="10D85371" w:rsidR="00D609FD" w:rsidRPr="00D609FD" w:rsidRDefault="004C140C" w:rsidP="00D609FD">
            <w:pPr>
              <w:jc w:val="right"/>
              <w:rPr>
                <w:rFonts w:eastAsiaTheme="majorEastAsia"/>
                <w:b/>
              </w:rPr>
            </w:pPr>
            <w:r>
              <w:rPr>
                <w:rFonts w:eastAsiaTheme="majorEastAsia"/>
                <w:b/>
              </w:rPr>
              <w:t>27,787</w:t>
            </w:r>
          </w:p>
        </w:tc>
      </w:tr>
      <w:tr w:rsidR="00D609FD" w14:paraId="4C20CE75" w14:textId="77777777" w:rsidTr="00D609FD">
        <w:tc>
          <w:tcPr>
            <w:tcW w:w="4928" w:type="dxa"/>
          </w:tcPr>
          <w:p w14:paraId="3CD38216" w14:textId="77777777" w:rsidR="00D609FD" w:rsidRDefault="00D609FD" w:rsidP="00A25F17">
            <w:pPr>
              <w:rPr>
                <w:rFonts w:eastAsiaTheme="majorEastAsia"/>
              </w:rPr>
            </w:pPr>
          </w:p>
        </w:tc>
        <w:tc>
          <w:tcPr>
            <w:tcW w:w="1559" w:type="dxa"/>
            <w:tcBorders>
              <w:top w:val="single" w:sz="4" w:space="0" w:color="auto"/>
            </w:tcBorders>
            <w:shd w:val="clear" w:color="auto" w:fill="FFFFFF" w:themeFill="background1"/>
          </w:tcPr>
          <w:p w14:paraId="19326CA6" w14:textId="77777777" w:rsidR="00D609FD" w:rsidRDefault="00D609FD" w:rsidP="00D609FD">
            <w:pPr>
              <w:jc w:val="right"/>
              <w:rPr>
                <w:rFonts w:eastAsiaTheme="majorEastAsia"/>
              </w:rPr>
            </w:pPr>
          </w:p>
        </w:tc>
        <w:tc>
          <w:tcPr>
            <w:tcW w:w="1559" w:type="dxa"/>
            <w:tcBorders>
              <w:top w:val="single" w:sz="4" w:space="0" w:color="auto"/>
            </w:tcBorders>
            <w:shd w:val="clear" w:color="auto" w:fill="FFFFFF" w:themeFill="background1"/>
          </w:tcPr>
          <w:p w14:paraId="3E7EC9F0" w14:textId="77777777" w:rsidR="00D609FD" w:rsidRDefault="00D609FD" w:rsidP="00D609FD">
            <w:pPr>
              <w:jc w:val="right"/>
              <w:rPr>
                <w:rFonts w:eastAsiaTheme="majorEastAsia"/>
              </w:rPr>
            </w:pPr>
          </w:p>
        </w:tc>
        <w:tc>
          <w:tcPr>
            <w:tcW w:w="1560" w:type="dxa"/>
            <w:tcBorders>
              <w:top w:val="single" w:sz="4" w:space="0" w:color="auto"/>
            </w:tcBorders>
            <w:shd w:val="clear" w:color="auto" w:fill="FFFFFF" w:themeFill="background1"/>
          </w:tcPr>
          <w:p w14:paraId="2115C76B" w14:textId="77777777" w:rsidR="00D609FD" w:rsidRDefault="00D609FD" w:rsidP="00D609FD">
            <w:pPr>
              <w:jc w:val="right"/>
              <w:rPr>
                <w:rFonts w:eastAsiaTheme="majorEastAsia"/>
              </w:rPr>
            </w:pPr>
          </w:p>
        </w:tc>
        <w:tc>
          <w:tcPr>
            <w:tcW w:w="1559" w:type="dxa"/>
            <w:tcBorders>
              <w:top w:val="single" w:sz="4" w:space="0" w:color="auto"/>
            </w:tcBorders>
            <w:shd w:val="clear" w:color="auto" w:fill="FFFFFF" w:themeFill="background1"/>
          </w:tcPr>
          <w:p w14:paraId="5B90156F" w14:textId="77777777" w:rsidR="00D609FD" w:rsidRDefault="00D609FD" w:rsidP="00D609FD">
            <w:pPr>
              <w:jc w:val="right"/>
              <w:rPr>
                <w:rFonts w:eastAsiaTheme="majorEastAsia"/>
              </w:rPr>
            </w:pPr>
          </w:p>
        </w:tc>
        <w:tc>
          <w:tcPr>
            <w:tcW w:w="1559" w:type="dxa"/>
            <w:tcBorders>
              <w:top w:val="single" w:sz="4" w:space="0" w:color="auto"/>
            </w:tcBorders>
            <w:shd w:val="clear" w:color="auto" w:fill="FFFFFF" w:themeFill="background1"/>
          </w:tcPr>
          <w:p w14:paraId="41931AB1" w14:textId="77777777" w:rsidR="00D609FD" w:rsidRDefault="00D609FD" w:rsidP="00D609FD">
            <w:pPr>
              <w:jc w:val="right"/>
              <w:rPr>
                <w:rFonts w:eastAsiaTheme="majorEastAsia"/>
              </w:rPr>
            </w:pPr>
          </w:p>
        </w:tc>
        <w:tc>
          <w:tcPr>
            <w:tcW w:w="1450" w:type="dxa"/>
            <w:tcBorders>
              <w:top w:val="single" w:sz="4" w:space="0" w:color="auto"/>
            </w:tcBorders>
            <w:shd w:val="clear" w:color="auto" w:fill="FFFFFF" w:themeFill="background1"/>
          </w:tcPr>
          <w:p w14:paraId="4373CA33" w14:textId="77777777" w:rsidR="00D609FD" w:rsidRDefault="00D609FD" w:rsidP="00D609FD">
            <w:pPr>
              <w:jc w:val="right"/>
              <w:rPr>
                <w:rFonts w:eastAsiaTheme="majorEastAsia"/>
              </w:rPr>
            </w:pPr>
          </w:p>
        </w:tc>
      </w:tr>
      <w:tr w:rsidR="00D609FD" w14:paraId="178A924C" w14:textId="77777777" w:rsidTr="009928D4">
        <w:tc>
          <w:tcPr>
            <w:tcW w:w="4928" w:type="dxa"/>
          </w:tcPr>
          <w:p w14:paraId="2FFAA5DD" w14:textId="5DC28EA7" w:rsidR="00D609FD" w:rsidRPr="00D609FD" w:rsidRDefault="00D609FD" w:rsidP="00A25F17">
            <w:pPr>
              <w:rPr>
                <w:rFonts w:eastAsiaTheme="majorEastAsia"/>
                <w:b/>
              </w:rPr>
            </w:pPr>
            <w:r w:rsidRPr="00D609FD">
              <w:rPr>
                <w:rFonts w:eastAsiaTheme="majorEastAsia"/>
                <w:b/>
              </w:rPr>
              <w:t>Profit before grants and subsidies from State Government</w:t>
            </w:r>
          </w:p>
        </w:tc>
        <w:tc>
          <w:tcPr>
            <w:tcW w:w="1559" w:type="dxa"/>
            <w:tcBorders>
              <w:bottom w:val="single" w:sz="4" w:space="0" w:color="auto"/>
            </w:tcBorders>
            <w:shd w:val="clear" w:color="auto" w:fill="F5EDC1" w:themeFill="accent4"/>
          </w:tcPr>
          <w:p w14:paraId="3DB9CCF4" w14:textId="39167A70" w:rsidR="00D609FD" w:rsidRPr="00D609FD" w:rsidRDefault="004C140C" w:rsidP="00D609FD">
            <w:pPr>
              <w:jc w:val="right"/>
              <w:rPr>
                <w:rFonts w:eastAsiaTheme="majorEastAsia"/>
                <w:b/>
              </w:rPr>
            </w:pPr>
            <w:r>
              <w:rPr>
                <w:rFonts w:eastAsiaTheme="majorEastAsia"/>
                <w:b/>
              </w:rPr>
              <w:t>8,312</w:t>
            </w:r>
          </w:p>
        </w:tc>
        <w:tc>
          <w:tcPr>
            <w:tcW w:w="1559" w:type="dxa"/>
            <w:tcBorders>
              <w:bottom w:val="single" w:sz="4" w:space="0" w:color="auto"/>
            </w:tcBorders>
            <w:shd w:val="clear" w:color="auto" w:fill="D4E2E0" w:themeFill="accent5"/>
          </w:tcPr>
          <w:p w14:paraId="1BF872ED" w14:textId="499A8C52" w:rsidR="00D609FD" w:rsidRPr="00D609FD" w:rsidRDefault="00D609FD" w:rsidP="00D609FD">
            <w:pPr>
              <w:jc w:val="right"/>
              <w:rPr>
                <w:rFonts w:eastAsiaTheme="majorEastAsia"/>
                <w:b/>
              </w:rPr>
            </w:pPr>
            <w:r w:rsidRPr="00D609FD">
              <w:rPr>
                <w:rFonts w:eastAsiaTheme="majorEastAsia"/>
                <w:b/>
              </w:rPr>
              <w:t>3,249</w:t>
            </w:r>
          </w:p>
        </w:tc>
        <w:tc>
          <w:tcPr>
            <w:tcW w:w="1560" w:type="dxa"/>
            <w:tcBorders>
              <w:bottom w:val="single" w:sz="4" w:space="0" w:color="auto"/>
            </w:tcBorders>
            <w:shd w:val="clear" w:color="auto" w:fill="F5EDC1" w:themeFill="accent4"/>
          </w:tcPr>
          <w:p w14:paraId="255DB01D" w14:textId="49060626" w:rsidR="00D609FD" w:rsidRPr="00D609FD" w:rsidRDefault="00D609FD" w:rsidP="00D609FD">
            <w:pPr>
              <w:jc w:val="right"/>
              <w:rPr>
                <w:rFonts w:eastAsiaTheme="majorEastAsia"/>
                <w:b/>
              </w:rPr>
            </w:pPr>
            <w:r w:rsidRPr="00D609FD">
              <w:rPr>
                <w:rFonts w:eastAsiaTheme="majorEastAsia"/>
                <w:b/>
              </w:rPr>
              <w:t>9,401</w:t>
            </w:r>
          </w:p>
        </w:tc>
        <w:tc>
          <w:tcPr>
            <w:tcW w:w="1559" w:type="dxa"/>
            <w:tcBorders>
              <w:bottom w:val="single" w:sz="4" w:space="0" w:color="auto"/>
            </w:tcBorders>
            <w:shd w:val="clear" w:color="auto" w:fill="D4E2E0" w:themeFill="accent5"/>
          </w:tcPr>
          <w:p w14:paraId="1639FCFD" w14:textId="0726A9EA" w:rsidR="00D609FD" w:rsidRPr="00D609FD" w:rsidRDefault="00D609FD" w:rsidP="00D609FD">
            <w:pPr>
              <w:jc w:val="right"/>
              <w:rPr>
                <w:rFonts w:eastAsiaTheme="majorEastAsia"/>
                <w:b/>
              </w:rPr>
            </w:pPr>
            <w:r w:rsidRPr="00D609FD">
              <w:rPr>
                <w:rFonts w:eastAsiaTheme="majorEastAsia"/>
                <w:b/>
              </w:rPr>
              <w:t>3,685</w:t>
            </w:r>
          </w:p>
        </w:tc>
        <w:tc>
          <w:tcPr>
            <w:tcW w:w="1559" w:type="dxa"/>
            <w:tcBorders>
              <w:bottom w:val="single" w:sz="4" w:space="0" w:color="auto"/>
            </w:tcBorders>
            <w:shd w:val="clear" w:color="auto" w:fill="F5EDC1" w:themeFill="accent4"/>
          </w:tcPr>
          <w:p w14:paraId="49AB2F15" w14:textId="49A907BC" w:rsidR="00D609FD" w:rsidRPr="00D609FD" w:rsidRDefault="004C140C" w:rsidP="00D609FD">
            <w:pPr>
              <w:jc w:val="right"/>
              <w:rPr>
                <w:rFonts w:eastAsiaTheme="majorEastAsia"/>
                <w:b/>
              </w:rPr>
            </w:pPr>
            <w:r>
              <w:rPr>
                <w:rFonts w:eastAsiaTheme="majorEastAsia"/>
                <w:b/>
              </w:rPr>
              <w:t>17,713</w:t>
            </w:r>
          </w:p>
        </w:tc>
        <w:tc>
          <w:tcPr>
            <w:tcW w:w="1450" w:type="dxa"/>
            <w:tcBorders>
              <w:bottom w:val="single" w:sz="4" w:space="0" w:color="auto"/>
            </w:tcBorders>
            <w:shd w:val="clear" w:color="auto" w:fill="D4E2E0" w:themeFill="accent5"/>
          </w:tcPr>
          <w:p w14:paraId="473A02CF" w14:textId="695FB624" w:rsidR="00D609FD" w:rsidRPr="00D609FD" w:rsidRDefault="004C140C" w:rsidP="00D609FD">
            <w:pPr>
              <w:jc w:val="right"/>
              <w:rPr>
                <w:rFonts w:eastAsiaTheme="majorEastAsia"/>
                <w:b/>
              </w:rPr>
            </w:pPr>
            <w:r>
              <w:rPr>
                <w:rFonts w:eastAsiaTheme="majorEastAsia"/>
                <w:b/>
              </w:rPr>
              <w:t>6,934</w:t>
            </w:r>
          </w:p>
        </w:tc>
      </w:tr>
      <w:tr w:rsidR="00D609FD" w14:paraId="06C04810" w14:textId="77777777" w:rsidTr="009928D4">
        <w:tc>
          <w:tcPr>
            <w:tcW w:w="4928" w:type="dxa"/>
          </w:tcPr>
          <w:p w14:paraId="5DA5B838" w14:textId="033A9034" w:rsidR="00D609FD" w:rsidRDefault="009928D4" w:rsidP="00A25F17">
            <w:pPr>
              <w:rPr>
                <w:rFonts w:eastAsiaTheme="majorEastAsia"/>
              </w:rPr>
            </w:pPr>
            <w:r>
              <w:rPr>
                <w:rFonts w:eastAsiaTheme="majorEastAsia"/>
              </w:rPr>
              <w:t>Services received free of charges</w:t>
            </w:r>
          </w:p>
        </w:tc>
        <w:tc>
          <w:tcPr>
            <w:tcW w:w="1559" w:type="dxa"/>
            <w:tcBorders>
              <w:top w:val="single" w:sz="4" w:space="0" w:color="auto"/>
            </w:tcBorders>
            <w:shd w:val="clear" w:color="auto" w:fill="F5EDC1" w:themeFill="accent4"/>
          </w:tcPr>
          <w:p w14:paraId="3999283E" w14:textId="78BACB97" w:rsidR="00D609FD" w:rsidRDefault="009928D4" w:rsidP="00D609FD">
            <w:pPr>
              <w:jc w:val="right"/>
              <w:rPr>
                <w:rFonts w:eastAsiaTheme="majorEastAsia"/>
              </w:rPr>
            </w:pPr>
            <w:r>
              <w:rPr>
                <w:rFonts w:eastAsiaTheme="majorEastAsia"/>
              </w:rPr>
              <w:t>99</w:t>
            </w:r>
          </w:p>
        </w:tc>
        <w:tc>
          <w:tcPr>
            <w:tcW w:w="1559" w:type="dxa"/>
            <w:tcBorders>
              <w:top w:val="single" w:sz="4" w:space="0" w:color="auto"/>
            </w:tcBorders>
            <w:shd w:val="clear" w:color="auto" w:fill="D4E2E0" w:themeFill="accent5"/>
          </w:tcPr>
          <w:p w14:paraId="43A99B94" w14:textId="3121629C" w:rsidR="00D609FD" w:rsidRDefault="009928D4" w:rsidP="00D609FD">
            <w:pPr>
              <w:jc w:val="right"/>
              <w:rPr>
                <w:rFonts w:eastAsiaTheme="majorEastAsia"/>
              </w:rPr>
            </w:pPr>
            <w:r>
              <w:rPr>
                <w:rFonts w:eastAsiaTheme="majorEastAsia"/>
              </w:rPr>
              <w:t>108</w:t>
            </w:r>
          </w:p>
        </w:tc>
        <w:tc>
          <w:tcPr>
            <w:tcW w:w="1560" w:type="dxa"/>
            <w:tcBorders>
              <w:top w:val="single" w:sz="4" w:space="0" w:color="auto"/>
            </w:tcBorders>
            <w:shd w:val="clear" w:color="auto" w:fill="F5EDC1" w:themeFill="accent4"/>
          </w:tcPr>
          <w:p w14:paraId="5CC25A6D" w14:textId="68D0C3BA" w:rsidR="00D609FD" w:rsidRDefault="009928D4" w:rsidP="00D609FD">
            <w:pPr>
              <w:jc w:val="right"/>
              <w:rPr>
                <w:rFonts w:eastAsiaTheme="majorEastAsia"/>
              </w:rPr>
            </w:pPr>
            <w:r>
              <w:rPr>
                <w:rFonts w:eastAsiaTheme="majorEastAsia"/>
              </w:rPr>
              <w:t>112</w:t>
            </w:r>
          </w:p>
        </w:tc>
        <w:tc>
          <w:tcPr>
            <w:tcW w:w="1559" w:type="dxa"/>
            <w:tcBorders>
              <w:top w:val="single" w:sz="4" w:space="0" w:color="auto"/>
            </w:tcBorders>
            <w:shd w:val="clear" w:color="auto" w:fill="D4E2E0" w:themeFill="accent5"/>
          </w:tcPr>
          <w:p w14:paraId="2713E363" w14:textId="2BF1943B" w:rsidR="00D609FD" w:rsidRDefault="009928D4" w:rsidP="00D609FD">
            <w:pPr>
              <w:jc w:val="right"/>
              <w:rPr>
                <w:rFonts w:eastAsiaTheme="majorEastAsia"/>
              </w:rPr>
            </w:pPr>
            <w:r>
              <w:rPr>
                <w:rFonts w:eastAsiaTheme="majorEastAsia"/>
              </w:rPr>
              <w:t>122</w:t>
            </w:r>
          </w:p>
        </w:tc>
        <w:tc>
          <w:tcPr>
            <w:tcW w:w="1559" w:type="dxa"/>
            <w:tcBorders>
              <w:top w:val="single" w:sz="4" w:space="0" w:color="auto"/>
            </w:tcBorders>
            <w:shd w:val="clear" w:color="auto" w:fill="F5EDC1" w:themeFill="accent4"/>
          </w:tcPr>
          <w:p w14:paraId="410713FF" w14:textId="6DD07738" w:rsidR="00D609FD" w:rsidRDefault="009928D4" w:rsidP="00D609FD">
            <w:pPr>
              <w:jc w:val="right"/>
              <w:rPr>
                <w:rFonts w:eastAsiaTheme="majorEastAsia"/>
              </w:rPr>
            </w:pPr>
            <w:r>
              <w:rPr>
                <w:rFonts w:eastAsiaTheme="majorEastAsia"/>
              </w:rPr>
              <w:t>211</w:t>
            </w:r>
          </w:p>
        </w:tc>
        <w:tc>
          <w:tcPr>
            <w:tcW w:w="1450" w:type="dxa"/>
            <w:tcBorders>
              <w:top w:val="single" w:sz="4" w:space="0" w:color="auto"/>
            </w:tcBorders>
            <w:shd w:val="clear" w:color="auto" w:fill="D4E2E0" w:themeFill="accent5"/>
          </w:tcPr>
          <w:p w14:paraId="4796FEF8" w14:textId="717A8CBD" w:rsidR="00D609FD" w:rsidRDefault="009928D4" w:rsidP="00D609FD">
            <w:pPr>
              <w:jc w:val="right"/>
              <w:rPr>
                <w:rFonts w:eastAsiaTheme="majorEastAsia"/>
              </w:rPr>
            </w:pPr>
            <w:r>
              <w:rPr>
                <w:rFonts w:eastAsiaTheme="majorEastAsia"/>
              </w:rPr>
              <w:t>230</w:t>
            </w:r>
          </w:p>
        </w:tc>
      </w:tr>
      <w:tr w:rsidR="009928D4" w14:paraId="21210F1B" w14:textId="77777777" w:rsidTr="009928D4">
        <w:tc>
          <w:tcPr>
            <w:tcW w:w="4928" w:type="dxa"/>
          </w:tcPr>
          <w:p w14:paraId="46758C3E" w14:textId="0C4D331D" w:rsidR="009928D4" w:rsidRPr="009928D4" w:rsidRDefault="009928D4" w:rsidP="00A25F17">
            <w:pPr>
              <w:rPr>
                <w:rFonts w:eastAsiaTheme="majorEastAsia"/>
                <w:b/>
              </w:rPr>
            </w:pPr>
            <w:r w:rsidRPr="009928D4">
              <w:rPr>
                <w:rFonts w:eastAsiaTheme="majorEastAsia"/>
                <w:b/>
              </w:rPr>
              <w:t>Profit for the period</w:t>
            </w:r>
          </w:p>
        </w:tc>
        <w:tc>
          <w:tcPr>
            <w:tcW w:w="1559" w:type="dxa"/>
            <w:tcBorders>
              <w:bottom w:val="single" w:sz="4" w:space="0" w:color="auto"/>
            </w:tcBorders>
            <w:shd w:val="clear" w:color="auto" w:fill="F5EDC1" w:themeFill="accent4"/>
          </w:tcPr>
          <w:p w14:paraId="2691F786" w14:textId="5B1FF4A3" w:rsidR="009928D4" w:rsidRPr="009928D4" w:rsidRDefault="004C140C" w:rsidP="00D609FD">
            <w:pPr>
              <w:jc w:val="right"/>
              <w:rPr>
                <w:rFonts w:eastAsiaTheme="majorEastAsia"/>
                <w:b/>
              </w:rPr>
            </w:pPr>
            <w:r>
              <w:rPr>
                <w:rFonts w:eastAsiaTheme="majorEastAsia"/>
                <w:b/>
              </w:rPr>
              <w:t>8,411</w:t>
            </w:r>
          </w:p>
        </w:tc>
        <w:tc>
          <w:tcPr>
            <w:tcW w:w="1559" w:type="dxa"/>
            <w:tcBorders>
              <w:bottom w:val="single" w:sz="4" w:space="0" w:color="auto"/>
            </w:tcBorders>
            <w:shd w:val="clear" w:color="auto" w:fill="D4E2E0" w:themeFill="accent5"/>
          </w:tcPr>
          <w:p w14:paraId="48D190B8" w14:textId="2B0E79FD" w:rsidR="009928D4" w:rsidRPr="009928D4" w:rsidRDefault="009928D4" w:rsidP="00D609FD">
            <w:pPr>
              <w:jc w:val="right"/>
              <w:rPr>
                <w:rFonts w:eastAsiaTheme="majorEastAsia"/>
                <w:b/>
              </w:rPr>
            </w:pPr>
            <w:r w:rsidRPr="009928D4">
              <w:rPr>
                <w:rFonts w:eastAsiaTheme="majorEastAsia"/>
                <w:b/>
              </w:rPr>
              <w:t>3,357</w:t>
            </w:r>
          </w:p>
        </w:tc>
        <w:tc>
          <w:tcPr>
            <w:tcW w:w="1560" w:type="dxa"/>
            <w:tcBorders>
              <w:bottom w:val="single" w:sz="4" w:space="0" w:color="auto"/>
            </w:tcBorders>
            <w:shd w:val="clear" w:color="auto" w:fill="F5EDC1" w:themeFill="accent4"/>
          </w:tcPr>
          <w:p w14:paraId="2AA9AFCC" w14:textId="656AB141" w:rsidR="009928D4" w:rsidRPr="009928D4" w:rsidRDefault="009928D4" w:rsidP="00D609FD">
            <w:pPr>
              <w:jc w:val="right"/>
              <w:rPr>
                <w:rFonts w:eastAsiaTheme="majorEastAsia"/>
                <w:b/>
              </w:rPr>
            </w:pPr>
            <w:r w:rsidRPr="009928D4">
              <w:rPr>
                <w:rFonts w:eastAsiaTheme="majorEastAsia"/>
                <w:b/>
              </w:rPr>
              <w:t>9,513</w:t>
            </w:r>
          </w:p>
        </w:tc>
        <w:tc>
          <w:tcPr>
            <w:tcW w:w="1559" w:type="dxa"/>
            <w:tcBorders>
              <w:bottom w:val="single" w:sz="4" w:space="0" w:color="auto"/>
            </w:tcBorders>
            <w:shd w:val="clear" w:color="auto" w:fill="D4E2E0" w:themeFill="accent5"/>
          </w:tcPr>
          <w:p w14:paraId="4AC9ED7D" w14:textId="491EFC5B" w:rsidR="009928D4" w:rsidRPr="009928D4" w:rsidRDefault="009928D4" w:rsidP="00D609FD">
            <w:pPr>
              <w:jc w:val="right"/>
              <w:rPr>
                <w:rFonts w:eastAsiaTheme="majorEastAsia"/>
                <w:b/>
              </w:rPr>
            </w:pPr>
            <w:r w:rsidRPr="009928D4">
              <w:rPr>
                <w:rFonts w:eastAsiaTheme="majorEastAsia"/>
                <w:b/>
              </w:rPr>
              <w:t>3,807</w:t>
            </w:r>
          </w:p>
        </w:tc>
        <w:tc>
          <w:tcPr>
            <w:tcW w:w="1559" w:type="dxa"/>
            <w:tcBorders>
              <w:bottom w:val="single" w:sz="4" w:space="0" w:color="auto"/>
            </w:tcBorders>
            <w:shd w:val="clear" w:color="auto" w:fill="F5EDC1" w:themeFill="accent4"/>
          </w:tcPr>
          <w:p w14:paraId="3FA8C015" w14:textId="3232A92B" w:rsidR="009928D4" w:rsidRPr="009928D4" w:rsidRDefault="004C140C" w:rsidP="00D609FD">
            <w:pPr>
              <w:jc w:val="right"/>
              <w:rPr>
                <w:rFonts w:eastAsiaTheme="majorEastAsia"/>
                <w:b/>
              </w:rPr>
            </w:pPr>
            <w:r>
              <w:rPr>
                <w:rFonts w:eastAsiaTheme="majorEastAsia"/>
                <w:b/>
              </w:rPr>
              <w:t>17,924</w:t>
            </w:r>
          </w:p>
        </w:tc>
        <w:tc>
          <w:tcPr>
            <w:tcW w:w="1450" w:type="dxa"/>
            <w:tcBorders>
              <w:bottom w:val="single" w:sz="4" w:space="0" w:color="auto"/>
            </w:tcBorders>
            <w:shd w:val="clear" w:color="auto" w:fill="D4E2E0" w:themeFill="accent5"/>
          </w:tcPr>
          <w:p w14:paraId="47DDC024" w14:textId="3555B5F9" w:rsidR="009928D4" w:rsidRPr="009928D4" w:rsidRDefault="004C140C" w:rsidP="00D609FD">
            <w:pPr>
              <w:jc w:val="right"/>
              <w:rPr>
                <w:rFonts w:eastAsiaTheme="majorEastAsia"/>
                <w:b/>
              </w:rPr>
            </w:pPr>
            <w:r>
              <w:rPr>
                <w:rFonts w:eastAsiaTheme="majorEastAsia"/>
                <w:b/>
              </w:rPr>
              <w:t>7,164</w:t>
            </w:r>
          </w:p>
        </w:tc>
      </w:tr>
    </w:tbl>
    <w:p w14:paraId="17050360" w14:textId="77777777" w:rsidR="00804F50" w:rsidRDefault="00804F50" w:rsidP="00A25F17">
      <w:pPr>
        <w:rPr>
          <w:rFonts w:eastAsiaTheme="majorEastAsia"/>
        </w:rPr>
        <w:sectPr w:rsidR="00804F50" w:rsidSect="00A25F17">
          <w:pgSz w:w="16838" w:h="11906" w:orient="landscape"/>
          <w:pgMar w:top="1440" w:right="1440" w:bottom="1440" w:left="1440" w:header="709" w:footer="0" w:gutter="0"/>
          <w:cols w:space="708"/>
          <w:docGrid w:linePitch="360"/>
        </w:sectPr>
      </w:pPr>
    </w:p>
    <w:p w14:paraId="7A6E268C" w14:textId="52597697" w:rsidR="00A25F17" w:rsidRPr="00884442" w:rsidRDefault="000C10D6" w:rsidP="005869C3">
      <w:pPr>
        <w:ind w:left="-709"/>
        <w:rPr>
          <w:rFonts w:eastAsiaTheme="majorEastAsia"/>
        </w:rPr>
      </w:pPr>
      <w:r>
        <w:rPr>
          <w:noProof/>
        </w:rPr>
        <w:drawing>
          <wp:anchor distT="0" distB="0" distL="114300" distR="114300" simplePos="0" relativeHeight="251743232" behindDoc="0" locked="0" layoutInCell="1" allowOverlap="1" wp14:anchorId="3DEC77AF" wp14:editId="5F8FD8FF">
            <wp:simplePos x="0" y="0"/>
            <wp:positionH relativeFrom="column">
              <wp:posOffset>-477520</wp:posOffset>
            </wp:positionH>
            <wp:positionV relativeFrom="paragraph">
              <wp:posOffset>-737870</wp:posOffset>
            </wp:positionV>
            <wp:extent cx="7596505" cy="10695940"/>
            <wp:effectExtent l="0" t="0" r="4445" b="0"/>
            <wp:wrapNone/>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96505" cy="10695940"/>
                    </a:xfrm>
                    <a:prstGeom prst="rect">
                      <a:avLst/>
                    </a:prstGeom>
                    <a:noFill/>
                  </pic:spPr>
                </pic:pic>
              </a:graphicData>
            </a:graphic>
            <wp14:sizeRelH relativeFrom="page">
              <wp14:pctWidth>0</wp14:pctWidth>
            </wp14:sizeRelH>
            <wp14:sizeRelV relativeFrom="page">
              <wp14:pctHeight>0</wp14:pctHeight>
            </wp14:sizeRelV>
          </wp:anchor>
        </w:drawing>
      </w:r>
    </w:p>
    <w:sectPr w:rsidR="00A25F17" w:rsidRPr="00884442" w:rsidSect="005869C3">
      <w:pgSz w:w="11906" w:h="16838"/>
      <w:pgMar w:top="11" w:right="720" w:bottom="720" w:left="72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05DA8" w14:textId="77777777" w:rsidR="00D609FD" w:rsidRDefault="00D609FD" w:rsidP="00852CCA">
      <w:pPr>
        <w:spacing w:after="0" w:line="240" w:lineRule="auto"/>
      </w:pPr>
      <w:r>
        <w:separator/>
      </w:r>
    </w:p>
  </w:endnote>
  <w:endnote w:type="continuationSeparator" w:id="0">
    <w:p w14:paraId="6E841ED0" w14:textId="77777777" w:rsidR="00D609FD" w:rsidRDefault="00D609FD" w:rsidP="00852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yriad Pro Light">
    <w:panose1 w:val="020B04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Gothic">
    <w:altName w:val="Calibri"/>
    <w:panose1 w:val="00000000000000000000"/>
    <w:charset w:val="00"/>
    <w:family w:val="auto"/>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Black">
    <w:panose1 w:val="020B0903030403020204"/>
    <w:charset w:val="00"/>
    <w:family w:val="swiss"/>
    <w:notTrueType/>
    <w:pitch w:val="variable"/>
    <w:sig w:usb0="20000287" w:usb1="00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74EF3" w14:textId="77777777" w:rsidR="00D609FD" w:rsidRDefault="00D609FD">
    <w:pPr>
      <w:pStyle w:val="Footer"/>
    </w:pPr>
  </w:p>
  <w:p w14:paraId="6C615C1A" w14:textId="77777777" w:rsidR="00D609FD" w:rsidRDefault="00D609FD"/>
  <w:p w14:paraId="0E7ED26F" w14:textId="77777777" w:rsidR="00D609FD" w:rsidRDefault="00D609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404732071"/>
      <w:docPartObj>
        <w:docPartGallery w:val="Page Numbers (Bottom of Page)"/>
        <w:docPartUnique/>
      </w:docPartObj>
    </w:sdtPr>
    <w:sdtEndPr>
      <w:rPr>
        <w:b/>
        <w:noProof/>
        <w:sz w:val="20"/>
      </w:rPr>
    </w:sdtEndPr>
    <w:sdtContent>
      <w:p w14:paraId="488DBA85" w14:textId="74933E72" w:rsidR="00D609FD" w:rsidRDefault="00D609FD" w:rsidP="00522D62">
        <w:pPr>
          <w:pStyle w:val="Footer"/>
          <w:rPr>
            <w:noProof w:val="0"/>
          </w:rPr>
        </w:pPr>
      </w:p>
      <w:p w14:paraId="744F6219" w14:textId="0B10D289" w:rsidR="00D609FD" w:rsidRDefault="00D609FD" w:rsidP="00522D62">
        <w:pPr>
          <w:pStyle w:val="Footer"/>
          <w:jc w:val="right"/>
          <w:rPr>
            <w:b/>
            <w:sz w:val="20"/>
          </w:rPr>
        </w:pPr>
        <w:r>
          <w:rPr>
            <w:b/>
            <w:sz w:val="20"/>
            <w:lang w:eastAsia="en-AU"/>
          </w:rPr>
          <w:drawing>
            <wp:anchor distT="0" distB="0" distL="114300" distR="114300" simplePos="0" relativeHeight="251680768" behindDoc="1" locked="0" layoutInCell="1" allowOverlap="1" wp14:anchorId="58C92C66" wp14:editId="39627BAD">
              <wp:simplePos x="0" y="0"/>
              <wp:positionH relativeFrom="column">
                <wp:posOffset>-923925</wp:posOffset>
              </wp:positionH>
              <wp:positionV relativeFrom="page">
                <wp:posOffset>10410825</wp:posOffset>
              </wp:positionV>
              <wp:extent cx="8582025" cy="275590"/>
              <wp:effectExtent l="0" t="0" r="9525" b="0"/>
              <wp:wrapTight wrapText="bothSides">
                <wp:wrapPolygon edited="0">
                  <wp:start x="0" y="0"/>
                  <wp:lineTo x="0" y="19410"/>
                  <wp:lineTo x="21576" y="19410"/>
                  <wp:lineTo x="2157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Doc_Footer_ApprovedDesign_1415.jpg"/>
                      <pic:cNvPicPr/>
                    </pic:nvPicPr>
                    <pic:blipFill rotWithShape="1">
                      <a:blip r:embed="rId1" cstate="print">
                        <a:extLst>
                          <a:ext uri="{28A0092B-C50C-407E-A947-70E740481C1C}">
                            <a14:useLocalDpi xmlns:a14="http://schemas.microsoft.com/office/drawing/2010/main" val="0"/>
                          </a:ext>
                        </a:extLst>
                      </a:blip>
                      <a:srcRect t="77472"/>
                      <a:stretch/>
                    </pic:blipFill>
                    <pic:spPr bwMode="auto">
                      <a:xfrm>
                        <a:off x="0" y="0"/>
                        <a:ext cx="8582025" cy="27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341">
          <w:rPr>
            <w:b/>
            <w:noProof w:val="0"/>
            <w:sz w:val="20"/>
          </w:rPr>
          <w:fldChar w:fldCharType="begin"/>
        </w:r>
        <w:r w:rsidRPr="00746341">
          <w:rPr>
            <w:b/>
            <w:sz w:val="20"/>
          </w:rPr>
          <w:instrText xml:space="preserve"> PAGE   \* MERGEFORMAT </w:instrText>
        </w:r>
        <w:r w:rsidRPr="00746341">
          <w:rPr>
            <w:b/>
            <w:noProof w:val="0"/>
            <w:sz w:val="20"/>
          </w:rPr>
          <w:fldChar w:fldCharType="separate"/>
        </w:r>
        <w:r w:rsidR="0085287F">
          <w:rPr>
            <w:b/>
            <w:sz w:val="20"/>
          </w:rPr>
          <w:t>3</w:t>
        </w:r>
        <w:r w:rsidRPr="00746341">
          <w:rPr>
            <w:b/>
            <w:sz w:val="20"/>
          </w:rPr>
          <w:fldChar w:fldCharType="end"/>
        </w:r>
      </w:p>
    </w:sdtContent>
  </w:sdt>
  <w:p w14:paraId="77C721F5" w14:textId="2E62457F" w:rsidR="00D609FD" w:rsidRPr="00746341" w:rsidRDefault="00D609FD" w:rsidP="00FE39B5">
    <w:pPr>
      <w:pStyle w:val="Footer"/>
      <w:tabs>
        <w:tab w:val="left" w:pos="1275"/>
        <w:tab w:val="right" w:pos="8837"/>
      </w:tabs>
      <w:rPr>
        <w:b/>
        <w:sz w:val="20"/>
      </w:rPr>
    </w:pPr>
    <w:r>
      <w:rPr>
        <w:b/>
        <w:sz w:val="20"/>
      </w:rPr>
      <w:tab/>
    </w:r>
    <w:r>
      <w:rPr>
        <w:b/>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327221766"/>
      <w:docPartObj>
        <w:docPartGallery w:val="Page Numbers (Bottom of Page)"/>
        <w:docPartUnique/>
      </w:docPartObj>
    </w:sdtPr>
    <w:sdtEndPr>
      <w:rPr>
        <w:noProof/>
      </w:rPr>
    </w:sdtEndPr>
    <w:sdtContent>
      <w:p w14:paraId="1F1DC95E" w14:textId="7F68C39C" w:rsidR="00D609FD" w:rsidRDefault="00D609FD">
        <w:pPr>
          <w:pStyle w:val="Footer"/>
          <w:jc w:val="right"/>
        </w:pPr>
        <w:r>
          <w:rPr>
            <w:b/>
            <w:sz w:val="20"/>
            <w:lang w:eastAsia="en-AU"/>
          </w:rPr>
          <w:drawing>
            <wp:anchor distT="0" distB="0" distL="114300" distR="114300" simplePos="0" relativeHeight="251682816" behindDoc="1" locked="0" layoutInCell="1" allowOverlap="1" wp14:anchorId="71253A1F" wp14:editId="0D2EF92F">
              <wp:simplePos x="0" y="0"/>
              <wp:positionH relativeFrom="column">
                <wp:posOffset>-1454046</wp:posOffset>
              </wp:positionH>
              <wp:positionV relativeFrom="page">
                <wp:posOffset>10403205</wp:posOffset>
              </wp:positionV>
              <wp:extent cx="8582025" cy="275590"/>
              <wp:effectExtent l="0" t="0" r="9525" b="0"/>
              <wp:wrapTight wrapText="bothSides">
                <wp:wrapPolygon edited="0">
                  <wp:start x="0" y="0"/>
                  <wp:lineTo x="0" y="19410"/>
                  <wp:lineTo x="21576" y="19410"/>
                  <wp:lineTo x="2157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Doc_Footer_ApprovedDesign_1415.jpg"/>
                      <pic:cNvPicPr/>
                    </pic:nvPicPr>
                    <pic:blipFill rotWithShape="1">
                      <a:blip r:embed="rId1" cstate="print">
                        <a:extLst>
                          <a:ext uri="{28A0092B-C50C-407E-A947-70E740481C1C}">
                            <a14:useLocalDpi xmlns:a14="http://schemas.microsoft.com/office/drawing/2010/main" val="0"/>
                          </a:ext>
                        </a:extLst>
                      </a:blip>
                      <a:srcRect t="77472"/>
                      <a:stretch/>
                    </pic:blipFill>
                    <pic:spPr bwMode="auto">
                      <a:xfrm>
                        <a:off x="0" y="0"/>
                        <a:ext cx="8582025" cy="27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val="0"/>
          </w:rPr>
          <w:fldChar w:fldCharType="begin"/>
        </w:r>
        <w:r>
          <w:instrText xml:space="preserve"> PAGE   \* MERGEFORMAT </w:instrText>
        </w:r>
        <w:r>
          <w:rPr>
            <w:noProof w:val="0"/>
          </w:rPr>
          <w:fldChar w:fldCharType="separate"/>
        </w:r>
        <w:r w:rsidR="0085287F">
          <w:t>166</w:t>
        </w:r>
        <w:r>
          <w:fldChar w:fldCharType="end"/>
        </w:r>
      </w:p>
    </w:sdtContent>
  </w:sdt>
  <w:p w14:paraId="5F357043" w14:textId="2A913151" w:rsidR="00D609FD" w:rsidRDefault="00D609FD" w:rsidP="00CD3AB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1E1BE" w14:textId="77777777" w:rsidR="00D609FD" w:rsidRDefault="00D609FD" w:rsidP="00852CCA">
      <w:pPr>
        <w:spacing w:after="0" w:line="240" w:lineRule="auto"/>
      </w:pPr>
      <w:r>
        <w:separator/>
      </w:r>
    </w:p>
  </w:footnote>
  <w:footnote w:type="continuationSeparator" w:id="0">
    <w:p w14:paraId="59450E14" w14:textId="77777777" w:rsidR="00D609FD" w:rsidRDefault="00D609FD" w:rsidP="00852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17C3A" w14:textId="47E47B55" w:rsidR="00D609FD" w:rsidRDefault="00D609FD" w:rsidP="00095931">
    <w:pPr>
      <w:pStyle w:val="Header"/>
      <w:tabs>
        <w:tab w:val="center" w:pos="4513"/>
        <w:tab w:val="right" w:pos="9026"/>
      </w:tabs>
      <w:jc w:val="left"/>
      <w:rPr>
        <w:b/>
        <w:color w:val="3E5D57" w:themeColor="text2"/>
        <w:sz w:val="24"/>
        <w:szCs w:val="24"/>
      </w:rPr>
    </w:pPr>
    <w:r>
      <w:rPr>
        <w:b/>
        <w:noProof/>
        <w:color w:val="86731E" w:themeColor="text1"/>
        <w:sz w:val="24"/>
        <w:szCs w:val="24"/>
        <w:lang w:eastAsia="en-AU"/>
      </w:rPr>
      <w:drawing>
        <wp:anchor distT="0" distB="0" distL="114300" distR="114300" simplePos="0" relativeHeight="251659264" behindDoc="1" locked="0" layoutInCell="1" allowOverlap="1" wp14:anchorId="1A328703" wp14:editId="2938F851">
          <wp:simplePos x="0" y="0"/>
          <wp:positionH relativeFrom="column">
            <wp:posOffset>-923925</wp:posOffset>
          </wp:positionH>
          <wp:positionV relativeFrom="page">
            <wp:posOffset>28</wp:posOffset>
          </wp:positionV>
          <wp:extent cx="7627203" cy="9810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Doc_header_ApprovedDesign_14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7203" cy="981075"/>
                  </a:xfrm>
                  <a:prstGeom prst="rect">
                    <a:avLst/>
                  </a:prstGeom>
                </pic:spPr>
              </pic:pic>
            </a:graphicData>
          </a:graphic>
          <wp14:sizeRelH relativeFrom="margin">
            <wp14:pctWidth>0</wp14:pctWidth>
          </wp14:sizeRelH>
          <wp14:sizeRelV relativeFrom="margin">
            <wp14:pctHeight>0</wp14:pctHeight>
          </wp14:sizeRelV>
        </wp:anchor>
      </w:drawing>
    </w:r>
    <w:r w:rsidRPr="00095931">
      <w:rPr>
        <w:b/>
        <w:color w:val="86731E" w:themeColor="text1"/>
        <w:sz w:val="24"/>
        <w:szCs w:val="24"/>
      </w:rPr>
      <w:tab/>
    </w:r>
    <w:r w:rsidRPr="00095931">
      <w:rPr>
        <w:b/>
        <w:color w:val="86731E" w:themeColor="text1"/>
        <w:sz w:val="24"/>
        <w:szCs w:val="24"/>
      </w:rPr>
      <w:tab/>
    </w:r>
    <w:r w:rsidRPr="007F4BCC">
      <w:rPr>
        <w:b/>
        <w:color w:val="auto"/>
        <w:sz w:val="24"/>
        <w:szCs w:val="24"/>
      </w:rPr>
      <w:t>Annual Report 2014/15: Contents</w:t>
    </w:r>
  </w:p>
  <w:p w14:paraId="7C99CD85" w14:textId="5597F581" w:rsidR="00D609FD" w:rsidRPr="00504FAF" w:rsidRDefault="00D609FD" w:rsidP="00504FAF">
    <w:pPr>
      <w:pStyle w:val="Header"/>
      <w:tabs>
        <w:tab w:val="center" w:pos="4513"/>
        <w:tab w:val="right" w:pos="9026"/>
      </w:tabs>
      <w:jc w:val="left"/>
      <w:rPr>
        <w:b/>
        <w:color w:val="3E5D57" w:themeColor="text2"/>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35A1D" w14:textId="6C2083C6" w:rsidR="00D609FD" w:rsidRPr="007F4BCC" w:rsidRDefault="00D609FD" w:rsidP="00CD3AB0">
    <w:pPr>
      <w:pStyle w:val="Header"/>
      <w:rPr>
        <w:color w:val="auto"/>
      </w:rPr>
    </w:pPr>
    <w:r>
      <w:rPr>
        <w:b/>
        <w:noProof/>
        <w:color w:val="86731E" w:themeColor="text1"/>
        <w:sz w:val="24"/>
        <w:szCs w:val="24"/>
        <w:lang w:eastAsia="en-AU"/>
      </w:rPr>
      <w:drawing>
        <wp:anchor distT="0" distB="0" distL="114300" distR="114300" simplePos="0" relativeHeight="251675648" behindDoc="1" locked="0" layoutInCell="1" allowOverlap="1" wp14:anchorId="42262B1A" wp14:editId="02A1425C">
          <wp:simplePos x="0" y="0"/>
          <wp:positionH relativeFrom="column">
            <wp:posOffset>-914400</wp:posOffset>
          </wp:positionH>
          <wp:positionV relativeFrom="page">
            <wp:posOffset>11430</wp:posOffset>
          </wp:positionV>
          <wp:extent cx="7627203" cy="9810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Doc_header_ApprovedDesign_14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7203" cy="981075"/>
                  </a:xfrm>
                  <a:prstGeom prst="rect">
                    <a:avLst/>
                  </a:prstGeom>
                </pic:spPr>
              </pic:pic>
            </a:graphicData>
          </a:graphic>
          <wp14:sizeRelH relativeFrom="margin">
            <wp14:pctWidth>0</wp14:pctWidth>
          </wp14:sizeRelH>
          <wp14:sizeRelV relativeFrom="margin">
            <wp14:pctHeight>0</wp14:pctHeight>
          </wp14:sizeRelV>
        </wp:anchor>
      </w:drawing>
    </w:r>
    <w:r w:rsidRPr="00095931">
      <w:rPr>
        <w:b/>
        <w:color w:val="86731E" w:themeColor="text1"/>
        <w:sz w:val="24"/>
        <w:szCs w:val="24"/>
      </w:rPr>
      <w:tab/>
    </w:r>
    <w:r w:rsidRPr="007F4BCC">
      <w:rPr>
        <w:b/>
        <w:color w:val="auto"/>
        <w:sz w:val="24"/>
        <w:szCs w:val="24"/>
      </w:rPr>
      <w:t>Annual Report 2014/15: Section 6</w:t>
    </w:r>
  </w:p>
  <w:p w14:paraId="2164DA43" w14:textId="3FF68780" w:rsidR="00D609FD" w:rsidRDefault="00D609FD" w:rsidP="002D35F8">
    <w:pPr>
      <w:pStyle w:val="Header"/>
      <w:tabs>
        <w:tab w:val="left" w:pos="1245"/>
      </w:tabs>
      <w:jc w:val="left"/>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088CF" w14:textId="77777777" w:rsidR="00D609FD" w:rsidRDefault="00D609FD" w:rsidP="004523C8">
    <w:pPr>
      <w:pStyle w:val="Header"/>
      <w:tabs>
        <w:tab w:val="left" w:pos="1521"/>
      </w:tabs>
      <w:jc w:val="left"/>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67F19" w14:textId="77777777" w:rsidR="00D609FD" w:rsidRDefault="00D609FD" w:rsidP="004523C8">
    <w:pPr>
      <w:pStyle w:val="Header"/>
      <w:tabs>
        <w:tab w:val="left" w:pos="1521"/>
      </w:tabs>
      <w:jc w:val="left"/>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6E718" w14:textId="1791D2B6" w:rsidR="00D609FD" w:rsidRPr="007F4BCC" w:rsidRDefault="00D609FD" w:rsidP="00CD3AB0">
    <w:pPr>
      <w:pStyle w:val="Header"/>
      <w:rPr>
        <w:color w:val="auto"/>
      </w:rPr>
    </w:pPr>
    <w:r>
      <w:rPr>
        <w:b/>
        <w:noProof/>
        <w:color w:val="86731E" w:themeColor="text1"/>
        <w:sz w:val="24"/>
        <w:szCs w:val="24"/>
        <w:lang w:eastAsia="en-AU"/>
      </w:rPr>
      <w:drawing>
        <wp:anchor distT="0" distB="0" distL="114300" distR="114300" simplePos="0" relativeHeight="251679744" behindDoc="1" locked="0" layoutInCell="1" allowOverlap="1" wp14:anchorId="2178C4F2" wp14:editId="29C0951F">
          <wp:simplePos x="0" y="0"/>
          <wp:positionH relativeFrom="column">
            <wp:posOffset>-962025</wp:posOffset>
          </wp:positionH>
          <wp:positionV relativeFrom="page">
            <wp:posOffset>30480</wp:posOffset>
          </wp:positionV>
          <wp:extent cx="7627203" cy="9810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Doc_header_ApprovedDesign_14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7203" cy="981075"/>
                  </a:xfrm>
                  <a:prstGeom prst="rect">
                    <a:avLst/>
                  </a:prstGeom>
                </pic:spPr>
              </pic:pic>
            </a:graphicData>
          </a:graphic>
          <wp14:sizeRelH relativeFrom="margin">
            <wp14:pctWidth>0</wp14:pctWidth>
          </wp14:sizeRelH>
          <wp14:sizeRelV relativeFrom="margin">
            <wp14:pctHeight>0</wp14:pctHeight>
          </wp14:sizeRelV>
        </wp:anchor>
      </w:drawing>
    </w:r>
    <w:r w:rsidRPr="00095931">
      <w:rPr>
        <w:b/>
        <w:color w:val="86731E" w:themeColor="text1"/>
        <w:sz w:val="24"/>
        <w:szCs w:val="24"/>
      </w:rPr>
      <w:tab/>
    </w:r>
    <w:r w:rsidRPr="007F4BCC">
      <w:rPr>
        <w:b/>
        <w:color w:val="auto"/>
        <w:sz w:val="24"/>
        <w:szCs w:val="24"/>
      </w:rPr>
      <w:t>Annual Report 2014/15: Section 7</w:t>
    </w:r>
  </w:p>
  <w:p w14:paraId="431C5A69" w14:textId="77777777" w:rsidR="00D609FD" w:rsidRDefault="00D609FD" w:rsidP="002D35F8">
    <w:pPr>
      <w:pStyle w:val="Header"/>
      <w:tabs>
        <w:tab w:val="left" w:pos="1245"/>
      </w:tabs>
      <w:jc w:val="lef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C2B1A" w14:textId="08414511" w:rsidR="00D609FD" w:rsidRDefault="00D609FD" w:rsidP="00152F8F">
    <w:pPr>
      <w:pStyle w:val="Header"/>
      <w:tabs>
        <w:tab w:val="left" w:pos="2070"/>
        <w:tab w:val="right" w:pos="9026"/>
      </w:tabs>
      <w:jc w:val="left"/>
    </w:pPr>
    <w:r>
      <w:rPr>
        <w:b/>
        <w:color w:val="86731E" w:themeColor="text1"/>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DCEE1" w14:textId="11849BB6" w:rsidR="00D609FD" w:rsidRDefault="00D609FD" w:rsidP="00095931">
    <w:pPr>
      <w:pStyle w:val="Header"/>
      <w:tabs>
        <w:tab w:val="center" w:pos="4513"/>
        <w:tab w:val="right" w:pos="9026"/>
      </w:tabs>
      <w:jc w:val="left"/>
      <w:rPr>
        <w:b/>
        <w:color w:val="3E5D57" w:themeColor="text2"/>
        <w:sz w:val="24"/>
        <w:szCs w:val="24"/>
      </w:rPr>
    </w:pPr>
    <w:r>
      <w:rPr>
        <w:b/>
        <w:noProof/>
        <w:color w:val="86731E" w:themeColor="text1"/>
        <w:sz w:val="24"/>
        <w:szCs w:val="24"/>
        <w:lang w:eastAsia="en-AU"/>
      </w:rPr>
      <w:drawing>
        <wp:anchor distT="0" distB="0" distL="114300" distR="114300" simplePos="0" relativeHeight="251661312" behindDoc="1" locked="0" layoutInCell="1" allowOverlap="1" wp14:anchorId="45B5866C" wp14:editId="7EEC5CA5">
          <wp:simplePos x="0" y="0"/>
          <wp:positionH relativeFrom="column">
            <wp:posOffset>-904875</wp:posOffset>
          </wp:positionH>
          <wp:positionV relativeFrom="page">
            <wp:posOffset>-24130</wp:posOffset>
          </wp:positionV>
          <wp:extent cx="7627203" cy="9810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Doc_header_ApprovedDesign_14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7203" cy="981075"/>
                  </a:xfrm>
                  <a:prstGeom prst="rect">
                    <a:avLst/>
                  </a:prstGeom>
                </pic:spPr>
              </pic:pic>
            </a:graphicData>
          </a:graphic>
          <wp14:sizeRelH relativeFrom="margin">
            <wp14:pctWidth>0</wp14:pctWidth>
          </wp14:sizeRelH>
          <wp14:sizeRelV relativeFrom="margin">
            <wp14:pctHeight>0</wp14:pctHeight>
          </wp14:sizeRelV>
        </wp:anchor>
      </w:drawing>
    </w:r>
    <w:r w:rsidRPr="00095931">
      <w:rPr>
        <w:b/>
        <w:color w:val="86731E" w:themeColor="text1"/>
        <w:sz w:val="24"/>
        <w:szCs w:val="24"/>
      </w:rPr>
      <w:tab/>
    </w:r>
    <w:r w:rsidRPr="007F4BCC">
      <w:rPr>
        <w:b/>
        <w:color w:val="auto"/>
        <w:sz w:val="24"/>
        <w:szCs w:val="24"/>
      </w:rPr>
      <w:tab/>
      <w:t>Annual Report 2014/15: Introduction</w:t>
    </w:r>
  </w:p>
  <w:p w14:paraId="58F66DE4" w14:textId="69DAFF64" w:rsidR="00D609FD" w:rsidRPr="00504FAF" w:rsidRDefault="00D609FD" w:rsidP="000C1C88">
    <w:pPr>
      <w:pStyle w:val="Header"/>
      <w:tabs>
        <w:tab w:val="clear" w:pos="9295"/>
        <w:tab w:val="left" w:pos="7260"/>
      </w:tabs>
      <w:jc w:val="left"/>
      <w:rPr>
        <w:b/>
        <w:color w:val="3E5D57" w:themeColor="text2"/>
        <w:sz w:val="24"/>
        <w:szCs w:val="24"/>
      </w:rPr>
    </w:pPr>
    <w:r>
      <w:rPr>
        <w:b/>
        <w:color w:val="3E5D57" w:themeColor="text2"/>
        <w:sz w:val="24"/>
        <w:szCs w:val="24"/>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C3D1" w14:textId="77777777" w:rsidR="00D609FD" w:rsidRDefault="00D609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3CF95" w14:textId="593384BB" w:rsidR="00D609FD" w:rsidRPr="00506A7F" w:rsidRDefault="00D609FD" w:rsidP="00506A7F">
    <w:pPr>
      <w:pStyle w:val="Header"/>
    </w:pPr>
    <w:r>
      <w:rPr>
        <w:b/>
        <w:noProof/>
        <w:color w:val="86731E" w:themeColor="text1"/>
        <w:sz w:val="24"/>
        <w:szCs w:val="24"/>
        <w:lang w:eastAsia="en-AU"/>
      </w:rPr>
      <w:drawing>
        <wp:anchor distT="0" distB="0" distL="114300" distR="114300" simplePos="0" relativeHeight="251663360" behindDoc="1" locked="0" layoutInCell="1" allowOverlap="1" wp14:anchorId="1E3EA51A" wp14:editId="567AAF55">
          <wp:simplePos x="0" y="0"/>
          <wp:positionH relativeFrom="column">
            <wp:posOffset>-981075</wp:posOffset>
          </wp:positionH>
          <wp:positionV relativeFrom="page">
            <wp:posOffset>-61595</wp:posOffset>
          </wp:positionV>
          <wp:extent cx="7627203" cy="9810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Doc_header_ApprovedDesign_14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7203" cy="981075"/>
                  </a:xfrm>
                  <a:prstGeom prst="rect">
                    <a:avLst/>
                  </a:prstGeom>
                </pic:spPr>
              </pic:pic>
            </a:graphicData>
          </a:graphic>
          <wp14:sizeRelH relativeFrom="margin">
            <wp14:pctWidth>0</wp14:pctWidth>
          </wp14:sizeRelH>
          <wp14:sizeRelV relativeFrom="margin">
            <wp14:pctHeight>0</wp14:pctHeight>
          </wp14:sizeRelV>
        </wp:anchor>
      </w:drawing>
    </w:r>
    <w:r w:rsidRPr="00095931">
      <w:rPr>
        <w:b/>
        <w:color w:val="86731E" w:themeColor="text1"/>
        <w:sz w:val="24"/>
        <w:szCs w:val="24"/>
      </w:rPr>
      <w:tab/>
    </w:r>
    <w:r w:rsidRPr="007F4BCC">
      <w:rPr>
        <w:b/>
        <w:color w:val="auto"/>
        <w:sz w:val="24"/>
        <w:szCs w:val="24"/>
      </w:rPr>
      <w:t>Annual Report 2014/15: Section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516DA" w14:textId="648B5ED8" w:rsidR="00D609FD" w:rsidRPr="00506A7F" w:rsidRDefault="00D609FD" w:rsidP="00506A7F">
    <w:pPr>
      <w:pStyle w:val="Header"/>
    </w:pPr>
    <w:r>
      <w:rPr>
        <w:b/>
        <w:noProof/>
        <w:color w:val="86731E" w:themeColor="text1"/>
        <w:sz w:val="24"/>
        <w:szCs w:val="24"/>
        <w:lang w:eastAsia="en-AU"/>
      </w:rPr>
      <w:drawing>
        <wp:anchor distT="0" distB="0" distL="114300" distR="114300" simplePos="0" relativeHeight="251665408" behindDoc="1" locked="0" layoutInCell="1" allowOverlap="1" wp14:anchorId="47936A2A" wp14:editId="029D094A">
          <wp:simplePos x="0" y="0"/>
          <wp:positionH relativeFrom="column">
            <wp:posOffset>-933450</wp:posOffset>
          </wp:positionH>
          <wp:positionV relativeFrom="page">
            <wp:posOffset>14605</wp:posOffset>
          </wp:positionV>
          <wp:extent cx="7627203" cy="9810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Doc_header_ApprovedDesign_14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7203" cy="981075"/>
                  </a:xfrm>
                  <a:prstGeom prst="rect">
                    <a:avLst/>
                  </a:prstGeom>
                </pic:spPr>
              </pic:pic>
            </a:graphicData>
          </a:graphic>
          <wp14:sizeRelH relativeFrom="margin">
            <wp14:pctWidth>0</wp14:pctWidth>
          </wp14:sizeRelH>
          <wp14:sizeRelV relativeFrom="margin">
            <wp14:pctHeight>0</wp14:pctHeight>
          </wp14:sizeRelV>
        </wp:anchor>
      </w:drawing>
    </w:r>
    <w:r w:rsidRPr="00095931">
      <w:rPr>
        <w:b/>
        <w:color w:val="86731E" w:themeColor="text1"/>
        <w:sz w:val="24"/>
        <w:szCs w:val="24"/>
      </w:rPr>
      <w:tab/>
    </w:r>
    <w:r w:rsidRPr="007F4BCC">
      <w:rPr>
        <w:b/>
        <w:color w:val="auto"/>
        <w:sz w:val="24"/>
        <w:szCs w:val="24"/>
      </w:rPr>
      <w:t>Annual Report 2014/15: Section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7D39C" w14:textId="37874693" w:rsidR="00D609FD" w:rsidRPr="007F4BCC" w:rsidRDefault="00D609FD" w:rsidP="00506A7F">
    <w:pPr>
      <w:pStyle w:val="Header"/>
      <w:rPr>
        <w:color w:val="auto"/>
      </w:rPr>
    </w:pPr>
    <w:r>
      <w:rPr>
        <w:b/>
        <w:noProof/>
        <w:color w:val="86731E" w:themeColor="text1"/>
        <w:sz w:val="24"/>
        <w:szCs w:val="24"/>
        <w:lang w:eastAsia="en-AU"/>
      </w:rPr>
      <w:drawing>
        <wp:anchor distT="0" distB="0" distL="114300" distR="114300" simplePos="0" relativeHeight="251667456" behindDoc="1" locked="0" layoutInCell="1" allowOverlap="1" wp14:anchorId="5BAB5995" wp14:editId="742DD915">
          <wp:simplePos x="0" y="0"/>
          <wp:positionH relativeFrom="column">
            <wp:posOffset>-933450</wp:posOffset>
          </wp:positionH>
          <wp:positionV relativeFrom="page">
            <wp:posOffset>-71120</wp:posOffset>
          </wp:positionV>
          <wp:extent cx="7627203" cy="9810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Doc_header_ApprovedDesign_14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7203" cy="981075"/>
                  </a:xfrm>
                  <a:prstGeom prst="rect">
                    <a:avLst/>
                  </a:prstGeom>
                </pic:spPr>
              </pic:pic>
            </a:graphicData>
          </a:graphic>
          <wp14:sizeRelH relativeFrom="margin">
            <wp14:pctWidth>0</wp14:pctWidth>
          </wp14:sizeRelH>
          <wp14:sizeRelV relativeFrom="margin">
            <wp14:pctHeight>0</wp14:pctHeight>
          </wp14:sizeRelV>
        </wp:anchor>
      </w:drawing>
    </w:r>
    <w:r w:rsidRPr="00095931">
      <w:rPr>
        <w:b/>
        <w:color w:val="86731E" w:themeColor="text1"/>
        <w:sz w:val="24"/>
        <w:szCs w:val="24"/>
      </w:rPr>
      <w:tab/>
    </w:r>
    <w:r w:rsidRPr="007F4BCC">
      <w:rPr>
        <w:b/>
        <w:color w:val="auto"/>
        <w:sz w:val="24"/>
        <w:szCs w:val="24"/>
      </w:rPr>
      <w:t>Annual Report 2014/15: Section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auto"/>
      </w:rPr>
      <w:id w:val="-349567879"/>
      <w:docPartObj>
        <w:docPartGallery w:val="Page Numbers (Top of Page)"/>
        <w:docPartUnique/>
      </w:docPartObj>
    </w:sdtPr>
    <w:sdtEndPr>
      <w:rPr>
        <w:noProof/>
      </w:rPr>
    </w:sdtEndPr>
    <w:sdtContent>
      <w:p w14:paraId="53432660" w14:textId="16458CF5" w:rsidR="00D609FD" w:rsidRPr="007F4BCC" w:rsidRDefault="00D609FD" w:rsidP="00506A7F">
        <w:pPr>
          <w:pStyle w:val="Header"/>
          <w:tabs>
            <w:tab w:val="left" w:pos="8280"/>
            <w:tab w:val="right" w:pos="9026"/>
          </w:tabs>
          <w:ind w:firstLine="5040"/>
          <w:jc w:val="left"/>
          <w:rPr>
            <w:color w:val="auto"/>
          </w:rPr>
        </w:pPr>
        <w:r w:rsidRPr="007F4BCC">
          <w:rPr>
            <w:b/>
            <w:noProof/>
            <w:color w:val="auto"/>
            <w:sz w:val="24"/>
            <w:szCs w:val="24"/>
            <w:lang w:eastAsia="en-AU"/>
          </w:rPr>
          <w:drawing>
            <wp:anchor distT="0" distB="0" distL="114300" distR="114300" simplePos="0" relativeHeight="251669504" behindDoc="1" locked="0" layoutInCell="1" allowOverlap="1" wp14:anchorId="053D5193" wp14:editId="77DFAA50">
              <wp:simplePos x="0" y="0"/>
              <wp:positionH relativeFrom="column">
                <wp:posOffset>-1000125</wp:posOffset>
              </wp:positionH>
              <wp:positionV relativeFrom="page">
                <wp:posOffset>-13970</wp:posOffset>
              </wp:positionV>
              <wp:extent cx="7627203" cy="9810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Doc_header_ApprovedDesign_14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7203" cy="981075"/>
                      </a:xfrm>
                      <a:prstGeom prst="rect">
                        <a:avLst/>
                      </a:prstGeom>
                    </pic:spPr>
                  </pic:pic>
                </a:graphicData>
              </a:graphic>
              <wp14:sizeRelH relativeFrom="margin">
                <wp14:pctWidth>0</wp14:pctWidth>
              </wp14:sizeRelH>
              <wp14:sizeRelV relativeFrom="margin">
                <wp14:pctHeight>0</wp14:pctHeight>
              </wp14:sizeRelV>
            </wp:anchor>
          </w:drawing>
        </w:r>
        <w:r w:rsidRPr="007F4BCC">
          <w:rPr>
            <w:b/>
            <w:color w:val="auto"/>
            <w:sz w:val="24"/>
            <w:szCs w:val="24"/>
          </w:rPr>
          <w:t>Annual Report 2014/15: Section 4</w:t>
        </w:r>
      </w:p>
    </w:sdtContent>
  </w:sdt>
  <w:p w14:paraId="66E21250" w14:textId="1C2BB172" w:rsidR="00D609FD" w:rsidRDefault="00D609F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85FAD" w14:textId="60232C2E" w:rsidR="00D609FD" w:rsidRPr="007F4BCC" w:rsidRDefault="00D609FD" w:rsidP="00CD3AB0">
    <w:pPr>
      <w:pStyle w:val="Header"/>
      <w:rPr>
        <w:color w:val="auto"/>
      </w:rPr>
    </w:pPr>
    <w:r>
      <w:rPr>
        <w:b/>
        <w:noProof/>
        <w:color w:val="86731E" w:themeColor="text1"/>
        <w:sz w:val="24"/>
        <w:szCs w:val="24"/>
        <w:lang w:eastAsia="en-AU"/>
      </w:rPr>
      <w:drawing>
        <wp:anchor distT="0" distB="0" distL="114300" distR="114300" simplePos="0" relativeHeight="251671552" behindDoc="1" locked="0" layoutInCell="1" allowOverlap="1" wp14:anchorId="3ECFA903" wp14:editId="0A0C4258">
          <wp:simplePos x="0" y="0"/>
          <wp:positionH relativeFrom="column">
            <wp:posOffset>-914400</wp:posOffset>
          </wp:positionH>
          <wp:positionV relativeFrom="page">
            <wp:posOffset>-7620</wp:posOffset>
          </wp:positionV>
          <wp:extent cx="7627203" cy="9810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Doc_header_ApprovedDesign_14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7203" cy="981075"/>
                  </a:xfrm>
                  <a:prstGeom prst="rect">
                    <a:avLst/>
                  </a:prstGeom>
                </pic:spPr>
              </pic:pic>
            </a:graphicData>
          </a:graphic>
          <wp14:sizeRelH relativeFrom="margin">
            <wp14:pctWidth>0</wp14:pctWidth>
          </wp14:sizeRelH>
          <wp14:sizeRelV relativeFrom="margin">
            <wp14:pctHeight>0</wp14:pctHeight>
          </wp14:sizeRelV>
        </wp:anchor>
      </w:drawing>
    </w:r>
    <w:r w:rsidRPr="00095931">
      <w:rPr>
        <w:b/>
        <w:color w:val="86731E" w:themeColor="text1"/>
        <w:sz w:val="24"/>
        <w:szCs w:val="24"/>
      </w:rPr>
      <w:tab/>
    </w:r>
    <w:r w:rsidRPr="007F4BCC">
      <w:rPr>
        <w:b/>
        <w:color w:val="auto"/>
        <w:sz w:val="24"/>
        <w:szCs w:val="24"/>
      </w:rPr>
      <w:t>Annual Report 2014/15: Section 5</w:t>
    </w:r>
  </w:p>
  <w:p w14:paraId="3398EE98" w14:textId="77777777" w:rsidR="00D609FD" w:rsidRDefault="00D609FD" w:rsidP="00A450F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8"/>
    <w:multiLevelType w:val="multilevel"/>
    <w:tmpl w:val="0000088B"/>
    <w:lvl w:ilvl="0">
      <w:start w:val="1"/>
      <w:numFmt w:val="lowerLetter"/>
      <w:lvlText w:val="(%1)"/>
      <w:lvlJc w:val="left"/>
      <w:pPr>
        <w:ind w:hanging="145"/>
      </w:pPr>
      <w:rPr>
        <w:rFonts w:ascii="Myriad Pro Light" w:hAnsi="Myriad Pro Light" w:cs="Myriad Pro Light"/>
        <w:b w:val="0"/>
        <w:bCs w:val="0"/>
        <w:color w:val="231F20"/>
        <w:w w:val="88"/>
        <w:sz w:val="12"/>
        <w:szCs w:val="1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D0356A8"/>
    <w:multiLevelType w:val="hybridMultilevel"/>
    <w:tmpl w:val="AB0C8136"/>
    <w:lvl w:ilvl="0" w:tplc="18A015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926ACB"/>
    <w:multiLevelType w:val="hybridMultilevel"/>
    <w:tmpl w:val="E9B8C0EA"/>
    <w:lvl w:ilvl="0" w:tplc="11A0868A">
      <w:start w:val="1"/>
      <w:numFmt w:val="decimal"/>
      <w:lvlText w:val="%1."/>
      <w:lvlJc w:val="left"/>
      <w:pPr>
        <w:ind w:left="720" w:hanging="360"/>
      </w:pPr>
      <w:rPr>
        <w:rFonts w:hint="default"/>
        <w:color w:val="20535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C34CBA"/>
    <w:multiLevelType w:val="hybridMultilevel"/>
    <w:tmpl w:val="758E5C02"/>
    <w:lvl w:ilvl="0" w:tplc="55AE6772">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4D3231"/>
    <w:multiLevelType w:val="hybridMultilevel"/>
    <w:tmpl w:val="FA24D5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A1F21BD"/>
    <w:multiLevelType w:val="multilevel"/>
    <w:tmpl w:val="9226428A"/>
    <w:lvl w:ilvl="0">
      <w:start w:val="1"/>
      <w:numFmt w:val="decimal"/>
      <w:pStyle w:val="NumberedlistLevel1"/>
      <w:lvlText w:val="%1."/>
      <w:lvlJc w:val="left"/>
      <w:pPr>
        <w:ind w:left="964" w:hanging="510"/>
      </w:pPr>
      <w:rPr>
        <w:rFonts w:ascii="Verdana" w:hAnsi="Verdana" w:hint="default"/>
        <w:color w:val="auto"/>
        <w:sz w:val="22"/>
      </w:rPr>
    </w:lvl>
    <w:lvl w:ilvl="1">
      <w:start w:val="1"/>
      <w:numFmt w:val="decimal"/>
      <w:pStyle w:val="NumberedListLevel2"/>
      <w:lvlText w:val="%1.%2."/>
      <w:lvlJc w:val="left"/>
      <w:pPr>
        <w:ind w:left="1418" w:hanging="510"/>
      </w:pPr>
      <w:rPr>
        <w:rFonts w:ascii="Verdana" w:hAnsi="Verdana" w:hint="default"/>
        <w:sz w:val="20"/>
      </w:rPr>
    </w:lvl>
    <w:lvl w:ilvl="2">
      <w:start w:val="1"/>
      <w:numFmt w:val="decimal"/>
      <w:pStyle w:val="NumberedListLevel3"/>
      <w:lvlText w:val="%1.%2.%3."/>
      <w:lvlJc w:val="left"/>
      <w:pPr>
        <w:ind w:left="2098" w:hanging="736"/>
      </w:pPr>
      <w:rPr>
        <w:rFonts w:ascii="Verdana" w:hAnsi="Verdana" w:hint="default"/>
        <w:sz w:val="20"/>
      </w:rPr>
    </w:lvl>
    <w:lvl w:ilvl="3">
      <w:start w:val="1"/>
      <w:numFmt w:val="decimal"/>
      <w:lvlText w:val="%1.%2.%3.%4."/>
      <w:lvlJc w:val="left"/>
      <w:pPr>
        <w:ind w:left="2326" w:hanging="510"/>
      </w:pPr>
      <w:rPr>
        <w:rFonts w:hint="default"/>
      </w:rPr>
    </w:lvl>
    <w:lvl w:ilvl="4">
      <w:start w:val="1"/>
      <w:numFmt w:val="decimal"/>
      <w:lvlText w:val="%1.%2.%3.%4.%5."/>
      <w:lvlJc w:val="left"/>
      <w:pPr>
        <w:ind w:left="2780" w:hanging="510"/>
      </w:pPr>
      <w:rPr>
        <w:rFonts w:hint="default"/>
      </w:rPr>
    </w:lvl>
    <w:lvl w:ilvl="5">
      <w:start w:val="1"/>
      <w:numFmt w:val="decimal"/>
      <w:lvlText w:val="%1.%2.%3.%4.%5.%6."/>
      <w:lvlJc w:val="left"/>
      <w:pPr>
        <w:ind w:left="3234" w:hanging="510"/>
      </w:pPr>
      <w:rPr>
        <w:rFonts w:hint="default"/>
      </w:rPr>
    </w:lvl>
    <w:lvl w:ilvl="6">
      <w:start w:val="1"/>
      <w:numFmt w:val="decimal"/>
      <w:lvlText w:val="%1.%2.%3.%4.%5.%6.%7."/>
      <w:lvlJc w:val="left"/>
      <w:pPr>
        <w:ind w:left="3688" w:hanging="510"/>
      </w:pPr>
      <w:rPr>
        <w:rFonts w:hint="default"/>
      </w:rPr>
    </w:lvl>
    <w:lvl w:ilvl="7">
      <w:start w:val="1"/>
      <w:numFmt w:val="decimal"/>
      <w:lvlText w:val="%1.%2.%3.%4.%5.%6.%7.%8."/>
      <w:lvlJc w:val="left"/>
      <w:pPr>
        <w:ind w:left="4142" w:hanging="510"/>
      </w:pPr>
      <w:rPr>
        <w:rFonts w:hint="default"/>
      </w:rPr>
    </w:lvl>
    <w:lvl w:ilvl="8">
      <w:start w:val="1"/>
      <w:numFmt w:val="decimal"/>
      <w:lvlText w:val="%1.%2.%3.%4.%5.%6.%7.%8.%9."/>
      <w:lvlJc w:val="left"/>
      <w:pPr>
        <w:ind w:left="4596" w:hanging="510"/>
      </w:pPr>
      <w:rPr>
        <w:rFonts w:hint="default"/>
      </w:rPr>
    </w:lvl>
  </w:abstractNum>
  <w:abstractNum w:abstractNumId="6" w15:restartNumberingAfterBreak="0">
    <w:nsid w:val="2C365D19"/>
    <w:multiLevelType w:val="hybridMultilevel"/>
    <w:tmpl w:val="0FF6AFE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15:restartNumberingAfterBreak="0">
    <w:nsid w:val="2F43668D"/>
    <w:multiLevelType w:val="hybridMultilevel"/>
    <w:tmpl w:val="1E02A6E2"/>
    <w:lvl w:ilvl="0" w:tplc="6D280ED6">
      <w:start w:val="1"/>
      <w:numFmt w:val="lowerLetter"/>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7B6894"/>
    <w:multiLevelType w:val="hybridMultilevel"/>
    <w:tmpl w:val="44447000"/>
    <w:lvl w:ilvl="0" w:tplc="66926A8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1B1C2F"/>
    <w:multiLevelType w:val="hybridMultilevel"/>
    <w:tmpl w:val="03F29E36"/>
    <w:lvl w:ilvl="0" w:tplc="E3C205F0">
      <w:start w:val="12"/>
      <w:numFmt w:val="bullet"/>
      <w:pStyle w:val="BulletListLevel2"/>
      <w:lvlText w:val="-"/>
      <w:lvlJc w:val="left"/>
      <w:pPr>
        <w:ind w:left="1304" w:hanging="34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3DC20A0F"/>
    <w:multiLevelType w:val="hybridMultilevel"/>
    <w:tmpl w:val="7F42A7A2"/>
    <w:lvl w:ilvl="0" w:tplc="692666BE">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277852"/>
    <w:multiLevelType w:val="hybridMultilevel"/>
    <w:tmpl w:val="6BFAE73C"/>
    <w:lvl w:ilvl="0" w:tplc="0C090001">
      <w:start w:val="1"/>
      <w:numFmt w:val="decimal"/>
      <w:lvlText w:val="%1."/>
      <w:lvlJc w:val="left"/>
      <w:pPr>
        <w:ind w:left="765" w:hanging="360"/>
      </w:pPr>
    </w:lvl>
    <w:lvl w:ilvl="1" w:tplc="0C090003" w:tentative="1">
      <w:start w:val="1"/>
      <w:numFmt w:val="lowerLetter"/>
      <w:lvlText w:val="%2."/>
      <w:lvlJc w:val="left"/>
      <w:pPr>
        <w:ind w:left="1485" w:hanging="360"/>
      </w:pPr>
    </w:lvl>
    <w:lvl w:ilvl="2" w:tplc="0C090005" w:tentative="1">
      <w:start w:val="1"/>
      <w:numFmt w:val="lowerRoman"/>
      <w:lvlText w:val="%3."/>
      <w:lvlJc w:val="right"/>
      <w:pPr>
        <w:ind w:left="2205" w:hanging="180"/>
      </w:pPr>
    </w:lvl>
    <w:lvl w:ilvl="3" w:tplc="0C090001" w:tentative="1">
      <w:start w:val="1"/>
      <w:numFmt w:val="decimal"/>
      <w:lvlText w:val="%4."/>
      <w:lvlJc w:val="left"/>
      <w:pPr>
        <w:ind w:left="2925" w:hanging="360"/>
      </w:pPr>
    </w:lvl>
    <w:lvl w:ilvl="4" w:tplc="0C090003" w:tentative="1">
      <w:start w:val="1"/>
      <w:numFmt w:val="lowerLetter"/>
      <w:lvlText w:val="%5."/>
      <w:lvlJc w:val="left"/>
      <w:pPr>
        <w:ind w:left="3645" w:hanging="360"/>
      </w:pPr>
    </w:lvl>
    <w:lvl w:ilvl="5" w:tplc="0C090005" w:tentative="1">
      <w:start w:val="1"/>
      <w:numFmt w:val="lowerRoman"/>
      <w:lvlText w:val="%6."/>
      <w:lvlJc w:val="right"/>
      <w:pPr>
        <w:ind w:left="4365" w:hanging="180"/>
      </w:pPr>
    </w:lvl>
    <w:lvl w:ilvl="6" w:tplc="0C090001" w:tentative="1">
      <w:start w:val="1"/>
      <w:numFmt w:val="decimal"/>
      <w:lvlText w:val="%7."/>
      <w:lvlJc w:val="left"/>
      <w:pPr>
        <w:ind w:left="5085" w:hanging="360"/>
      </w:pPr>
    </w:lvl>
    <w:lvl w:ilvl="7" w:tplc="0C090003" w:tentative="1">
      <w:start w:val="1"/>
      <w:numFmt w:val="lowerLetter"/>
      <w:lvlText w:val="%8."/>
      <w:lvlJc w:val="left"/>
      <w:pPr>
        <w:ind w:left="5805" w:hanging="360"/>
      </w:pPr>
    </w:lvl>
    <w:lvl w:ilvl="8" w:tplc="0C090005" w:tentative="1">
      <w:start w:val="1"/>
      <w:numFmt w:val="lowerRoman"/>
      <w:lvlText w:val="%9."/>
      <w:lvlJc w:val="right"/>
      <w:pPr>
        <w:ind w:left="6525" w:hanging="180"/>
      </w:pPr>
    </w:lvl>
  </w:abstractNum>
  <w:abstractNum w:abstractNumId="12" w15:restartNumberingAfterBreak="0">
    <w:nsid w:val="46945ADF"/>
    <w:multiLevelType w:val="multilevel"/>
    <w:tmpl w:val="46800F04"/>
    <w:lvl w:ilvl="0">
      <w:start w:val="1"/>
      <w:numFmt w:val="decimal"/>
      <w:pStyle w:val="WCHeading1"/>
      <w:lvlText w:val="%1."/>
      <w:lvlJc w:val="left"/>
      <w:pPr>
        <w:tabs>
          <w:tab w:val="num" w:pos="0"/>
        </w:tabs>
        <w:ind w:left="0" w:firstLine="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WCHeading2"/>
      <w:lvlText w:val="%1.%2"/>
      <w:lvlJc w:val="left"/>
      <w:pPr>
        <w:tabs>
          <w:tab w:val="num" w:pos="0"/>
        </w:tabs>
        <w:ind w:left="0" w:firstLine="0"/>
      </w:pPr>
      <w:rPr>
        <w:rFonts w:ascii="Century Gothic" w:hAnsi="Century Gothic" w:hint="default"/>
        <w:b/>
        <w:i/>
        <w:sz w:val="24"/>
      </w:rPr>
    </w:lvl>
    <w:lvl w:ilvl="2">
      <w:start w:val="1"/>
      <w:numFmt w:val="decimal"/>
      <w:pStyle w:val="WCHeading3"/>
      <w:lvlText w:val="%1.%2.%3"/>
      <w:lvlJc w:val="left"/>
      <w:pPr>
        <w:tabs>
          <w:tab w:val="num" w:pos="0"/>
        </w:tabs>
        <w:ind w:left="0" w:firstLine="0"/>
      </w:pPr>
      <w:rPr>
        <w:rFonts w:ascii="Century Gothic" w:hAnsi="Century Gothic" w:hint="default"/>
        <w:b w:val="0"/>
        <w:i/>
        <w:sz w:val="24"/>
      </w:rPr>
    </w:lvl>
    <w:lvl w:ilvl="3">
      <w:start w:val="1"/>
      <w:numFmt w:val="lowerLetter"/>
      <w:pStyle w:val="WCHeading4"/>
      <w:lvlText w:val="%4)"/>
      <w:lvlJc w:val="left"/>
      <w:pPr>
        <w:tabs>
          <w:tab w:val="num" w:pos="0"/>
        </w:tabs>
        <w:ind w:left="851" w:hanging="851"/>
      </w:pPr>
      <w:rPr>
        <w:rFonts w:ascii="Century Gothic" w:hAnsi="Century Gothic" w:hint="default"/>
        <w:color w:val="auto"/>
        <w:sz w:val="22"/>
      </w:rPr>
    </w:lvl>
    <w:lvl w:ilvl="4">
      <w:start w:val="1"/>
      <w:numFmt w:val="decimal"/>
      <w:lvlText w:val="(%5)"/>
      <w:lvlJc w:val="left"/>
      <w:pPr>
        <w:tabs>
          <w:tab w:val="num" w:pos="0"/>
        </w:tabs>
        <w:ind w:left="0" w:firstLine="0"/>
      </w:pPr>
      <w:rPr>
        <w:rFonts w:ascii="Times New Roman" w:hAnsi="Times New Roman" w:hint="default"/>
        <w:b w:val="0"/>
        <w:i w:val="0"/>
        <w:strike w:val="0"/>
        <w:sz w:val="20"/>
      </w:rPr>
    </w:lvl>
    <w:lvl w:ilvl="5">
      <w:start w:val="1"/>
      <w:numFmt w:val="decimal"/>
      <w:lvlText w:val="(%5).%6"/>
      <w:lvlJc w:val="left"/>
      <w:pPr>
        <w:tabs>
          <w:tab w:val="num" w:pos="0"/>
        </w:tabs>
        <w:ind w:left="0" w:firstLine="0"/>
      </w:pPr>
      <w:rPr>
        <w:rFonts w:hint="default"/>
      </w:rPr>
    </w:lvl>
    <w:lvl w:ilvl="6">
      <w:start w:val="1"/>
      <w:numFmt w:val="decimal"/>
      <w:lvlText w:val="(%5).%6.%7"/>
      <w:lvlJc w:val="left"/>
      <w:pPr>
        <w:tabs>
          <w:tab w:val="num" w:pos="0"/>
        </w:tabs>
        <w:ind w:left="0" w:firstLine="0"/>
      </w:pPr>
      <w:rPr>
        <w:rFonts w:hint="default"/>
      </w:rPr>
    </w:lvl>
    <w:lvl w:ilvl="7">
      <w:start w:val="1"/>
      <w:numFmt w:val="decimal"/>
      <w:lvlText w:val="(%5).%6.%7.%8"/>
      <w:lvlJc w:val="left"/>
      <w:pPr>
        <w:tabs>
          <w:tab w:val="num" w:pos="0"/>
        </w:tabs>
        <w:ind w:left="0" w:firstLine="0"/>
      </w:pPr>
      <w:rPr>
        <w:rFonts w:hint="default"/>
      </w:rPr>
    </w:lvl>
    <w:lvl w:ilvl="8">
      <w:start w:val="1"/>
      <w:numFmt w:val="decimal"/>
      <w:lvlText w:val="(%5).%6.%7.%8.%9"/>
      <w:lvlJc w:val="left"/>
      <w:pPr>
        <w:tabs>
          <w:tab w:val="num" w:pos="0"/>
        </w:tabs>
        <w:ind w:left="0" w:firstLine="0"/>
      </w:pPr>
      <w:rPr>
        <w:rFonts w:hint="default"/>
      </w:rPr>
    </w:lvl>
  </w:abstractNum>
  <w:abstractNum w:abstractNumId="13" w15:restartNumberingAfterBreak="0">
    <w:nsid w:val="56B35BE5"/>
    <w:multiLevelType w:val="hybridMultilevel"/>
    <w:tmpl w:val="55DC57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014571"/>
    <w:multiLevelType w:val="multilevel"/>
    <w:tmpl w:val="1564F75C"/>
    <w:lvl w:ilvl="0">
      <w:start w:val="1"/>
      <w:numFmt w:val="decimal"/>
      <w:pStyle w:val="Heading1"/>
      <w:lvlText w:val="%1."/>
      <w:lvlJc w:val="left"/>
      <w:pPr>
        <w:tabs>
          <w:tab w:val="num" w:pos="0"/>
        </w:tabs>
        <w:ind w:left="0" w:firstLine="0"/>
      </w:pPr>
      <w:rPr>
        <w:rFonts w:ascii="Verdana" w:hAnsi="Verdana" w:hint="default"/>
        <w:b/>
        <w:i w:val="0"/>
        <w:color w:val="86731E" w:themeColor="text1"/>
        <w:sz w:val="24"/>
      </w:rPr>
    </w:lvl>
    <w:lvl w:ilvl="1">
      <w:start w:val="1"/>
      <w:numFmt w:val="decimal"/>
      <w:pStyle w:val="Heading2"/>
      <w:lvlText w:val="%1.%2"/>
      <w:lvlJc w:val="left"/>
      <w:pPr>
        <w:tabs>
          <w:tab w:val="num" w:pos="0"/>
        </w:tabs>
        <w:ind w:left="0" w:firstLine="0"/>
      </w:pPr>
      <w:rPr>
        <w:rFonts w:ascii="Verdana" w:hAnsi="Verdana" w:hint="default"/>
        <w:b/>
        <w:i w:val="0"/>
        <w:color w:val="3E5D57" w:themeColor="text2"/>
        <w:sz w:val="20"/>
      </w:rPr>
    </w:lvl>
    <w:lvl w:ilvl="2">
      <w:start w:val="1"/>
      <w:numFmt w:val="decimal"/>
      <w:pStyle w:val="Heading3"/>
      <w:lvlText w:val="%1.%2.%3"/>
      <w:lvlJc w:val="left"/>
      <w:pPr>
        <w:tabs>
          <w:tab w:val="num" w:pos="142"/>
        </w:tabs>
        <w:ind w:left="369" w:hanging="227"/>
      </w:pPr>
      <w:rPr>
        <w:rFonts w:ascii="Verdana" w:hAnsi="Verdana" w:hint="default"/>
        <w:b/>
        <w:i w:val="0"/>
        <w:color w:val="1F2E2B" w:themeColor="text2" w:themeShade="80"/>
        <w:sz w:val="20"/>
      </w:rPr>
    </w:lvl>
    <w:lvl w:ilvl="3">
      <w:start w:val="1"/>
      <w:numFmt w:val="lowerLetter"/>
      <w:lvlText w:val="%4)"/>
      <w:lvlJc w:val="left"/>
      <w:pPr>
        <w:tabs>
          <w:tab w:val="num" w:pos="0"/>
        </w:tabs>
        <w:ind w:left="851" w:hanging="851"/>
      </w:pPr>
      <w:rPr>
        <w:rFonts w:ascii="Century Gothic" w:hAnsi="Century Gothic" w:hint="default"/>
        <w:color w:val="auto"/>
        <w:sz w:val="22"/>
      </w:rPr>
    </w:lvl>
    <w:lvl w:ilvl="4">
      <w:start w:val="1"/>
      <w:numFmt w:val="decimal"/>
      <w:lvlText w:val="(%5)"/>
      <w:lvlJc w:val="left"/>
      <w:pPr>
        <w:tabs>
          <w:tab w:val="num" w:pos="0"/>
        </w:tabs>
        <w:ind w:left="0" w:firstLine="0"/>
      </w:pPr>
      <w:rPr>
        <w:rFonts w:ascii="Times New Roman" w:hAnsi="Times New Roman" w:hint="default"/>
        <w:b w:val="0"/>
        <w:i w:val="0"/>
        <w:strike w:val="0"/>
        <w:sz w:val="20"/>
      </w:rPr>
    </w:lvl>
    <w:lvl w:ilvl="5">
      <w:start w:val="1"/>
      <w:numFmt w:val="decimal"/>
      <w:lvlText w:val="(%5).%6"/>
      <w:lvlJc w:val="left"/>
      <w:pPr>
        <w:tabs>
          <w:tab w:val="num" w:pos="0"/>
        </w:tabs>
        <w:ind w:left="0" w:firstLine="0"/>
      </w:pPr>
      <w:rPr>
        <w:rFonts w:hint="default"/>
      </w:rPr>
    </w:lvl>
    <w:lvl w:ilvl="6">
      <w:start w:val="1"/>
      <w:numFmt w:val="decimal"/>
      <w:lvlText w:val="(%5).%6.%7"/>
      <w:lvlJc w:val="left"/>
      <w:pPr>
        <w:tabs>
          <w:tab w:val="num" w:pos="0"/>
        </w:tabs>
        <w:ind w:left="0" w:firstLine="0"/>
      </w:pPr>
      <w:rPr>
        <w:rFonts w:hint="default"/>
      </w:rPr>
    </w:lvl>
    <w:lvl w:ilvl="7">
      <w:start w:val="1"/>
      <w:numFmt w:val="decimal"/>
      <w:lvlText w:val="(%5).%6.%7.%8"/>
      <w:lvlJc w:val="left"/>
      <w:pPr>
        <w:tabs>
          <w:tab w:val="num" w:pos="0"/>
        </w:tabs>
        <w:ind w:left="0" w:firstLine="0"/>
      </w:pPr>
      <w:rPr>
        <w:rFonts w:hint="default"/>
      </w:rPr>
    </w:lvl>
    <w:lvl w:ilvl="8">
      <w:start w:val="1"/>
      <w:numFmt w:val="decimal"/>
      <w:lvlText w:val="(%5).%6.%7.%8.%9"/>
      <w:lvlJc w:val="left"/>
      <w:pPr>
        <w:tabs>
          <w:tab w:val="num" w:pos="0"/>
        </w:tabs>
        <w:ind w:left="0" w:firstLine="0"/>
      </w:pPr>
      <w:rPr>
        <w:rFonts w:hint="default"/>
      </w:rPr>
    </w:lvl>
  </w:abstractNum>
  <w:abstractNum w:abstractNumId="15" w15:restartNumberingAfterBreak="0">
    <w:nsid w:val="59C82555"/>
    <w:multiLevelType w:val="multilevel"/>
    <w:tmpl w:val="BA1C47AA"/>
    <w:lvl w:ilvl="0">
      <w:start w:val="1"/>
      <w:numFmt w:val="bullet"/>
      <w:pStyle w:val="BulletListLevel1"/>
      <w:lvlText w:val=""/>
      <w:lvlJc w:val="left"/>
      <w:pPr>
        <w:ind w:left="964" w:hanging="510"/>
      </w:pPr>
      <w:rPr>
        <w:rFonts w:ascii="Symbol" w:hAnsi="Symbol" w:hint="default"/>
        <w:color w:val="auto"/>
      </w:rPr>
    </w:lvl>
    <w:lvl w:ilvl="1">
      <w:start w:val="1"/>
      <w:numFmt w:val="bullet"/>
      <w:lvlText w:val="o"/>
      <w:lvlJc w:val="left"/>
      <w:pPr>
        <w:ind w:left="1418" w:hanging="510"/>
      </w:pPr>
      <w:rPr>
        <w:rFonts w:ascii="Courier New" w:hAnsi="Courier New" w:cs="Courier New" w:hint="default"/>
      </w:rPr>
    </w:lvl>
    <w:lvl w:ilvl="2">
      <w:start w:val="1"/>
      <w:numFmt w:val="decimal"/>
      <w:lvlText w:val="%1.%2.%3."/>
      <w:lvlJc w:val="left"/>
      <w:pPr>
        <w:ind w:left="1872" w:hanging="510"/>
      </w:pPr>
      <w:rPr>
        <w:rFonts w:hint="default"/>
      </w:rPr>
    </w:lvl>
    <w:lvl w:ilvl="3">
      <w:start w:val="1"/>
      <w:numFmt w:val="decimal"/>
      <w:lvlText w:val="%1.%2.%3.%4."/>
      <w:lvlJc w:val="left"/>
      <w:pPr>
        <w:ind w:left="2326" w:hanging="510"/>
      </w:pPr>
      <w:rPr>
        <w:rFonts w:hint="default"/>
      </w:rPr>
    </w:lvl>
    <w:lvl w:ilvl="4">
      <w:start w:val="1"/>
      <w:numFmt w:val="decimal"/>
      <w:lvlText w:val="%1.%2.%3.%4.%5."/>
      <w:lvlJc w:val="left"/>
      <w:pPr>
        <w:ind w:left="2780" w:hanging="510"/>
      </w:pPr>
      <w:rPr>
        <w:rFonts w:hint="default"/>
      </w:rPr>
    </w:lvl>
    <w:lvl w:ilvl="5">
      <w:start w:val="1"/>
      <w:numFmt w:val="decimal"/>
      <w:lvlText w:val="%1.%2.%3.%4.%5.%6."/>
      <w:lvlJc w:val="left"/>
      <w:pPr>
        <w:ind w:left="3234" w:hanging="510"/>
      </w:pPr>
      <w:rPr>
        <w:rFonts w:hint="default"/>
      </w:rPr>
    </w:lvl>
    <w:lvl w:ilvl="6">
      <w:start w:val="1"/>
      <w:numFmt w:val="decimal"/>
      <w:lvlText w:val="%1.%2.%3.%4.%5.%6.%7."/>
      <w:lvlJc w:val="left"/>
      <w:pPr>
        <w:ind w:left="3688" w:hanging="510"/>
      </w:pPr>
      <w:rPr>
        <w:rFonts w:hint="default"/>
      </w:rPr>
    </w:lvl>
    <w:lvl w:ilvl="7">
      <w:start w:val="1"/>
      <w:numFmt w:val="decimal"/>
      <w:lvlText w:val="%1.%2.%3.%4.%5.%6.%7.%8."/>
      <w:lvlJc w:val="left"/>
      <w:pPr>
        <w:ind w:left="4142" w:hanging="510"/>
      </w:pPr>
      <w:rPr>
        <w:rFonts w:hint="default"/>
      </w:rPr>
    </w:lvl>
    <w:lvl w:ilvl="8">
      <w:start w:val="1"/>
      <w:numFmt w:val="decimal"/>
      <w:lvlText w:val="%1.%2.%3.%4.%5.%6.%7.%8.%9."/>
      <w:lvlJc w:val="left"/>
      <w:pPr>
        <w:ind w:left="4596" w:hanging="510"/>
      </w:pPr>
      <w:rPr>
        <w:rFonts w:hint="default"/>
      </w:rPr>
    </w:lvl>
  </w:abstractNum>
  <w:abstractNum w:abstractNumId="16" w15:restartNumberingAfterBreak="0">
    <w:nsid w:val="6C0248AD"/>
    <w:multiLevelType w:val="hybridMultilevel"/>
    <w:tmpl w:val="4BD0DC06"/>
    <w:lvl w:ilvl="0" w:tplc="21A4EE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83F48E8"/>
    <w:multiLevelType w:val="multilevel"/>
    <w:tmpl w:val="57B2AE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pStyle w:val="BulletListLevel3"/>
      <w:lvlText w:val="o"/>
      <w:lvlJc w:val="left"/>
      <w:pPr>
        <w:ind w:left="1871" w:hanging="510"/>
      </w:pPr>
      <w:rPr>
        <w:rFonts w:ascii="Courier New" w:hAnsi="Courier New" w:hint="default"/>
        <w:spacing w:val="-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E0856B3"/>
    <w:multiLevelType w:val="hybridMultilevel"/>
    <w:tmpl w:val="B7B29E62"/>
    <w:lvl w:ilvl="0" w:tplc="9F96CC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69354141">
    <w:abstractNumId w:val="14"/>
  </w:num>
  <w:num w:numId="2" w16cid:durableId="1721321367">
    <w:abstractNumId w:val="5"/>
  </w:num>
  <w:num w:numId="3" w16cid:durableId="1092050180">
    <w:abstractNumId w:val="15"/>
  </w:num>
  <w:num w:numId="4" w16cid:durableId="1009065761">
    <w:abstractNumId w:val="9"/>
  </w:num>
  <w:num w:numId="5" w16cid:durableId="1740860345">
    <w:abstractNumId w:val="17"/>
  </w:num>
  <w:num w:numId="6" w16cid:durableId="8245147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8690282">
    <w:abstractNumId w:val="13"/>
  </w:num>
  <w:num w:numId="8" w16cid:durableId="1776170274">
    <w:abstractNumId w:val="3"/>
  </w:num>
  <w:num w:numId="9" w16cid:durableId="1658026667">
    <w:abstractNumId w:val="4"/>
  </w:num>
  <w:num w:numId="10" w16cid:durableId="1700817717">
    <w:abstractNumId w:val="12"/>
  </w:num>
  <w:num w:numId="11" w16cid:durableId="675960430">
    <w:abstractNumId w:val="6"/>
  </w:num>
  <w:num w:numId="12" w16cid:durableId="1318338965">
    <w:abstractNumId w:val="11"/>
  </w:num>
  <w:num w:numId="13" w16cid:durableId="1798910034">
    <w:abstractNumId w:val="7"/>
  </w:num>
  <w:num w:numId="14" w16cid:durableId="1726098135">
    <w:abstractNumId w:val="10"/>
  </w:num>
  <w:num w:numId="15" w16cid:durableId="1886285899">
    <w:abstractNumId w:val="2"/>
  </w:num>
  <w:num w:numId="16" w16cid:durableId="1379553261">
    <w:abstractNumId w:val="8"/>
  </w:num>
  <w:num w:numId="17" w16cid:durableId="2063282115">
    <w:abstractNumId w:val="18"/>
  </w:num>
  <w:num w:numId="18" w16cid:durableId="1400785462">
    <w:abstractNumId w:val="16"/>
  </w:num>
  <w:num w:numId="19" w16cid:durableId="1670324346">
    <w:abstractNumId w:val="0"/>
  </w:num>
  <w:num w:numId="20" w16cid:durableId="1067066888">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ocumentProtection w:edit="readOnly" w:enforcement="1" w:cryptProviderType="rsaFull" w:cryptAlgorithmClass="hash" w:cryptAlgorithmType="typeAny" w:cryptAlgorithmSid="4" w:cryptSpinCount="100000" w:hash="HUTEl4gEibr5qgVyhWJdmPplR9A=" w:salt="5f4v9rQEnSK9xt/TqJxH+Q=="/>
  <w:defaultTabStop w:val="720"/>
  <w:drawingGridHorizontalSpacing w:val="120"/>
  <w:displayHorizontalDrawingGridEvery w:val="2"/>
  <w:characterSpacingControl w:val="doNotCompress"/>
  <w:hdrShapeDefaults>
    <o:shapedefaults v:ext="edit" spidmax="189441">
      <o:colormenu v:ext="edit" fillcolor="none" strokecolor="none"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4DA"/>
    <w:rsid w:val="000003E6"/>
    <w:rsid w:val="0000055D"/>
    <w:rsid w:val="0000192A"/>
    <w:rsid w:val="00001E13"/>
    <w:rsid w:val="000025A7"/>
    <w:rsid w:val="00002741"/>
    <w:rsid w:val="0000279D"/>
    <w:rsid w:val="00002A09"/>
    <w:rsid w:val="0000407A"/>
    <w:rsid w:val="000050ED"/>
    <w:rsid w:val="000062B3"/>
    <w:rsid w:val="0000651D"/>
    <w:rsid w:val="00006692"/>
    <w:rsid w:val="00011446"/>
    <w:rsid w:val="00012177"/>
    <w:rsid w:val="00014BD3"/>
    <w:rsid w:val="00015430"/>
    <w:rsid w:val="0001568C"/>
    <w:rsid w:val="00015939"/>
    <w:rsid w:val="0001636F"/>
    <w:rsid w:val="000164CB"/>
    <w:rsid w:val="000203FE"/>
    <w:rsid w:val="00021EE0"/>
    <w:rsid w:val="000228E8"/>
    <w:rsid w:val="00023A68"/>
    <w:rsid w:val="00023FDC"/>
    <w:rsid w:val="000241FA"/>
    <w:rsid w:val="00024550"/>
    <w:rsid w:val="00024724"/>
    <w:rsid w:val="000247D1"/>
    <w:rsid w:val="00025405"/>
    <w:rsid w:val="000262F8"/>
    <w:rsid w:val="00027CA3"/>
    <w:rsid w:val="000303C9"/>
    <w:rsid w:val="000315DA"/>
    <w:rsid w:val="000325C4"/>
    <w:rsid w:val="00032EDA"/>
    <w:rsid w:val="000333EA"/>
    <w:rsid w:val="0003350C"/>
    <w:rsid w:val="000335C2"/>
    <w:rsid w:val="00033BCB"/>
    <w:rsid w:val="00033D2E"/>
    <w:rsid w:val="00034707"/>
    <w:rsid w:val="00034A9D"/>
    <w:rsid w:val="00034C33"/>
    <w:rsid w:val="00034F05"/>
    <w:rsid w:val="00035677"/>
    <w:rsid w:val="000356F2"/>
    <w:rsid w:val="000360E8"/>
    <w:rsid w:val="00036793"/>
    <w:rsid w:val="00036847"/>
    <w:rsid w:val="0003731F"/>
    <w:rsid w:val="00037FA0"/>
    <w:rsid w:val="0004074C"/>
    <w:rsid w:val="0004287E"/>
    <w:rsid w:val="00042C2F"/>
    <w:rsid w:val="00043514"/>
    <w:rsid w:val="000439BA"/>
    <w:rsid w:val="0004490A"/>
    <w:rsid w:val="00047624"/>
    <w:rsid w:val="00047718"/>
    <w:rsid w:val="000503B7"/>
    <w:rsid w:val="00050BE9"/>
    <w:rsid w:val="00051442"/>
    <w:rsid w:val="000524E8"/>
    <w:rsid w:val="00052669"/>
    <w:rsid w:val="00053112"/>
    <w:rsid w:val="00053331"/>
    <w:rsid w:val="0005349A"/>
    <w:rsid w:val="000535A0"/>
    <w:rsid w:val="000535D7"/>
    <w:rsid w:val="00054D23"/>
    <w:rsid w:val="000557E0"/>
    <w:rsid w:val="00055BC5"/>
    <w:rsid w:val="000566F9"/>
    <w:rsid w:val="00057C59"/>
    <w:rsid w:val="00057C68"/>
    <w:rsid w:val="000600E2"/>
    <w:rsid w:val="000606BB"/>
    <w:rsid w:val="000608D9"/>
    <w:rsid w:val="00062962"/>
    <w:rsid w:val="0006298B"/>
    <w:rsid w:val="00063097"/>
    <w:rsid w:val="0006344E"/>
    <w:rsid w:val="00063834"/>
    <w:rsid w:val="00063A03"/>
    <w:rsid w:val="0006449E"/>
    <w:rsid w:val="00064CE7"/>
    <w:rsid w:val="00065772"/>
    <w:rsid w:val="000668BF"/>
    <w:rsid w:val="00066D3A"/>
    <w:rsid w:val="00067078"/>
    <w:rsid w:val="000704F8"/>
    <w:rsid w:val="0007062F"/>
    <w:rsid w:val="0007071E"/>
    <w:rsid w:val="00074072"/>
    <w:rsid w:val="00074103"/>
    <w:rsid w:val="00074535"/>
    <w:rsid w:val="00074850"/>
    <w:rsid w:val="00074FF4"/>
    <w:rsid w:val="00075058"/>
    <w:rsid w:val="00075351"/>
    <w:rsid w:val="00075636"/>
    <w:rsid w:val="00075A5C"/>
    <w:rsid w:val="000766C2"/>
    <w:rsid w:val="00077078"/>
    <w:rsid w:val="00080C54"/>
    <w:rsid w:val="000812D9"/>
    <w:rsid w:val="000812DB"/>
    <w:rsid w:val="00081413"/>
    <w:rsid w:val="00083BAE"/>
    <w:rsid w:val="000842CE"/>
    <w:rsid w:val="000847F4"/>
    <w:rsid w:val="000850C9"/>
    <w:rsid w:val="000856D7"/>
    <w:rsid w:val="00085A3D"/>
    <w:rsid w:val="00086196"/>
    <w:rsid w:val="0008641D"/>
    <w:rsid w:val="000867C7"/>
    <w:rsid w:val="0008753A"/>
    <w:rsid w:val="0008797E"/>
    <w:rsid w:val="00090381"/>
    <w:rsid w:val="000903AF"/>
    <w:rsid w:val="00090947"/>
    <w:rsid w:val="00090C2D"/>
    <w:rsid w:val="00091C53"/>
    <w:rsid w:val="00092634"/>
    <w:rsid w:val="00092A70"/>
    <w:rsid w:val="00092CFD"/>
    <w:rsid w:val="00092E88"/>
    <w:rsid w:val="00093114"/>
    <w:rsid w:val="00094D11"/>
    <w:rsid w:val="00095931"/>
    <w:rsid w:val="00097610"/>
    <w:rsid w:val="00097C62"/>
    <w:rsid w:val="000A02DF"/>
    <w:rsid w:val="000A0A0E"/>
    <w:rsid w:val="000A0D4E"/>
    <w:rsid w:val="000A2525"/>
    <w:rsid w:val="000A31B9"/>
    <w:rsid w:val="000A4A3B"/>
    <w:rsid w:val="000A4C86"/>
    <w:rsid w:val="000A5BB7"/>
    <w:rsid w:val="000A5BCC"/>
    <w:rsid w:val="000A5C7B"/>
    <w:rsid w:val="000A62D5"/>
    <w:rsid w:val="000A72E5"/>
    <w:rsid w:val="000B13E6"/>
    <w:rsid w:val="000B1C4F"/>
    <w:rsid w:val="000B22F9"/>
    <w:rsid w:val="000B30A0"/>
    <w:rsid w:val="000B38F1"/>
    <w:rsid w:val="000B3B8B"/>
    <w:rsid w:val="000B3CD6"/>
    <w:rsid w:val="000B4AC6"/>
    <w:rsid w:val="000B4E3E"/>
    <w:rsid w:val="000B5525"/>
    <w:rsid w:val="000B69C2"/>
    <w:rsid w:val="000B6EA4"/>
    <w:rsid w:val="000C0E1B"/>
    <w:rsid w:val="000C0F52"/>
    <w:rsid w:val="000C0F78"/>
    <w:rsid w:val="000C0FC1"/>
    <w:rsid w:val="000C10D6"/>
    <w:rsid w:val="000C13CD"/>
    <w:rsid w:val="000C1C88"/>
    <w:rsid w:val="000C27E1"/>
    <w:rsid w:val="000C28E2"/>
    <w:rsid w:val="000C2E5D"/>
    <w:rsid w:val="000C2F2A"/>
    <w:rsid w:val="000C32C6"/>
    <w:rsid w:val="000C3693"/>
    <w:rsid w:val="000C4113"/>
    <w:rsid w:val="000C442E"/>
    <w:rsid w:val="000C456A"/>
    <w:rsid w:val="000C4D7E"/>
    <w:rsid w:val="000C5A71"/>
    <w:rsid w:val="000C5C83"/>
    <w:rsid w:val="000C6649"/>
    <w:rsid w:val="000C6C3F"/>
    <w:rsid w:val="000C70D3"/>
    <w:rsid w:val="000D0467"/>
    <w:rsid w:val="000D06F2"/>
    <w:rsid w:val="000D288E"/>
    <w:rsid w:val="000D3D25"/>
    <w:rsid w:val="000D4218"/>
    <w:rsid w:val="000D433B"/>
    <w:rsid w:val="000D47BF"/>
    <w:rsid w:val="000D481D"/>
    <w:rsid w:val="000D4B1A"/>
    <w:rsid w:val="000D5196"/>
    <w:rsid w:val="000D5F29"/>
    <w:rsid w:val="000D64C3"/>
    <w:rsid w:val="000E11A8"/>
    <w:rsid w:val="000E177F"/>
    <w:rsid w:val="000E179D"/>
    <w:rsid w:val="000E22CA"/>
    <w:rsid w:val="000E2383"/>
    <w:rsid w:val="000E24DD"/>
    <w:rsid w:val="000E253D"/>
    <w:rsid w:val="000E2A1F"/>
    <w:rsid w:val="000E2F34"/>
    <w:rsid w:val="000E2FAF"/>
    <w:rsid w:val="000E307C"/>
    <w:rsid w:val="000E3263"/>
    <w:rsid w:val="000E43CD"/>
    <w:rsid w:val="000E5B58"/>
    <w:rsid w:val="000E62CA"/>
    <w:rsid w:val="000E74CC"/>
    <w:rsid w:val="000E750B"/>
    <w:rsid w:val="000E7E06"/>
    <w:rsid w:val="000E7FBC"/>
    <w:rsid w:val="000F2D50"/>
    <w:rsid w:val="000F3761"/>
    <w:rsid w:val="000F3883"/>
    <w:rsid w:val="000F53F5"/>
    <w:rsid w:val="000F595E"/>
    <w:rsid w:val="000F6A1C"/>
    <w:rsid w:val="000F6FA5"/>
    <w:rsid w:val="000F718A"/>
    <w:rsid w:val="00100CFC"/>
    <w:rsid w:val="00100D5B"/>
    <w:rsid w:val="00100E16"/>
    <w:rsid w:val="001014E9"/>
    <w:rsid w:val="00101F61"/>
    <w:rsid w:val="0010326C"/>
    <w:rsid w:val="0010396A"/>
    <w:rsid w:val="00103CFE"/>
    <w:rsid w:val="001043B9"/>
    <w:rsid w:val="00104633"/>
    <w:rsid w:val="00104918"/>
    <w:rsid w:val="001054FE"/>
    <w:rsid w:val="0010575B"/>
    <w:rsid w:val="00105D1D"/>
    <w:rsid w:val="00106A0F"/>
    <w:rsid w:val="00106CC1"/>
    <w:rsid w:val="00107165"/>
    <w:rsid w:val="00107D56"/>
    <w:rsid w:val="001105F3"/>
    <w:rsid w:val="001106B3"/>
    <w:rsid w:val="00112C90"/>
    <w:rsid w:val="0011363A"/>
    <w:rsid w:val="00113672"/>
    <w:rsid w:val="00113D25"/>
    <w:rsid w:val="0011480C"/>
    <w:rsid w:val="00115724"/>
    <w:rsid w:val="00116797"/>
    <w:rsid w:val="00116FF4"/>
    <w:rsid w:val="001178A8"/>
    <w:rsid w:val="00117C61"/>
    <w:rsid w:val="00117E2D"/>
    <w:rsid w:val="001206ED"/>
    <w:rsid w:val="00121571"/>
    <w:rsid w:val="00121B9A"/>
    <w:rsid w:val="00123154"/>
    <w:rsid w:val="00123486"/>
    <w:rsid w:val="00123705"/>
    <w:rsid w:val="00123F56"/>
    <w:rsid w:val="001248E0"/>
    <w:rsid w:val="001249C0"/>
    <w:rsid w:val="001262BF"/>
    <w:rsid w:val="001263D4"/>
    <w:rsid w:val="00126C45"/>
    <w:rsid w:val="00126D02"/>
    <w:rsid w:val="00127960"/>
    <w:rsid w:val="00127C5C"/>
    <w:rsid w:val="00127D1C"/>
    <w:rsid w:val="00132191"/>
    <w:rsid w:val="001324B2"/>
    <w:rsid w:val="001331F1"/>
    <w:rsid w:val="00133B76"/>
    <w:rsid w:val="00133C89"/>
    <w:rsid w:val="00133F2E"/>
    <w:rsid w:val="001340F4"/>
    <w:rsid w:val="001345C9"/>
    <w:rsid w:val="00134A68"/>
    <w:rsid w:val="00134F08"/>
    <w:rsid w:val="00134F4B"/>
    <w:rsid w:val="001353D2"/>
    <w:rsid w:val="00135853"/>
    <w:rsid w:val="0013641D"/>
    <w:rsid w:val="001369E3"/>
    <w:rsid w:val="00137392"/>
    <w:rsid w:val="00141B83"/>
    <w:rsid w:val="00141FD8"/>
    <w:rsid w:val="001422CA"/>
    <w:rsid w:val="001444A6"/>
    <w:rsid w:val="0014553D"/>
    <w:rsid w:val="001456C7"/>
    <w:rsid w:val="001463D7"/>
    <w:rsid w:val="00147103"/>
    <w:rsid w:val="00147D5A"/>
    <w:rsid w:val="001511D2"/>
    <w:rsid w:val="0015160B"/>
    <w:rsid w:val="00151E2E"/>
    <w:rsid w:val="00152DD9"/>
    <w:rsid w:val="00152F8F"/>
    <w:rsid w:val="001534EE"/>
    <w:rsid w:val="00153B54"/>
    <w:rsid w:val="00153CFB"/>
    <w:rsid w:val="00154CF1"/>
    <w:rsid w:val="00155231"/>
    <w:rsid w:val="001567A2"/>
    <w:rsid w:val="00156C60"/>
    <w:rsid w:val="00156F1F"/>
    <w:rsid w:val="001573A3"/>
    <w:rsid w:val="0016202B"/>
    <w:rsid w:val="00163284"/>
    <w:rsid w:val="00164894"/>
    <w:rsid w:val="00164D92"/>
    <w:rsid w:val="001652D5"/>
    <w:rsid w:val="00165359"/>
    <w:rsid w:val="00166572"/>
    <w:rsid w:val="00166867"/>
    <w:rsid w:val="00166F72"/>
    <w:rsid w:val="001676C2"/>
    <w:rsid w:val="001705B9"/>
    <w:rsid w:val="00170634"/>
    <w:rsid w:val="00170EF4"/>
    <w:rsid w:val="0017106B"/>
    <w:rsid w:val="00171726"/>
    <w:rsid w:val="00171DBA"/>
    <w:rsid w:val="001727CB"/>
    <w:rsid w:val="00172B8B"/>
    <w:rsid w:val="00172BDB"/>
    <w:rsid w:val="00172F59"/>
    <w:rsid w:val="0017304E"/>
    <w:rsid w:val="001759F4"/>
    <w:rsid w:val="00175FFF"/>
    <w:rsid w:val="0018005D"/>
    <w:rsid w:val="001802F2"/>
    <w:rsid w:val="00180C0F"/>
    <w:rsid w:val="00180DE3"/>
    <w:rsid w:val="00180F0B"/>
    <w:rsid w:val="001812E8"/>
    <w:rsid w:val="0018179A"/>
    <w:rsid w:val="0018203C"/>
    <w:rsid w:val="001827C6"/>
    <w:rsid w:val="001827D4"/>
    <w:rsid w:val="00182C84"/>
    <w:rsid w:val="00182D52"/>
    <w:rsid w:val="0018416D"/>
    <w:rsid w:val="00184206"/>
    <w:rsid w:val="001844E8"/>
    <w:rsid w:val="00184DF0"/>
    <w:rsid w:val="001877D5"/>
    <w:rsid w:val="00187ADF"/>
    <w:rsid w:val="00190502"/>
    <w:rsid w:val="00190A11"/>
    <w:rsid w:val="00190C24"/>
    <w:rsid w:val="00190EAD"/>
    <w:rsid w:val="001910A5"/>
    <w:rsid w:val="001916CE"/>
    <w:rsid w:val="001918D2"/>
    <w:rsid w:val="0019251D"/>
    <w:rsid w:val="00192562"/>
    <w:rsid w:val="00193E91"/>
    <w:rsid w:val="00194119"/>
    <w:rsid w:val="001944D6"/>
    <w:rsid w:val="00194AEC"/>
    <w:rsid w:val="0019674B"/>
    <w:rsid w:val="00197619"/>
    <w:rsid w:val="001A1830"/>
    <w:rsid w:val="001A240C"/>
    <w:rsid w:val="001A2B42"/>
    <w:rsid w:val="001A33A5"/>
    <w:rsid w:val="001A33EF"/>
    <w:rsid w:val="001A4B16"/>
    <w:rsid w:val="001A504D"/>
    <w:rsid w:val="001A60A5"/>
    <w:rsid w:val="001A62E1"/>
    <w:rsid w:val="001A6635"/>
    <w:rsid w:val="001A7B2A"/>
    <w:rsid w:val="001B0366"/>
    <w:rsid w:val="001B0519"/>
    <w:rsid w:val="001B1D07"/>
    <w:rsid w:val="001B2F25"/>
    <w:rsid w:val="001B2FD7"/>
    <w:rsid w:val="001B381A"/>
    <w:rsid w:val="001B3A14"/>
    <w:rsid w:val="001B411A"/>
    <w:rsid w:val="001B4122"/>
    <w:rsid w:val="001B41BA"/>
    <w:rsid w:val="001B568C"/>
    <w:rsid w:val="001B6E70"/>
    <w:rsid w:val="001B7728"/>
    <w:rsid w:val="001B7879"/>
    <w:rsid w:val="001B7EB9"/>
    <w:rsid w:val="001C0094"/>
    <w:rsid w:val="001C0112"/>
    <w:rsid w:val="001C26B9"/>
    <w:rsid w:val="001C3D55"/>
    <w:rsid w:val="001C5A3C"/>
    <w:rsid w:val="001C6A10"/>
    <w:rsid w:val="001C7190"/>
    <w:rsid w:val="001D108E"/>
    <w:rsid w:val="001D4657"/>
    <w:rsid w:val="001D494F"/>
    <w:rsid w:val="001D6911"/>
    <w:rsid w:val="001D7880"/>
    <w:rsid w:val="001E0B07"/>
    <w:rsid w:val="001E2215"/>
    <w:rsid w:val="001E3447"/>
    <w:rsid w:val="001E3D88"/>
    <w:rsid w:val="001E4BA1"/>
    <w:rsid w:val="001E4E36"/>
    <w:rsid w:val="001E6EC8"/>
    <w:rsid w:val="001E769A"/>
    <w:rsid w:val="001E785F"/>
    <w:rsid w:val="001E7CA1"/>
    <w:rsid w:val="001E7D08"/>
    <w:rsid w:val="001F057B"/>
    <w:rsid w:val="001F115D"/>
    <w:rsid w:val="001F1FB7"/>
    <w:rsid w:val="001F2277"/>
    <w:rsid w:val="001F2655"/>
    <w:rsid w:val="001F2A92"/>
    <w:rsid w:val="001F2EE5"/>
    <w:rsid w:val="001F3B87"/>
    <w:rsid w:val="001F6445"/>
    <w:rsid w:val="001F6A80"/>
    <w:rsid w:val="001F6F23"/>
    <w:rsid w:val="001F77D0"/>
    <w:rsid w:val="002001BD"/>
    <w:rsid w:val="002008E6"/>
    <w:rsid w:val="002019AF"/>
    <w:rsid w:val="00201B0B"/>
    <w:rsid w:val="002027BB"/>
    <w:rsid w:val="00204717"/>
    <w:rsid w:val="00204B99"/>
    <w:rsid w:val="002050D9"/>
    <w:rsid w:val="00206224"/>
    <w:rsid w:val="002065B1"/>
    <w:rsid w:val="00206802"/>
    <w:rsid w:val="0020727C"/>
    <w:rsid w:val="002077EA"/>
    <w:rsid w:val="00207CF5"/>
    <w:rsid w:val="00210341"/>
    <w:rsid w:val="0021040A"/>
    <w:rsid w:val="0021069B"/>
    <w:rsid w:val="00213027"/>
    <w:rsid w:val="00213514"/>
    <w:rsid w:val="0021382E"/>
    <w:rsid w:val="002138EB"/>
    <w:rsid w:val="00213AB1"/>
    <w:rsid w:val="00214B02"/>
    <w:rsid w:val="00214E5D"/>
    <w:rsid w:val="0021538F"/>
    <w:rsid w:val="00216739"/>
    <w:rsid w:val="0021692A"/>
    <w:rsid w:val="002169C2"/>
    <w:rsid w:val="00216CB8"/>
    <w:rsid w:val="00217684"/>
    <w:rsid w:val="00220036"/>
    <w:rsid w:val="002205DC"/>
    <w:rsid w:val="00221973"/>
    <w:rsid w:val="002223B8"/>
    <w:rsid w:val="002225E6"/>
    <w:rsid w:val="00222B01"/>
    <w:rsid w:val="00223968"/>
    <w:rsid w:val="00223F12"/>
    <w:rsid w:val="0022429D"/>
    <w:rsid w:val="00225025"/>
    <w:rsid w:val="002254AD"/>
    <w:rsid w:val="002259F2"/>
    <w:rsid w:val="002265C8"/>
    <w:rsid w:val="00226E37"/>
    <w:rsid w:val="002270AE"/>
    <w:rsid w:val="00230274"/>
    <w:rsid w:val="00230433"/>
    <w:rsid w:val="00231E26"/>
    <w:rsid w:val="00233400"/>
    <w:rsid w:val="00233DA3"/>
    <w:rsid w:val="00235FCB"/>
    <w:rsid w:val="0023622E"/>
    <w:rsid w:val="00236C0E"/>
    <w:rsid w:val="00237100"/>
    <w:rsid w:val="00237AA1"/>
    <w:rsid w:val="00237E29"/>
    <w:rsid w:val="0024067B"/>
    <w:rsid w:val="00242680"/>
    <w:rsid w:val="002428B4"/>
    <w:rsid w:val="00242CA4"/>
    <w:rsid w:val="00242E80"/>
    <w:rsid w:val="00243173"/>
    <w:rsid w:val="0024336F"/>
    <w:rsid w:val="00243451"/>
    <w:rsid w:val="00244550"/>
    <w:rsid w:val="00245969"/>
    <w:rsid w:val="00245D87"/>
    <w:rsid w:val="002476D1"/>
    <w:rsid w:val="00250CB1"/>
    <w:rsid w:val="00251226"/>
    <w:rsid w:val="00251337"/>
    <w:rsid w:val="00252B09"/>
    <w:rsid w:val="00252DB9"/>
    <w:rsid w:val="00252FA3"/>
    <w:rsid w:val="00253C54"/>
    <w:rsid w:val="00253FE1"/>
    <w:rsid w:val="00254740"/>
    <w:rsid w:val="00254845"/>
    <w:rsid w:val="00254BC8"/>
    <w:rsid w:val="00255380"/>
    <w:rsid w:val="00255A76"/>
    <w:rsid w:val="002560A6"/>
    <w:rsid w:val="0025648F"/>
    <w:rsid w:val="002564D6"/>
    <w:rsid w:val="00256DC5"/>
    <w:rsid w:val="002571B8"/>
    <w:rsid w:val="00257F60"/>
    <w:rsid w:val="00260960"/>
    <w:rsid w:val="0026102C"/>
    <w:rsid w:val="00261408"/>
    <w:rsid w:val="00262004"/>
    <w:rsid w:val="00262BE9"/>
    <w:rsid w:val="00263B8F"/>
    <w:rsid w:val="002655BC"/>
    <w:rsid w:val="00265EBB"/>
    <w:rsid w:val="0026669B"/>
    <w:rsid w:val="0026708B"/>
    <w:rsid w:val="00267CEE"/>
    <w:rsid w:val="00271728"/>
    <w:rsid w:val="002718F1"/>
    <w:rsid w:val="00271C47"/>
    <w:rsid w:val="00271CEC"/>
    <w:rsid w:val="002727A5"/>
    <w:rsid w:val="00272A8B"/>
    <w:rsid w:val="00272B6E"/>
    <w:rsid w:val="002742A1"/>
    <w:rsid w:val="0027456B"/>
    <w:rsid w:val="00274883"/>
    <w:rsid w:val="00274921"/>
    <w:rsid w:val="00277825"/>
    <w:rsid w:val="002803AA"/>
    <w:rsid w:val="002818AA"/>
    <w:rsid w:val="002822CD"/>
    <w:rsid w:val="00282A90"/>
    <w:rsid w:val="00282AA2"/>
    <w:rsid w:val="00282DFD"/>
    <w:rsid w:val="00283204"/>
    <w:rsid w:val="00284F21"/>
    <w:rsid w:val="00285694"/>
    <w:rsid w:val="00291093"/>
    <w:rsid w:val="0029240E"/>
    <w:rsid w:val="00292C9D"/>
    <w:rsid w:val="00293D79"/>
    <w:rsid w:val="002943CB"/>
    <w:rsid w:val="0029446B"/>
    <w:rsid w:val="002944E4"/>
    <w:rsid w:val="00294CDF"/>
    <w:rsid w:val="00295578"/>
    <w:rsid w:val="00295655"/>
    <w:rsid w:val="00296295"/>
    <w:rsid w:val="002962FD"/>
    <w:rsid w:val="0029680B"/>
    <w:rsid w:val="00297327"/>
    <w:rsid w:val="00297437"/>
    <w:rsid w:val="002A0575"/>
    <w:rsid w:val="002A17CE"/>
    <w:rsid w:val="002A2418"/>
    <w:rsid w:val="002A2F7C"/>
    <w:rsid w:val="002A38B0"/>
    <w:rsid w:val="002A39EF"/>
    <w:rsid w:val="002A3B08"/>
    <w:rsid w:val="002A4E4E"/>
    <w:rsid w:val="002A690C"/>
    <w:rsid w:val="002A7687"/>
    <w:rsid w:val="002A7D2D"/>
    <w:rsid w:val="002B0241"/>
    <w:rsid w:val="002B059B"/>
    <w:rsid w:val="002B073A"/>
    <w:rsid w:val="002B1121"/>
    <w:rsid w:val="002B151A"/>
    <w:rsid w:val="002B1BA5"/>
    <w:rsid w:val="002B2640"/>
    <w:rsid w:val="002B2D60"/>
    <w:rsid w:val="002B37AB"/>
    <w:rsid w:val="002B3A22"/>
    <w:rsid w:val="002B3B4A"/>
    <w:rsid w:val="002B43CC"/>
    <w:rsid w:val="002B4802"/>
    <w:rsid w:val="002B5E74"/>
    <w:rsid w:val="002B5F5D"/>
    <w:rsid w:val="002B740F"/>
    <w:rsid w:val="002B79AC"/>
    <w:rsid w:val="002B7D91"/>
    <w:rsid w:val="002C008B"/>
    <w:rsid w:val="002C0147"/>
    <w:rsid w:val="002C0418"/>
    <w:rsid w:val="002C041D"/>
    <w:rsid w:val="002C17C3"/>
    <w:rsid w:val="002C2058"/>
    <w:rsid w:val="002C3275"/>
    <w:rsid w:val="002C47A4"/>
    <w:rsid w:val="002C4C8C"/>
    <w:rsid w:val="002C4DA9"/>
    <w:rsid w:val="002C4E0E"/>
    <w:rsid w:val="002C5C8B"/>
    <w:rsid w:val="002C6864"/>
    <w:rsid w:val="002C6BAB"/>
    <w:rsid w:val="002C6BEC"/>
    <w:rsid w:val="002C70A6"/>
    <w:rsid w:val="002C7271"/>
    <w:rsid w:val="002C75AA"/>
    <w:rsid w:val="002C7CCB"/>
    <w:rsid w:val="002D0521"/>
    <w:rsid w:val="002D18FF"/>
    <w:rsid w:val="002D1CE6"/>
    <w:rsid w:val="002D1F17"/>
    <w:rsid w:val="002D28F7"/>
    <w:rsid w:val="002D29C4"/>
    <w:rsid w:val="002D35F8"/>
    <w:rsid w:val="002D3A6E"/>
    <w:rsid w:val="002D3FA6"/>
    <w:rsid w:val="002D5738"/>
    <w:rsid w:val="002D5C3B"/>
    <w:rsid w:val="002D735F"/>
    <w:rsid w:val="002D73D2"/>
    <w:rsid w:val="002E06E1"/>
    <w:rsid w:val="002E097A"/>
    <w:rsid w:val="002E1DFA"/>
    <w:rsid w:val="002E2316"/>
    <w:rsid w:val="002E27DA"/>
    <w:rsid w:val="002E3897"/>
    <w:rsid w:val="002E3EDD"/>
    <w:rsid w:val="002E55C3"/>
    <w:rsid w:val="002E7282"/>
    <w:rsid w:val="002E7B52"/>
    <w:rsid w:val="002F029C"/>
    <w:rsid w:val="002F02E1"/>
    <w:rsid w:val="002F12D6"/>
    <w:rsid w:val="002F1725"/>
    <w:rsid w:val="002F1A0F"/>
    <w:rsid w:val="002F1DD7"/>
    <w:rsid w:val="002F2221"/>
    <w:rsid w:val="002F30AF"/>
    <w:rsid w:val="002F32C8"/>
    <w:rsid w:val="002F3E00"/>
    <w:rsid w:val="002F4B2B"/>
    <w:rsid w:val="002F582E"/>
    <w:rsid w:val="002F5885"/>
    <w:rsid w:val="002F6908"/>
    <w:rsid w:val="002F69BD"/>
    <w:rsid w:val="002F7455"/>
    <w:rsid w:val="002F7770"/>
    <w:rsid w:val="003009EF"/>
    <w:rsid w:val="00300A55"/>
    <w:rsid w:val="003011EB"/>
    <w:rsid w:val="003014A3"/>
    <w:rsid w:val="003020CF"/>
    <w:rsid w:val="00302712"/>
    <w:rsid w:val="0030348F"/>
    <w:rsid w:val="00303897"/>
    <w:rsid w:val="00304C5F"/>
    <w:rsid w:val="00304C7E"/>
    <w:rsid w:val="00304F08"/>
    <w:rsid w:val="00305570"/>
    <w:rsid w:val="00305AEE"/>
    <w:rsid w:val="00305C42"/>
    <w:rsid w:val="00305D47"/>
    <w:rsid w:val="00305F01"/>
    <w:rsid w:val="0030662B"/>
    <w:rsid w:val="003071E7"/>
    <w:rsid w:val="0030787D"/>
    <w:rsid w:val="00307CD6"/>
    <w:rsid w:val="00307D58"/>
    <w:rsid w:val="0031156D"/>
    <w:rsid w:val="00311C5C"/>
    <w:rsid w:val="0031297F"/>
    <w:rsid w:val="003139EE"/>
    <w:rsid w:val="0031626C"/>
    <w:rsid w:val="00316BDE"/>
    <w:rsid w:val="00316E3A"/>
    <w:rsid w:val="00320786"/>
    <w:rsid w:val="00321A6F"/>
    <w:rsid w:val="00322929"/>
    <w:rsid w:val="00322E07"/>
    <w:rsid w:val="00323836"/>
    <w:rsid w:val="0032386F"/>
    <w:rsid w:val="0032403E"/>
    <w:rsid w:val="00324431"/>
    <w:rsid w:val="003249B6"/>
    <w:rsid w:val="00324CAC"/>
    <w:rsid w:val="00324F56"/>
    <w:rsid w:val="003256DE"/>
    <w:rsid w:val="003257A6"/>
    <w:rsid w:val="00326340"/>
    <w:rsid w:val="003267A2"/>
    <w:rsid w:val="0032759B"/>
    <w:rsid w:val="003276C1"/>
    <w:rsid w:val="0032784D"/>
    <w:rsid w:val="00327AA0"/>
    <w:rsid w:val="003309A6"/>
    <w:rsid w:val="00331350"/>
    <w:rsid w:val="003313C7"/>
    <w:rsid w:val="00333490"/>
    <w:rsid w:val="00333795"/>
    <w:rsid w:val="00334670"/>
    <w:rsid w:val="003347A2"/>
    <w:rsid w:val="0033526B"/>
    <w:rsid w:val="00335322"/>
    <w:rsid w:val="003356A1"/>
    <w:rsid w:val="003362C6"/>
    <w:rsid w:val="00336BEC"/>
    <w:rsid w:val="00337972"/>
    <w:rsid w:val="003412DD"/>
    <w:rsid w:val="00341837"/>
    <w:rsid w:val="00341E08"/>
    <w:rsid w:val="00342529"/>
    <w:rsid w:val="003425DE"/>
    <w:rsid w:val="00342B38"/>
    <w:rsid w:val="003438FF"/>
    <w:rsid w:val="00343E75"/>
    <w:rsid w:val="003441CA"/>
    <w:rsid w:val="0034427A"/>
    <w:rsid w:val="00344478"/>
    <w:rsid w:val="0034574C"/>
    <w:rsid w:val="003458C8"/>
    <w:rsid w:val="00345BF2"/>
    <w:rsid w:val="00346433"/>
    <w:rsid w:val="00346660"/>
    <w:rsid w:val="00347B0B"/>
    <w:rsid w:val="00347B98"/>
    <w:rsid w:val="00347DF5"/>
    <w:rsid w:val="003502E2"/>
    <w:rsid w:val="003506AB"/>
    <w:rsid w:val="003517C5"/>
    <w:rsid w:val="00351920"/>
    <w:rsid w:val="00351CFC"/>
    <w:rsid w:val="00354523"/>
    <w:rsid w:val="00354F76"/>
    <w:rsid w:val="00355782"/>
    <w:rsid w:val="00355E9A"/>
    <w:rsid w:val="00355FF0"/>
    <w:rsid w:val="003561C0"/>
    <w:rsid w:val="00356269"/>
    <w:rsid w:val="00357FA1"/>
    <w:rsid w:val="003617AC"/>
    <w:rsid w:val="00361BC5"/>
    <w:rsid w:val="0036213E"/>
    <w:rsid w:val="0036300F"/>
    <w:rsid w:val="003635D5"/>
    <w:rsid w:val="00364E02"/>
    <w:rsid w:val="003653C1"/>
    <w:rsid w:val="00366D92"/>
    <w:rsid w:val="0036702B"/>
    <w:rsid w:val="00367DB1"/>
    <w:rsid w:val="003706D2"/>
    <w:rsid w:val="003710BB"/>
    <w:rsid w:val="00371FCA"/>
    <w:rsid w:val="00372625"/>
    <w:rsid w:val="003727E3"/>
    <w:rsid w:val="00374451"/>
    <w:rsid w:val="0037505C"/>
    <w:rsid w:val="00375B8E"/>
    <w:rsid w:val="003767E8"/>
    <w:rsid w:val="00376E69"/>
    <w:rsid w:val="00377682"/>
    <w:rsid w:val="003779B6"/>
    <w:rsid w:val="00377D1C"/>
    <w:rsid w:val="00380843"/>
    <w:rsid w:val="00380D7A"/>
    <w:rsid w:val="00380F61"/>
    <w:rsid w:val="00381EE0"/>
    <w:rsid w:val="003824CF"/>
    <w:rsid w:val="003826C8"/>
    <w:rsid w:val="0038359E"/>
    <w:rsid w:val="00383883"/>
    <w:rsid w:val="00383DFE"/>
    <w:rsid w:val="0038422F"/>
    <w:rsid w:val="00384835"/>
    <w:rsid w:val="00384DDD"/>
    <w:rsid w:val="003850A7"/>
    <w:rsid w:val="00385868"/>
    <w:rsid w:val="00386ED2"/>
    <w:rsid w:val="0038746A"/>
    <w:rsid w:val="00390840"/>
    <w:rsid w:val="00390B61"/>
    <w:rsid w:val="0039132D"/>
    <w:rsid w:val="00391419"/>
    <w:rsid w:val="00392BA9"/>
    <w:rsid w:val="00392D94"/>
    <w:rsid w:val="003934A8"/>
    <w:rsid w:val="003943DD"/>
    <w:rsid w:val="00394D62"/>
    <w:rsid w:val="00394E39"/>
    <w:rsid w:val="0039566D"/>
    <w:rsid w:val="00395E32"/>
    <w:rsid w:val="00396CB3"/>
    <w:rsid w:val="003A0184"/>
    <w:rsid w:val="003A2393"/>
    <w:rsid w:val="003A3559"/>
    <w:rsid w:val="003A3858"/>
    <w:rsid w:val="003A3861"/>
    <w:rsid w:val="003A3C55"/>
    <w:rsid w:val="003A4AAA"/>
    <w:rsid w:val="003A4DBE"/>
    <w:rsid w:val="003A4FD6"/>
    <w:rsid w:val="003A5161"/>
    <w:rsid w:val="003A59A2"/>
    <w:rsid w:val="003A5A3D"/>
    <w:rsid w:val="003A5B04"/>
    <w:rsid w:val="003A68AF"/>
    <w:rsid w:val="003A70E1"/>
    <w:rsid w:val="003B0067"/>
    <w:rsid w:val="003B1F3F"/>
    <w:rsid w:val="003B2069"/>
    <w:rsid w:val="003B264B"/>
    <w:rsid w:val="003B29C0"/>
    <w:rsid w:val="003B2DA4"/>
    <w:rsid w:val="003B34D4"/>
    <w:rsid w:val="003B491B"/>
    <w:rsid w:val="003B6B43"/>
    <w:rsid w:val="003B6E6E"/>
    <w:rsid w:val="003B793A"/>
    <w:rsid w:val="003C0259"/>
    <w:rsid w:val="003C0D28"/>
    <w:rsid w:val="003C3B32"/>
    <w:rsid w:val="003C494E"/>
    <w:rsid w:val="003C5BA3"/>
    <w:rsid w:val="003C5EE5"/>
    <w:rsid w:val="003C6E97"/>
    <w:rsid w:val="003C74FB"/>
    <w:rsid w:val="003C7DE8"/>
    <w:rsid w:val="003D0910"/>
    <w:rsid w:val="003D0E83"/>
    <w:rsid w:val="003D21ED"/>
    <w:rsid w:val="003D49F7"/>
    <w:rsid w:val="003D4DF8"/>
    <w:rsid w:val="003D4E1F"/>
    <w:rsid w:val="003D4E68"/>
    <w:rsid w:val="003D5012"/>
    <w:rsid w:val="003D63E1"/>
    <w:rsid w:val="003E009F"/>
    <w:rsid w:val="003E0D1B"/>
    <w:rsid w:val="003E105B"/>
    <w:rsid w:val="003E110B"/>
    <w:rsid w:val="003E187E"/>
    <w:rsid w:val="003E22C1"/>
    <w:rsid w:val="003E3099"/>
    <w:rsid w:val="003E3A50"/>
    <w:rsid w:val="003E5367"/>
    <w:rsid w:val="003E589A"/>
    <w:rsid w:val="003E5B3C"/>
    <w:rsid w:val="003E5D45"/>
    <w:rsid w:val="003E5DAF"/>
    <w:rsid w:val="003E6100"/>
    <w:rsid w:val="003E668E"/>
    <w:rsid w:val="003E6748"/>
    <w:rsid w:val="003E6819"/>
    <w:rsid w:val="003E6F4A"/>
    <w:rsid w:val="003F0429"/>
    <w:rsid w:val="003F1CDA"/>
    <w:rsid w:val="003F1E75"/>
    <w:rsid w:val="003F1EA0"/>
    <w:rsid w:val="003F1FD2"/>
    <w:rsid w:val="003F336C"/>
    <w:rsid w:val="003F375D"/>
    <w:rsid w:val="003F3D4E"/>
    <w:rsid w:val="003F453F"/>
    <w:rsid w:val="003F58F8"/>
    <w:rsid w:val="003F5A9A"/>
    <w:rsid w:val="003F5AA9"/>
    <w:rsid w:val="003F72E6"/>
    <w:rsid w:val="004000E3"/>
    <w:rsid w:val="004001A8"/>
    <w:rsid w:val="00400534"/>
    <w:rsid w:val="00400F81"/>
    <w:rsid w:val="00401112"/>
    <w:rsid w:val="004020BA"/>
    <w:rsid w:val="00402527"/>
    <w:rsid w:val="00402D73"/>
    <w:rsid w:val="00402DA0"/>
    <w:rsid w:val="00402DB2"/>
    <w:rsid w:val="00403F57"/>
    <w:rsid w:val="0040432C"/>
    <w:rsid w:val="00404A37"/>
    <w:rsid w:val="00404B80"/>
    <w:rsid w:val="004054B6"/>
    <w:rsid w:val="00405B29"/>
    <w:rsid w:val="00407975"/>
    <w:rsid w:val="00410959"/>
    <w:rsid w:val="00410969"/>
    <w:rsid w:val="0041273C"/>
    <w:rsid w:val="00412AD6"/>
    <w:rsid w:val="00412B95"/>
    <w:rsid w:val="00412E10"/>
    <w:rsid w:val="00414296"/>
    <w:rsid w:val="00414EA8"/>
    <w:rsid w:val="004158C4"/>
    <w:rsid w:val="00417A0A"/>
    <w:rsid w:val="0042135E"/>
    <w:rsid w:val="004217D9"/>
    <w:rsid w:val="00421A61"/>
    <w:rsid w:val="00421C11"/>
    <w:rsid w:val="00422930"/>
    <w:rsid w:val="00423F01"/>
    <w:rsid w:val="004242CF"/>
    <w:rsid w:val="00424E56"/>
    <w:rsid w:val="00425938"/>
    <w:rsid w:val="004262D5"/>
    <w:rsid w:val="0042633A"/>
    <w:rsid w:val="0042643E"/>
    <w:rsid w:val="00426614"/>
    <w:rsid w:val="00427359"/>
    <w:rsid w:val="004303A7"/>
    <w:rsid w:val="00430D51"/>
    <w:rsid w:val="004317A4"/>
    <w:rsid w:val="0043249C"/>
    <w:rsid w:val="00433557"/>
    <w:rsid w:val="00433AAD"/>
    <w:rsid w:val="00434021"/>
    <w:rsid w:val="00434140"/>
    <w:rsid w:val="00434457"/>
    <w:rsid w:val="00434A28"/>
    <w:rsid w:val="00434DE9"/>
    <w:rsid w:val="00435830"/>
    <w:rsid w:val="00437462"/>
    <w:rsid w:val="004401F3"/>
    <w:rsid w:val="00441572"/>
    <w:rsid w:val="004421D7"/>
    <w:rsid w:val="0044251E"/>
    <w:rsid w:val="004427AD"/>
    <w:rsid w:val="00443544"/>
    <w:rsid w:val="00444008"/>
    <w:rsid w:val="00444570"/>
    <w:rsid w:val="0044514B"/>
    <w:rsid w:val="004451B5"/>
    <w:rsid w:val="00446B82"/>
    <w:rsid w:val="004470B8"/>
    <w:rsid w:val="00447CEF"/>
    <w:rsid w:val="004518E7"/>
    <w:rsid w:val="00451B95"/>
    <w:rsid w:val="004523C8"/>
    <w:rsid w:val="00454FF4"/>
    <w:rsid w:val="00455008"/>
    <w:rsid w:val="0045535F"/>
    <w:rsid w:val="00455687"/>
    <w:rsid w:val="00455BF9"/>
    <w:rsid w:val="00455CA5"/>
    <w:rsid w:val="00455D62"/>
    <w:rsid w:val="00456191"/>
    <w:rsid w:val="00457544"/>
    <w:rsid w:val="004576D0"/>
    <w:rsid w:val="00457DAE"/>
    <w:rsid w:val="0046106D"/>
    <w:rsid w:val="004610A1"/>
    <w:rsid w:val="00461790"/>
    <w:rsid w:val="00462488"/>
    <w:rsid w:val="004639FE"/>
    <w:rsid w:val="00464A80"/>
    <w:rsid w:val="0046684F"/>
    <w:rsid w:val="00466A34"/>
    <w:rsid w:val="00467353"/>
    <w:rsid w:val="00467489"/>
    <w:rsid w:val="00471105"/>
    <w:rsid w:val="00471A32"/>
    <w:rsid w:val="00473414"/>
    <w:rsid w:val="00474DAF"/>
    <w:rsid w:val="00475DA0"/>
    <w:rsid w:val="00477DEE"/>
    <w:rsid w:val="00480628"/>
    <w:rsid w:val="004809D3"/>
    <w:rsid w:val="004812C3"/>
    <w:rsid w:val="0048152F"/>
    <w:rsid w:val="00482990"/>
    <w:rsid w:val="004830EB"/>
    <w:rsid w:val="00484288"/>
    <w:rsid w:val="0048626F"/>
    <w:rsid w:val="00486775"/>
    <w:rsid w:val="00486DD0"/>
    <w:rsid w:val="00487568"/>
    <w:rsid w:val="004876FA"/>
    <w:rsid w:val="00487B91"/>
    <w:rsid w:val="004904AF"/>
    <w:rsid w:val="00492A0E"/>
    <w:rsid w:val="004930C8"/>
    <w:rsid w:val="004939DB"/>
    <w:rsid w:val="00494DEA"/>
    <w:rsid w:val="00495D17"/>
    <w:rsid w:val="00495FCC"/>
    <w:rsid w:val="00497427"/>
    <w:rsid w:val="004A00F9"/>
    <w:rsid w:val="004A018F"/>
    <w:rsid w:val="004A025E"/>
    <w:rsid w:val="004A2499"/>
    <w:rsid w:val="004A2867"/>
    <w:rsid w:val="004A2E60"/>
    <w:rsid w:val="004A3136"/>
    <w:rsid w:val="004A33C3"/>
    <w:rsid w:val="004A505D"/>
    <w:rsid w:val="004A5661"/>
    <w:rsid w:val="004A5C56"/>
    <w:rsid w:val="004A5F9F"/>
    <w:rsid w:val="004A6807"/>
    <w:rsid w:val="004A6EE6"/>
    <w:rsid w:val="004A72E0"/>
    <w:rsid w:val="004B1170"/>
    <w:rsid w:val="004B2097"/>
    <w:rsid w:val="004B2DF7"/>
    <w:rsid w:val="004B3D24"/>
    <w:rsid w:val="004B4D35"/>
    <w:rsid w:val="004B6904"/>
    <w:rsid w:val="004B6BAD"/>
    <w:rsid w:val="004B71F1"/>
    <w:rsid w:val="004C07C2"/>
    <w:rsid w:val="004C140C"/>
    <w:rsid w:val="004C144C"/>
    <w:rsid w:val="004C1BA9"/>
    <w:rsid w:val="004C1C6F"/>
    <w:rsid w:val="004C1CF1"/>
    <w:rsid w:val="004C1EBE"/>
    <w:rsid w:val="004C1FB4"/>
    <w:rsid w:val="004C26D2"/>
    <w:rsid w:val="004C26D6"/>
    <w:rsid w:val="004C2BDA"/>
    <w:rsid w:val="004C32B8"/>
    <w:rsid w:val="004C38B1"/>
    <w:rsid w:val="004C3DC8"/>
    <w:rsid w:val="004C3E50"/>
    <w:rsid w:val="004C592E"/>
    <w:rsid w:val="004C6653"/>
    <w:rsid w:val="004C6D25"/>
    <w:rsid w:val="004D0569"/>
    <w:rsid w:val="004D0D4D"/>
    <w:rsid w:val="004D1935"/>
    <w:rsid w:val="004D1A18"/>
    <w:rsid w:val="004D28F5"/>
    <w:rsid w:val="004D2C1A"/>
    <w:rsid w:val="004D2D55"/>
    <w:rsid w:val="004D3D97"/>
    <w:rsid w:val="004D4216"/>
    <w:rsid w:val="004D48FF"/>
    <w:rsid w:val="004D4CDC"/>
    <w:rsid w:val="004D51ED"/>
    <w:rsid w:val="004D5253"/>
    <w:rsid w:val="004D65CB"/>
    <w:rsid w:val="004D78C3"/>
    <w:rsid w:val="004E0092"/>
    <w:rsid w:val="004E0771"/>
    <w:rsid w:val="004E0AA0"/>
    <w:rsid w:val="004E0D49"/>
    <w:rsid w:val="004E1BDE"/>
    <w:rsid w:val="004E224E"/>
    <w:rsid w:val="004E26AB"/>
    <w:rsid w:val="004E3AAD"/>
    <w:rsid w:val="004E3FF7"/>
    <w:rsid w:val="004E4A30"/>
    <w:rsid w:val="004E582C"/>
    <w:rsid w:val="004E59EB"/>
    <w:rsid w:val="004E687F"/>
    <w:rsid w:val="004E700C"/>
    <w:rsid w:val="004E712C"/>
    <w:rsid w:val="004F00AC"/>
    <w:rsid w:val="004F1734"/>
    <w:rsid w:val="004F2368"/>
    <w:rsid w:val="004F2603"/>
    <w:rsid w:val="004F37A2"/>
    <w:rsid w:val="004F3CAF"/>
    <w:rsid w:val="004F4FA6"/>
    <w:rsid w:val="004F52A7"/>
    <w:rsid w:val="004F57B2"/>
    <w:rsid w:val="004F6320"/>
    <w:rsid w:val="004F6877"/>
    <w:rsid w:val="005002E1"/>
    <w:rsid w:val="00500520"/>
    <w:rsid w:val="005011B4"/>
    <w:rsid w:val="0050196A"/>
    <w:rsid w:val="005037F7"/>
    <w:rsid w:val="00503810"/>
    <w:rsid w:val="005039F7"/>
    <w:rsid w:val="005045C4"/>
    <w:rsid w:val="005047BF"/>
    <w:rsid w:val="00504EB4"/>
    <w:rsid w:val="00504FAF"/>
    <w:rsid w:val="00506A7F"/>
    <w:rsid w:val="0050712A"/>
    <w:rsid w:val="00507649"/>
    <w:rsid w:val="00507D85"/>
    <w:rsid w:val="00510CF1"/>
    <w:rsid w:val="00510DC0"/>
    <w:rsid w:val="0051219B"/>
    <w:rsid w:val="0051256A"/>
    <w:rsid w:val="0051288C"/>
    <w:rsid w:val="0051296D"/>
    <w:rsid w:val="00512B31"/>
    <w:rsid w:val="00513D55"/>
    <w:rsid w:val="00513E5A"/>
    <w:rsid w:val="00513F9A"/>
    <w:rsid w:val="00514279"/>
    <w:rsid w:val="00514CFE"/>
    <w:rsid w:val="00514E88"/>
    <w:rsid w:val="00515A79"/>
    <w:rsid w:val="00516382"/>
    <w:rsid w:val="00516BB9"/>
    <w:rsid w:val="00516F12"/>
    <w:rsid w:val="0051729A"/>
    <w:rsid w:val="005172CC"/>
    <w:rsid w:val="00520CCF"/>
    <w:rsid w:val="00521257"/>
    <w:rsid w:val="005216AF"/>
    <w:rsid w:val="00521DE3"/>
    <w:rsid w:val="00522089"/>
    <w:rsid w:val="0052282A"/>
    <w:rsid w:val="00522D62"/>
    <w:rsid w:val="005235F2"/>
    <w:rsid w:val="00525CD4"/>
    <w:rsid w:val="00525FC7"/>
    <w:rsid w:val="00526079"/>
    <w:rsid w:val="0052672D"/>
    <w:rsid w:val="0052693D"/>
    <w:rsid w:val="0052754B"/>
    <w:rsid w:val="00527BC1"/>
    <w:rsid w:val="00532F30"/>
    <w:rsid w:val="00533CB1"/>
    <w:rsid w:val="00533EA1"/>
    <w:rsid w:val="00533FD0"/>
    <w:rsid w:val="005341A6"/>
    <w:rsid w:val="00534313"/>
    <w:rsid w:val="00534494"/>
    <w:rsid w:val="005359D8"/>
    <w:rsid w:val="00536850"/>
    <w:rsid w:val="005374DB"/>
    <w:rsid w:val="005378AA"/>
    <w:rsid w:val="00537E41"/>
    <w:rsid w:val="0054011D"/>
    <w:rsid w:val="00540756"/>
    <w:rsid w:val="00541118"/>
    <w:rsid w:val="00541600"/>
    <w:rsid w:val="0054234D"/>
    <w:rsid w:val="00542A5C"/>
    <w:rsid w:val="00542F95"/>
    <w:rsid w:val="00543F65"/>
    <w:rsid w:val="0054418A"/>
    <w:rsid w:val="005441BC"/>
    <w:rsid w:val="00544634"/>
    <w:rsid w:val="00544664"/>
    <w:rsid w:val="00546571"/>
    <w:rsid w:val="0054737A"/>
    <w:rsid w:val="00550F2B"/>
    <w:rsid w:val="0055183C"/>
    <w:rsid w:val="00551840"/>
    <w:rsid w:val="00552185"/>
    <w:rsid w:val="00552200"/>
    <w:rsid w:val="005524E7"/>
    <w:rsid w:val="00553209"/>
    <w:rsid w:val="00556CB1"/>
    <w:rsid w:val="00557950"/>
    <w:rsid w:val="00557D5C"/>
    <w:rsid w:val="00560169"/>
    <w:rsid w:val="005618C9"/>
    <w:rsid w:val="00562A30"/>
    <w:rsid w:val="00563250"/>
    <w:rsid w:val="005635C3"/>
    <w:rsid w:val="00563C07"/>
    <w:rsid w:val="0056613F"/>
    <w:rsid w:val="005661B6"/>
    <w:rsid w:val="0056752F"/>
    <w:rsid w:val="005700D4"/>
    <w:rsid w:val="00570802"/>
    <w:rsid w:val="0057081C"/>
    <w:rsid w:val="00570FD7"/>
    <w:rsid w:val="00571D17"/>
    <w:rsid w:val="0057280A"/>
    <w:rsid w:val="00574A60"/>
    <w:rsid w:val="00575C06"/>
    <w:rsid w:val="005760B0"/>
    <w:rsid w:val="0057682F"/>
    <w:rsid w:val="005768AD"/>
    <w:rsid w:val="00576F2D"/>
    <w:rsid w:val="00577015"/>
    <w:rsid w:val="00577CB8"/>
    <w:rsid w:val="00580E37"/>
    <w:rsid w:val="00581B5E"/>
    <w:rsid w:val="0058227C"/>
    <w:rsid w:val="0058251D"/>
    <w:rsid w:val="005827AF"/>
    <w:rsid w:val="00583619"/>
    <w:rsid w:val="00583A5E"/>
    <w:rsid w:val="005869C3"/>
    <w:rsid w:val="0058711C"/>
    <w:rsid w:val="00587562"/>
    <w:rsid w:val="00587D30"/>
    <w:rsid w:val="005905BC"/>
    <w:rsid w:val="00590B08"/>
    <w:rsid w:val="0059197A"/>
    <w:rsid w:val="00593BAB"/>
    <w:rsid w:val="005944A9"/>
    <w:rsid w:val="00594E69"/>
    <w:rsid w:val="00595605"/>
    <w:rsid w:val="00595A87"/>
    <w:rsid w:val="00595B6D"/>
    <w:rsid w:val="0059644E"/>
    <w:rsid w:val="0059646E"/>
    <w:rsid w:val="005965E8"/>
    <w:rsid w:val="00597854"/>
    <w:rsid w:val="005A0027"/>
    <w:rsid w:val="005A0620"/>
    <w:rsid w:val="005A0B1C"/>
    <w:rsid w:val="005A180C"/>
    <w:rsid w:val="005A185F"/>
    <w:rsid w:val="005A1D99"/>
    <w:rsid w:val="005A1DE0"/>
    <w:rsid w:val="005A33D4"/>
    <w:rsid w:val="005A3445"/>
    <w:rsid w:val="005A396D"/>
    <w:rsid w:val="005A4B04"/>
    <w:rsid w:val="005A5B6F"/>
    <w:rsid w:val="005A69C4"/>
    <w:rsid w:val="005A707F"/>
    <w:rsid w:val="005A7A4C"/>
    <w:rsid w:val="005A7C1B"/>
    <w:rsid w:val="005B0333"/>
    <w:rsid w:val="005B04F9"/>
    <w:rsid w:val="005B05E3"/>
    <w:rsid w:val="005B0656"/>
    <w:rsid w:val="005B14DC"/>
    <w:rsid w:val="005B180B"/>
    <w:rsid w:val="005B2221"/>
    <w:rsid w:val="005B2232"/>
    <w:rsid w:val="005B3DBD"/>
    <w:rsid w:val="005B5996"/>
    <w:rsid w:val="005B696E"/>
    <w:rsid w:val="005B6C46"/>
    <w:rsid w:val="005B74EF"/>
    <w:rsid w:val="005B7588"/>
    <w:rsid w:val="005C02A0"/>
    <w:rsid w:val="005C03B1"/>
    <w:rsid w:val="005C1857"/>
    <w:rsid w:val="005C291C"/>
    <w:rsid w:val="005C35DF"/>
    <w:rsid w:val="005C4313"/>
    <w:rsid w:val="005C4E09"/>
    <w:rsid w:val="005C56E6"/>
    <w:rsid w:val="005C5815"/>
    <w:rsid w:val="005C5D72"/>
    <w:rsid w:val="005C63DC"/>
    <w:rsid w:val="005C69E2"/>
    <w:rsid w:val="005D021F"/>
    <w:rsid w:val="005D04BD"/>
    <w:rsid w:val="005D08C9"/>
    <w:rsid w:val="005D0F98"/>
    <w:rsid w:val="005D1311"/>
    <w:rsid w:val="005D212F"/>
    <w:rsid w:val="005D3E1E"/>
    <w:rsid w:val="005D60EF"/>
    <w:rsid w:val="005D6176"/>
    <w:rsid w:val="005D6AA1"/>
    <w:rsid w:val="005D6BDD"/>
    <w:rsid w:val="005D7739"/>
    <w:rsid w:val="005D7CA6"/>
    <w:rsid w:val="005E0B3D"/>
    <w:rsid w:val="005E1204"/>
    <w:rsid w:val="005E152A"/>
    <w:rsid w:val="005E1D1A"/>
    <w:rsid w:val="005E1D68"/>
    <w:rsid w:val="005E2068"/>
    <w:rsid w:val="005E2D18"/>
    <w:rsid w:val="005E3CEB"/>
    <w:rsid w:val="005E3D56"/>
    <w:rsid w:val="005E4298"/>
    <w:rsid w:val="005E511A"/>
    <w:rsid w:val="005E52C9"/>
    <w:rsid w:val="005E7091"/>
    <w:rsid w:val="005E7B19"/>
    <w:rsid w:val="005F08FC"/>
    <w:rsid w:val="005F0B4A"/>
    <w:rsid w:val="005F19D6"/>
    <w:rsid w:val="005F1EA2"/>
    <w:rsid w:val="005F23E7"/>
    <w:rsid w:val="005F3F75"/>
    <w:rsid w:val="005F4DA5"/>
    <w:rsid w:val="005F5815"/>
    <w:rsid w:val="005F5849"/>
    <w:rsid w:val="006011FD"/>
    <w:rsid w:val="00601A4A"/>
    <w:rsid w:val="00603C51"/>
    <w:rsid w:val="00604369"/>
    <w:rsid w:val="00604516"/>
    <w:rsid w:val="0060452F"/>
    <w:rsid w:val="0060511F"/>
    <w:rsid w:val="006051FA"/>
    <w:rsid w:val="00605F84"/>
    <w:rsid w:val="006068DD"/>
    <w:rsid w:val="00606AB7"/>
    <w:rsid w:val="00606DC8"/>
    <w:rsid w:val="00606F9A"/>
    <w:rsid w:val="00607DFC"/>
    <w:rsid w:val="006108B3"/>
    <w:rsid w:val="0061175A"/>
    <w:rsid w:val="00611900"/>
    <w:rsid w:val="00611C32"/>
    <w:rsid w:val="0061288F"/>
    <w:rsid w:val="00612B40"/>
    <w:rsid w:val="0061319A"/>
    <w:rsid w:val="00614BFD"/>
    <w:rsid w:val="00614DAF"/>
    <w:rsid w:val="006156C8"/>
    <w:rsid w:val="00615DC2"/>
    <w:rsid w:val="00615F84"/>
    <w:rsid w:val="00617857"/>
    <w:rsid w:val="00620955"/>
    <w:rsid w:val="00620AB1"/>
    <w:rsid w:val="006212F1"/>
    <w:rsid w:val="00621F9B"/>
    <w:rsid w:val="006225C3"/>
    <w:rsid w:val="00622EE0"/>
    <w:rsid w:val="006242FE"/>
    <w:rsid w:val="006246AB"/>
    <w:rsid w:val="00624ED2"/>
    <w:rsid w:val="006258B8"/>
    <w:rsid w:val="0062595E"/>
    <w:rsid w:val="00626574"/>
    <w:rsid w:val="006269AB"/>
    <w:rsid w:val="00627487"/>
    <w:rsid w:val="0062765F"/>
    <w:rsid w:val="006278DC"/>
    <w:rsid w:val="00630BA3"/>
    <w:rsid w:val="00630BE0"/>
    <w:rsid w:val="00631149"/>
    <w:rsid w:val="00631B69"/>
    <w:rsid w:val="00631FE8"/>
    <w:rsid w:val="006343DF"/>
    <w:rsid w:val="006346C8"/>
    <w:rsid w:val="006349DC"/>
    <w:rsid w:val="0063517E"/>
    <w:rsid w:val="0063623C"/>
    <w:rsid w:val="006371A6"/>
    <w:rsid w:val="00637886"/>
    <w:rsid w:val="00640CE0"/>
    <w:rsid w:val="0064173F"/>
    <w:rsid w:val="00641D97"/>
    <w:rsid w:val="00642C49"/>
    <w:rsid w:val="00643549"/>
    <w:rsid w:val="00644A99"/>
    <w:rsid w:val="00644FD3"/>
    <w:rsid w:val="006455EC"/>
    <w:rsid w:val="00645911"/>
    <w:rsid w:val="00647355"/>
    <w:rsid w:val="00650B73"/>
    <w:rsid w:val="00650BDE"/>
    <w:rsid w:val="0065189E"/>
    <w:rsid w:val="00651BF8"/>
    <w:rsid w:val="00651C83"/>
    <w:rsid w:val="00651E48"/>
    <w:rsid w:val="006531C9"/>
    <w:rsid w:val="006542F1"/>
    <w:rsid w:val="00657D39"/>
    <w:rsid w:val="00660C95"/>
    <w:rsid w:val="0066187D"/>
    <w:rsid w:val="00661B9F"/>
    <w:rsid w:val="00662BF2"/>
    <w:rsid w:val="006636DE"/>
    <w:rsid w:val="00663C74"/>
    <w:rsid w:val="00664405"/>
    <w:rsid w:val="00664937"/>
    <w:rsid w:val="00664B3B"/>
    <w:rsid w:val="00665932"/>
    <w:rsid w:val="006662E4"/>
    <w:rsid w:val="006663ED"/>
    <w:rsid w:val="00666BC3"/>
    <w:rsid w:val="006673E1"/>
    <w:rsid w:val="00667578"/>
    <w:rsid w:val="006678AF"/>
    <w:rsid w:val="00670224"/>
    <w:rsid w:val="00670B29"/>
    <w:rsid w:val="00670B6B"/>
    <w:rsid w:val="006719D4"/>
    <w:rsid w:val="00671C90"/>
    <w:rsid w:val="00672196"/>
    <w:rsid w:val="00672357"/>
    <w:rsid w:val="006750E2"/>
    <w:rsid w:val="006752EA"/>
    <w:rsid w:val="00675E3E"/>
    <w:rsid w:val="00676255"/>
    <w:rsid w:val="006777C0"/>
    <w:rsid w:val="00677E0D"/>
    <w:rsid w:val="00680385"/>
    <w:rsid w:val="006815FF"/>
    <w:rsid w:val="00682CA9"/>
    <w:rsid w:val="00683852"/>
    <w:rsid w:val="00684154"/>
    <w:rsid w:val="00684A38"/>
    <w:rsid w:val="00684A58"/>
    <w:rsid w:val="0068561F"/>
    <w:rsid w:val="00685A0F"/>
    <w:rsid w:val="00685BA8"/>
    <w:rsid w:val="00685FB3"/>
    <w:rsid w:val="006866BE"/>
    <w:rsid w:val="00686E53"/>
    <w:rsid w:val="00686F40"/>
    <w:rsid w:val="00687EBF"/>
    <w:rsid w:val="00690C53"/>
    <w:rsid w:val="0069242F"/>
    <w:rsid w:val="00693052"/>
    <w:rsid w:val="006936C5"/>
    <w:rsid w:val="006938C9"/>
    <w:rsid w:val="00693E6B"/>
    <w:rsid w:val="00694134"/>
    <w:rsid w:val="006944D7"/>
    <w:rsid w:val="00694709"/>
    <w:rsid w:val="00694FF5"/>
    <w:rsid w:val="006951BD"/>
    <w:rsid w:val="00697009"/>
    <w:rsid w:val="006971B2"/>
    <w:rsid w:val="006976C8"/>
    <w:rsid w:val="006A080B"/>
    <w:rsid w:val="006A190F"/>
    <w:rsid w:val="006A2C64"/>
    <w:rsid w:val="006A2F57"/>
    <w:rsid w:val="006A3932"/>
    <w:rsid w:val="006A3973"/>
    <w:rsid w:val="006A4792"/>
    <w:rsid w:val="006A5075"/>
    <w:rsid w:val="006A6DEE"/>
    <w:rsid w:val="006A7B71"/>
    <w:rsid w:val="006A7EDB"/>
    <w:rsid w:val="006B09EB"/>
    <w:rsid w:val="006B1DB5"/>
    <w:rsid w:val="006B236B"/>
    <w:rsid w:val="006B23D1"/>
    <w:rsid w:val="006B24B7"/>
    <w:rsid w:val="006B256F"/>
    <w:rsid w:val="006B302A"/>
    <w:rsid w:val="006B3BAE"/>
    <w:rsid w:val="006B404E"/>
    <w:rsid w:val="006B4201"/>
    <w:rsid w:val="006B4823"/>
    <w:rsid w:val="006B568E"/>
    <w:rsid w:val="006B56C0"/>
    <w:rsid w:val="006B68EF"/>
    <w:rsid w:val="006B7073"/>
    <w:rsid w:val="006B7E2F"/>
    <w:rsid w:val="006C0D13"/>
    <w:rsid w:val="006C0EF6"/>
    <w:rsid w:val="006C14F3"/>
    <w:rsid w:val="006C3F6E"/>
    <w:rsid w:val="006C45B5"/>
    <w:rsid w:val="006C5380"/>
    <w:rsid w:val="006C660F"/>
    <w:rsid w:val="006C70FE"/>
    <w:rsid w:val="006C7451"/>
    <w:rsid w:val="006C77B2"/>
    <w:rsid w:val="006D00B3"/>
    <w:rsid w:val="006D0216"/>
    <w:rsid w:val="006D0644"/>
    <w:rsid w:val="006D263D"/>
    <w:rsid w:val="006D327F"/>
    <w:rsid w:val="006D351E"/>
    <w:rsid w:val="006D3E0B"/>
    <w:rsid w:val="006D48C1"/>
    <w:rsid w:val="006D5E06"/>
    <w:rsid w:val="006D5E46"/>
    <w:rsid w:val="006D660D"/>
    <w:rsid w:val="006D6677"/>
    <w:rsid w:val="006D7826"/>
    <w:rsid w:val="006E12AD"/>
    <w:rsid w:val="006E145A"/>
    <w:rsid w:val="006E15BC"/>
    <w:rsid w:val="006E1A6E"/>
    <w:rsid w:val="006E1D4D"/>
    <w:rsid w:val="006E1D67"/>
    <w:rsid w:val="006E2227"/>
    <w:rsid w:val="006E2DB2"/>
    <w:rsid w:val="006E3A67"/>
    <w:rsid w:val="006E3B96"/>
    <w:rsid w:val="006E3D5B"/>
    <w:rsid w:val="006E4434"/>
    <w:rsid w:val="006E5287"/>
    <w:rsid w:val="006E6348"/>
    <w:rsid w:val="006E70DB"/>
    <w:rsid w:val="006E76CE"/>
    <w:rsid w:val="006F1416"/>
    <w:rsid w:val="006F1E21"/>
    <w:rsid w:val="006F2254"/>
    <w:rsid w:val="006F296F"/>
    <w:rsid w:val="006F2F0B"/>
    <w:rsid w:val="006F3C6D"/>
    <w:rsid w:val="006F3C76"/>
    <w:rsid w:val="006F3D70"/>
    <w:rsid w:val="006F52C8"/>
    <w:rsid w:val="006F7496"/>
    <w:rsid w:val="006F7DA4"/>
    <w:rsid w:val="007003DA"/>
    <w:rsid w:val="00701E2F"/>
    <w:rsid w:val="0070212B"/>
    <w:rsid w:val="00703D25"/>
    <w:rsid w:val="007041BB"/>
    <w:rsid w:val="00704C9E"/>
    <w:rsid w:val="00704E2F"/>
    <w:rsid w:val="00705E25"/>
    <w:rsid w:val="00706B53"/>
    <w:rsid w:val="00707C55"/>
    <w:rsid w:val="00707FCB"/>
    <w:rsid w:val="00710009"/>
    <w:rsid w:val="00710FC1"/>
    <w:rsid w:val="00712977"/>
    <w:rsid w:val="00714336"/>
    <w:rsid w:val="007149E5"/>
    <w:rsid w:val="00714ACB"/>
    <w:rsid w:val="00714B6E"/>
    <w:rsid w:val="00714CBA"/>
    <w:rsid w:val="00715291"/>
    <w:rsid w:val="00715E99"/>
    <w:rsid w:val="00716B4B"/>
    <w:rsid w:val="00716C40"/>
    <w:rsid w:val="00717758"/>
    <w:rsid w:val="00717DBB"/>
    <w:rsid w:val="00720FAD"/>
    <w:rsid w:val="007229BD"/>
    <w:rsid w:val="00723015"/>
    <w:rsid w:val="007237C4"/>
    <w:rsid w:val="0072391B"/>
    <w:rsid w:val="00724135"/>
    <w:rsid w:val="00726815"/>
    <w:rsid w:val="00730553"/>
    <w:rsid w:val="00731085"/>
    <w:rsid w:val="00731340"/>
    <w:rsid w:val="00733042"/>
    <w:rsid w:val="00733054"/>
    <w:rsid w:val="007333F1"/>
    <w:rsid w:val="00735E81"/>
    <w:rsid w:val="00735F7E"/>
    <w:rsid w:val="0073687B"/>
    <w:rsid w:val="0073697B"/>
    <w:rsid w:val="00740665"/>
    <w:rsid w:val="00740A56"/>
    <w:rsid w:val="007434F3"/>
    <w:rsid w:val="007442B8"/>
    <w:rsid w:val="007448C9"/>
    <w:rsid w:val="007449CD"/>
    <w:rsid w:val="00744A09"/>
    <w:rsid w:val="0074611E"/>
    <w:rsid w:val="00746341"/>
    <w:rsid w:val="0074691E"/>
    <w:rsid w:val="00747BF9"/>
    <w:rsid w:val="00750FA0"/>
    <w:rsid w:val="00751564"/>
    <w:rsid w:val="00751614"/>
    <w:rsid w:val="007524FD"/>
    <w:rsid w:val="007529A8"/>
    <w:rsid w:val="00752DBF"/>
    <w:rsid w:val="007535F2"/>
    <w:rsid w:val="0075426B"/>
    <w:rsid w:val="007545F7"/>
    <w:rsid w:val="007551BD"/>
    <w:rsid w:val="0075523D"/>
    <w:rsid w:val="00755961"/>
    <w:rsid w:val="00756BB3"/>
    <w:rsid w:val="00756E5C"/>
    <w:rsid w:val="007571A4"/>
    <w:rsid w:val="007600E4"/>
    <w:rsid w:val="007603F0"/>
    <w:rsid w:val="00760623"/>
    <w:rsid w:val="00763533"/>
    <w:rsid w:val="00763C85"/>
    <w:rsid w:val="007644DE"/>
    <w:rsid w:val="007651C2"/>
    <w:rsid w:val="007668E9"/>
    <w:rsid w:val="007675A0"/>
    <w:rsid w:val="007707C6"/>
    <w:rsid w:val="00770D27"/>
    <w:rsid w:val="00771868"/>
    <w:rsid w:val="00771C28"/>
    <w:rsid w:val="00772D36"/>
    <w:rsid w:val="00773D3D"/>
    <w:rsid w:val="00774708"/>
    <w:rsid w:val="007747AB"/>
    <w:rsid w:val="0077483D"/>
    <w:rsid w:val="00774879"/>
    <w:rsid w:val="00774978"/>
    <w:rsid w:val="00775007"/>
    <w:rsid w:val="00775796"/>
    <w:rsid w:val="007764AD"/>
    <w:rsid w:val="00776FF9"/>
    <w:rsid w:val="0078040C"/>
    <w:rsid w:val="00780930"/>
    <w:rsid w:val="007809F4"/>
    <w:rsid w:val="007810C9"/>
    <w:rsid w:val="00781100"/>
    <w:rsid w:val="007818EB"/>
    <w:rsid w:val="00782ACF"/>
    <w:rsid w:val="007832AA"/>
    <w:rsid w:val="00783674"/>
    <w:rsid w:val="0078412C"/>
    <w:rsid w:val="007841BF"/>
    <w:rsid w:val="00784777"/>
    <w:rsid w:val="0078489C"/>
    <w:rsid w:val="00784A24"/>
    <w:rsid w:val="007850F9"/>
    <w:rsid w:val="007861C0"/>
    <w:rsid w:val="007862B9"/>
    <w:rsid w:val="00787540"/>
    <w:rsid w:val="00791F29"/>
    <w:rsid w:val="007927F9"/>
    <w:rsid w:val="00792980"/>
    <w:rsid w:val="00793391"/>
    <w:rsid w:val="0079342F"/>
    <w:rsid w:val="00793625"/>
    <w:rsid w:val="00793A7D"/>
    <w:rsid w:val="007943A8"/>
    <w:rsid w:val="00794A0D"/>
    <w:rsid w:val="007950ED"/>
    <w:rsid w:val="00795E42"/>
    <w:rsid w:val="007963F3"/>
    <w:rsid w:val="00796FB9"/>
    <w:rsid w:val="007975CB"/>
    <w:rsid w:val="00797DF4"/>
    <w:rsid w:val="00797DFD"/>
    <w:rsid w:val="007A0032"/>
    <w:rsid w:val="007A117C"/>
    <w:rsid w:val="007A1470"/>
    <w:rsid w:val="007A1B69"/>
    <w:rsid w:val="007A1EA6"/>
    <w:rsid w:val="007A2408"/>
    <w:rsid w:val="007A2D8D"/>
    <w:rsid w:val="007A3539"/>
    <w:rsid w:val="007A48BC"/>
    <w:rsid w:val="007A4B9F"/>
    <w:rsid w:val="007A4C04"/>
    <w:rsid w:val="007A56A4"/>
    <w:rsid w:val="007A6861"/>
    <w:rsid w:val="007A6B69"/>
    <w:rsid w:val="007A6F37"/>
    <w:rsid w:val="007A6FE0"/>
    <w:rsid w:val="007A7AB2"/>
    <w:rsid w:val="007B07F8"/>
    <w:rsid w:val="007B0835"/>
    <w:rsid w:val="007B0EBB"/>
    <w:rsid w:val="007B12E4"/>
    <w:rsid w:val="007B1AEA"/>
    <w:rsid w:val="007B2259"/>
    <w:rsid w:val="007B2B8B"/>
    <w:rsid w:val="007B35BF"/>
    <w:rsid w:val="007B5092"/>
    <w:rsid w:val="007B55AA"/>
    <w:rsid w:val="007B6B33"/>
    <w:rsid w:val="007B6BD6"/>
    <w:rsid w:val="007C0402"/>
    <w:rsid w:val="007C1A3F"/>
    <w:rsid w:val="007C20CC"/>
    <w:rsid w:val="007C2B34"/>
    <w:rsid w:val="007C30AF"/>
    <w:rsid w:val="007C3263"/>
    <w:rsid w:val="007C3A00"/>
    <w:rsid w:val="007C401D"/>
    <w:rsid w:val="007C45D2"/>
    <w:rsid w:val="007C507F"/>
    <w:rsid w:val="007C50BD"/>
    <w:rsid w:val="007C5499"/>
    <w:rsid w:val="007C592B"/>
    <w:rsid w:val="007C647A"/>
    <w:rsid w:val="007C698C"/>
    <w:rsid w:val="007C6BE1"/>
    <w:rsid w:val="007C6C08"/>
    <w:rsid w:val="007D11E4"/>
    <w:rsid w:val="007D17BC"/>
    <w:rsid w:val="007D2254"/>
    <w:rsid w:val="007D23C2"/>
    <w:rsid w:val="007D2742"/>
    <w:rsid w:val="007D3095"/>
    <w:rsid w:val="007D3338"/>
    <w:rsid w:val="007D3927"/>
    <w:rsid w:val="007D394D"/>
    <w:rsid w:val="007D395C"/>
    <w:rsid w:val="007D396B"/>
    <w:rsid w:val="007D3DCB"/>
    <w:rsid w:val="007D4B1D"/>
    <w:rsid w:val="007D5B09"/>
    <w:rsid w:val="007D675D"/>
    <w:rsid w:val="007D6D81"/>
    <w:rsid w:val="007D77B6"/>
    <w:rsid w:val="007D7D26"/>
    <w:rsid w:val="007E056A"/>
    <w:rsid w:val="007E0835"/>
    <w:rsid w:val="007E09FA"/>
    <w:rsid w:val="007E0E46"/>
    <w:rsid w:val="007E1B25"/>
    <w:rsid w:val="007E2369"/>
    <w:rsid w:val="007E2B11"/>
    <w:rsid w:val="007E3277"/>
    <w:rsid w:val="007E33E1"/>
    <w:rsid w:val="007E3949"/>
    <w:rsid w:val="007E3AD1"/>
    <w:rsid w:val="007E3B22"/>
    <w:rsid w:val="007E4DA0"/>
    <w:rsid w:val="007E5F5D"/>
    <w:rsid w:val="007E608C"/>
    <w:rsid w:val="007E7762"/>
    <w:rsid w:val="007E7EE2"/>
    <w:rsid w:val="007F07A9"/>
    <w:rsid w:val="007F13A2"/>
    <w:rsid w:val="007F1740"/>
    <w:rsid w:val="007F228D"/>
    <w:rsid w:val="007F33E2"/>
    <w:rsid w:val="007F38DB"/>
    <w:rsid w:val="007F43C9"/>
    <w:rsid w:val="007F4974"/>
    <w:rsid w:val="007F4BCC"/>
    <w:rsid w:val="007F4FCA"/>
    <w:rsid w:val="007F5302"/>
    <w:rsid w:val="007F62E7"/>
    <w:rsid w:val="007F6C40"/>
    <w:rsid w:val="007F6C6E"/>
    <w:rsid w:val="007F6D8C"/>
    <w:rsid w:val="007F6E7D"/>
    <w:rsid w:val="007F710C"/>
    <w:rsid w:val="007F72FA"/>
    <w:rsid w:val="007F77A2"/>
    <w:rsid w:val="007F7FFB"/>
    <w:rsid w:val="0080044F"/>
    <w:rsid w:val="0080187E"/>
    <w:rsid w:val="00801C6A"/>
    <w:rsid w:val="00801E96"/>
    <w:rsid w:val="00801F75"/>
    <w:rsid w:val="00802B19"/>
    <w:rsid w:val="008033C1"/>
    <w:rsid w:val="0080349F"/>
    <w:rsid w:val="00804249"/>
    <w:rsid w:val="0080426D"/>
    <w:rsid w:val="00804F50"/>
    <w:rsid w:val="00804F95"/>
    <w:rsid w:val="00805408"/>
    <w:rsid w:val="00805E0D"/>
    <w:rsid w:val="0080707C"/>
    <w:rsid w:val="008074A6"/>
    <w:rsid w:val="0081107D"/>
    <w:rsid w:val="00811AF0"/>
    <w:rsid w:val="008125F4"/>
    <w:rsid w:val="00813689"/>
    <w:rsid w:val="00814100"/>
    <w:rsid w:val="00815D5F"/>
    <w:rsid w:val="00816D5B"/>
    <w:rsid w:val="00817346"/>
    <w:rsid w:val="00817A6B"/>
    <w:rsid w:val="0082031B"/>
    <w:rsid w:val="00820592"/>
    <w:rsid w:val="00820604"/>
    <w:rsid w:val="00820954"/>
    <w:rsid w:val="00821463"/>
    <w:rsid w:val="00821AB1"/>
    <w:rsid w:val="00821ADB"/>
    <w:rsid w:val="00821B65"/>
    <w:rsid w:val="00822C63"/>
    <w:rsid w:val="00823004"/>
    <w:rsid w:val="00825D77"/>
    <w:rsid w:val="00825E9C"/>
    <w:rsid w:val="0082696E"/>
    <w:rsid w:val="00826AD1"/>
    <w:rsid w:val="00826B8F"/>
    <w:rsid w:val="00827313"/>
    <w:rsid w:val="0083008A"/>
    <w:rsid w:val="00830591"/>
    <w:rsid w:val="0083101F"/>
    <w:rsid w:val="00831207"/>
    <w:rsid w:val="008312CB"/>
    <w:rsid w:val="00831FC8"/>
    <w:rsid w:val="00832747"/>
    <w:rsid w:val="00832C2D"/>
    <w:rsid w:val="00833238"/>
    <w:rsid w:val="008333E3"/>
    <w:rsid w:val="008344ED"/>
    <w:rsid w:val="00834D92"/>
    <w:rsid w:val="00835937"/>
    <w:rsid w:val="008368D3"/>
    <w:rsid w:val="00837727"/>
    <w:rsid w:val="00837A0C"/>
    <w:rsid w:val="00837FD8"/>
    <w:rsid w:val="00840D89"/>
    <w:rsid w:val="0084154A"/>
    <w:rsid w:val="00841A02"/>
    <w:rsid w:val="00842363"/>
    <w:rsid w:val="0084252C"/>
    <w:rsid w:val="00842BDF"/>
    <w:rsid w:val="00844B73"/>
    <w:rsid w:val="00845C82"/>
    <w:rsid w:val="00847290"/>
    <w:rsid w:val="0085129D"/>
    <w:rsid w:val="008517DF"/>
    <w:rsid w:val="0085287F"/>
    <w:rsid w:val="00852CCA"/>
    <w:rsid w:val="00852F25"/>
    <w:rsid w:val="00854400"/>
    <w:rsid w:val="00854609"/>
    <w:rsid w:val="0085512E"/>
    <w:rsid w:val="008554BC"/>
    <w:rsid w:val="008557B4"/>
    <w:rsid w:val="00860E05"/>
    <w:rsid w:val="0086154B"/>
    <w:rsid w:val="00862004"/>
    <w:rsid w:val="00862902"/>
    <w:rsid w:val="0086290A"/>
    <w:rsid w:val="008630AE"/>
    <w:rsid w:val="00863148"/>
    <w:rsid w:val="00863BD3"/>
    <w:rsid w:val="0086527C"/>
    <w:rsid w:val="008660EC"/>
    <w:rsid w:val="00866399"/>
    <w:rsid w:val="0086648F"/>
    <w:rsid w:val="00866EFB"/>
    <w:rsid w:val="0086703C"/>
    <w:rsid w:val="0086765F"/>
    <w:rsid w:val="00867950"/>
    <w:rsid w:val="00867CF7"/>
    <w:rsid w:val="00870467"/>
    <w:rsid w:val="00871EC0"/>
    <w:rsid w:val="00871EC5"/>
    <w:rsid w:val="00873929"/>
    <w:rsid w:val="0087455B"/>
    <w:rsid w:val="008756BF"/>
    <w:rsid w:val="00876F3A"/>
    <w:rsid w:val="00877E01"/>
    <w:rsid w:val="0088006F"/>
    <w:rsid w:val="008807AF"/>
    <w:rsid w:val="00880AEA"/>
    <w:rsid w:val="00880C50"/>
    <w:rsid w:val="00881A3E"/>
    <w:rsid w:val="00881C25"/>
    <w:rsid w:val="00881E6E"/>
    <w:rsid w:val="00882097"/>
    <w:rsid w:val="00883051"/>
    <w:rsid w:val="00883EEC"/>
    <w:rsid w:val="00884442"/>
    <w:rsid w:val="00884996"/>
    <w:rsid w:val="00884A89"/>
    <w:rsid w:val="00885999"/>
    <w:rsid w:val="008875F6"/>
    <w:rsid w:val="00887655"/>
    <w:rsid w:val="00891A12"/>
    <w:rsid w:val="00892A09"/>
    <w:rsid w:val="00893203"/>
    <w:rsid w:val="008939C3"/>
    <w:rsid w:val="008949A3"/>
    <w:rsid w:val="00894C48"/>
    <w:rsid w:val="008968A8"/>
    <w:rsid w:val="00896CC7"/>
    <w:rsid w:val="008973CA"/>
    <w:rsid w:val="00897725"/>
    <w:rsid w:val="008A0B48"/>
    <w:rsid w:val="008A135F"/>
    <w:rsid w:val="008A1367"/>
    <w:rsid w:val="008A231F"/>
    <w:rsid w:val="008A3375"/>
    <w:rsid w:val="008A39BD"/>
    <w:rsid w:val="008A3B9B"/>
    <w:rsid w:val="008A4292"/>
    <w:rsid w:val="008A4626"/>
    <w:rsid w:val="008A4F8E"/>
    <w:rsid w:val="008A633F"/>
    <w:rsid w:val="008A63E3"/>
    <w:rsid w:val="008A6619"/>
    <w:rsid w:val="008A6719"/>
    <w:rsid w:val="008A7642"/>
    <w:rsid w:val="008A77FF"/>
    <w:rsid w:val="008A7837"/>
    <w:rsid w:val="008B0038"/>
    <w:rsid w:val="008B0C48"/>
    <w:rsid w:val="008B0DB3"/>
    <w:rsid w:val="008B19FA"/>
    <w:rsid w:val="008B27CA"/>
    <w:rsid w:val="008B37A3"/>
    <w:rsid w:val="008B37E7"/>
    <w:rsid w:val="008B3D7F"/>
    <w:rsid w:val="008B458B"/>
    <w:rsid w:val="008B5D31"/>
    <w:rsid w:val="008B635A"/>
    <w:rsid w:val="008B6FF9"/>
    <w:rsid w:val="008C053B"/>
    <w:rsid w:val="008C1BEB"/>
    <w:rsid w:val="008C1F45"/>
    <w:rsid w:val="008C4042"/>
    <w:rsid w:val="008C46A4"/>
    <w:rsid w:val="008C538D"/>
    <w:rsid w:val="008C53BC"/>
    <w:rsid w:val="008C5646"/>
    <w:rsid w:val="008C6558"/>
    <w:rsid w:val="008C6823"/>
    <w:rsid w:val="008C7063"/>
    <w:rsid w:val="008C7FC0"/>
    <w:rsid w:val="008D0021"/>
    <w:rsid w:val="008D0A0E"/>
    <w:rsid w:val="008D1FF6"/>
    <w:rsid w:val="008D4A57"/>
    <w:rsid w:val="008D4B4E"/>
    <w:rsid w:val="008D4C78"/>
    <w:rsid w:val="008D4EB2"/>
    <w:rsid w:val="008D55FD"/>
    <w:rsid w:val="008D738F"/>
    <w:rsid w:val="008E094F"/>
    <w:rsid w:val="008E30BD"/>
    <w:rsid w:val="008E3460"/>
    <w:rsid w:val="008E3915"/>
    <w:rsid w:val="008E3CC2"/>
    <w:rsid w:val="008E4240"/>
    <w:rsid w:val="008E45CC"/>
    <w:rsid w:val="008E4F0D"/>
    <w:rsid w:val="008E5709"/>
    <w:rsid w:val="008E5F54"/>
    <w:rsid w:val="008E638C"/>
    <w:rsid w:val="008E71CD"/>
    <w:rsid w:val="008E7661"/>
    <w:rsid w:val="008F02C4"/>
    <w:rsid w:val="008F1091"/>
    <w:rsid w:val="008F1296"/>
    <w:rsid w:val="008F1A7F"/>
    <w:rsid w:val="008F280E"/>
    <w:rsid w:val="008F367D"/>
    <w:rsid w:val="008F3945"/>
    <w:rsid w:val="008F4691"/>
    <w:rsid w:val="008F4F0C"/>
    <w:rsid w:val="008F591B"/>
    <w:rsid w:val="008F5F1F"/>
    <w:rsid w:val="008F6008"/>
    <w:rsid w:val="00900BA2"/>
    <w:rsid w:val="009013D5"/>
    <w:rsid w:val="0090167B"/>
    <w:rsid w:val="00902621"/>
    <w:rsid w:val="0090293D"/>
    <w:rsid w:val="009029BE"/>
    <w:rsid w:val="0090340C"/>
    <w:rsid w:val="0090428F"/>
    <w:rsid w:val="00904726"/>
    <w:rsid w:val="00905257"/>
    <w:rsid w:val="00905906"/>
    <w:rsid w:val="00905BB2"/>
    <w:rsid w:val="009064F0"/>
    <w:rsid w:val="00906BAA"/>
    <w:rsid w:val="00907353"/>
    <w:rsid w:val="00910752"/>
    <w:rsid w:val="0091091F"/>
    <w:rsid w:val="00910B14"/>
    <w:rsid w:val="00910C45"/>
    <w:rsid w:val="009121AC"/>
    <w:rsid w:val="009123F9"/>
    <w:rsid w:val="00912451"/>
    <w:rsid w:val="00913E02"/>
    <w:rsid w:val="00914A86"/>
    <w:rsid w:val="00915649"/>
    <w:rsid w:val="00915C09"/>
    <w:rsid w:val="0091634F"/>
    <w:rsid w:val="00916392"/>
    <w:rsid w:val="009167BB"/>
    <w:rsid w:val="00916CE1"/>
    <w:rsid w:val="00916F27"/>
    <w:rsid w:val="00917F25"/>
    <w:rsid w:val="009209DC"/>
    <w:rsid w:val="009214A9"/>
    <w:rsid w:val="00921780"/>
    <w:rsid w:val="00921B75"/>
    <w:rsid w:val="0092227C"/>
    <w:rsid w:val="009233BD"/>
    <w:rsid w:val="00923486"/>
    <w:rsid w:val="009234AE"/>
    <w:rsid w:val="00923828"/>
    <w:rsid w:val="00923C4C"/>
    <w:rsid w:val="00923EAB"/>
    <w:rsid w:val="009241B9"/>
    <w:rsid w:val="009243E9"/>
    <w:rsid w:val="00924523"/>
    <w:rsid w:val="00924FDB"/>
    <w:rsid w:val="009251BA"/>
    <w:rsid w:val="009257D2"/>
    <w:rsid w:val="00925B34"/>
    <w:rsid w:val="009266D4"/>
    <w:rsid w:val="0093028A"/>
    <w:rsid w:val="00930496"/>
    <w:rsid w:val="009304EC"/>
    <w:rsid w:val="009308A4"/>
    <w:rsid w:val="00931853"/>
    <w:rsid w:val="00931C80"/>
    <w:rsid w:val="00931D9F"/>
    <w:rsid w:val="0093281B"/>
    <w:rsid w:val="00932B79"/>
    <w:rsid w:val="00932D14"/>
    <w:rsid w:val="00933153"/>
    <w:rsid w:val="0093318A"/>
    <w:rsid w:val="00933D09"/>
    <w:rsid w:val="00933D2F"/>
    <w:rsid w:val="00934C59"/>
    <w:rsid w:val="00934D43"/>
    <w:rsid w:val="00934E29"/>
    <w:rsid w:val="009365A9"/>
    <w:rsid w:val="00936B2E"/>
    <w:rsid w:val="00937090"/>
    <w:rsid w:val="00937466"/>
    <w:rsid w:val="00937627"/>
    <w:rsid w:val="00937E0B"/>
    <w:rsid w:val="00940297"/>
    <w:rsid w:val="009421BA"/>
    <w:rsid w:val="00942B2A"/>
    <w:rsid w:val="0094378C"/>
    <w:rsid w:val="00943964"/>
    <w:rsid w:val="00943AC3"/>
    <w:rsid w:val="009446F5"/>
    <w:rsid w:val="00944BC9"/>
    <w:rsid w:val="0094530A"/>
    <w:rsid w:val="009455AE"/>
    <w:rsid w:val="00945A3E"/>
    <w:rsid w:val="00945C82"/>
    <w:rsid w:val="00946A1F"/>
    <w:rsid w:val="0094772D"/>
    <w:rsid w:val="009500B1"/>
    <w:rsid w:val="009516EE"/>
    <w:rsid w:val="00951E70"/>
    <w:rsid w:val="00952488"/>
    <w:rsid w:val="009524B5"/>
    <w:rsid w:val="0095263B"/>
    <w:rsid w:val="00953A3A"/>
    <w:rsid w:val="00953DE9"/>
    <w:rsid w:val="00954ECE"/>
    <w:rsid w:val="0095511E"/>
    <w:rsid w:val="00955634"/>
    <w:rsid w:val="00955AD8"/>
    <w:rsid w:val="00955E43"/>
    <w:rsid w:val="00956A2E"/>
    <w:rsid w:val="00957391"/>
    <w:rsid w:val="0096027A"/>
    <w:rsid w:val="0096075F"/>
    <w:rsid w:val="00961A02"/>
    <w:rsid w:val="00961D44"/>
    <w:rsid w:val="00961D86"/>
    <w:rsid w:val="00962005"/>
    <w:rsid w:val="00962864"/>
    <w:rsid w:val="00962BE2"/>
    <w:rsid w:val="009639E1"/>
    <w:rsid w:val="00963F21"/>
    <w:rsid w:val="00964DC3"/>
    <w:rsid w:val="009660BC"/>
    <w:rsid w:val="0096672B"/>
    <w:rsid w:val="00967236"/>
    <w:rsid w:val="00967DB2"/>
    <w:rsid w:val="00970EA3"/>
    <w:rsid w:val="00971DDB"/>
    <w:rsid w:val="00971E9B"/>
    <w:rsid w:val="00972374"/>
    <w:rsid w:val="009734A2"/>
    <w:rsid w:val="00973F57"/>
    <w:rsid w:val="00973F8A"/>
    <w:rsid w:val="009760B1"/>
    <w:rsid w:val="009768F4"/>
    <w:rsid w:val="009770A8"/>
    <w:rsid w:val="00977F74"/>
    <w:rsid w:val="00980693"/>
    <w:rsid w:val="009811F2"/>
    <w:rsid w:val="00981D34"/>
    <w:rsid w:val="00984686"/>
    <w:rsid w:val="00984EBE"/>
    <w:rsid w:val="00985105"/>
    <w:rsid w:val="00985FAC"/>
    <w:rsid w:val="00987136"/>
    <w:rsid w:val="009878A3"/>
    <w:rsid w:val="00990178"/>
    <w:rsid w:val="0099027D"/>
    <w:rsid w:val="009906D6"/>
    <w:rsid w:val="00990F74"/>
    <w:rsid w:val="00991436"/>
    <w:rsid w:val="009915C5"/>
    <w:rsid w:val="00991912"/>
    <w:rsid w:val="009919E7"/>
    <w:rsid w:val="009928D4"/>
    <w:rsid w:val="009942A0"/>
    <w:rsid w:val="009947D0"/>
    <w:rsid w:val="00994F08"/>
    <w:rsid w:val="00995966"/>
    <w:rsid w:val="00995FAA"/>
    <w:rsid w:val="00996681"/>
    <w:rsid w:val="009A00C4"/>
    <w:rsid w:val="009A00C6"/>
    <w:rsid w:val="009A215C"/>
    <w:rsid w:val="009A37DB"/>
    <w:rsid w:val="009A3BED"/>
    <w:rsid w:val="009A3E10"/>
    <w:rsid w:val="009A4114"/>
    <w:rsid w:val="009A4347"/>
    <w:rsid w:val="009A4532"/>
    <w:rsid w:val="009A45A4"/>
    <w:rsid w:val="009A4917"/>
    <w:rsid w:val="009A527E"/>
    <w:rsid w:val="009A532C"/>
    <w:rsid w:val="009A5337"/>
    <w:rsid w:val="009A5F6F"/>
    <w:rsid w:val="009A68A3"/>
    <w:rsid w:val="009A7FE6"/>
    <w:rsid w:val="009B02A5"/>
    <w:rsid w:val="009B11B9"/>
    <w:rsid w:val="009B235A"/>
    <w:rsid w:val="009B2C6D"/>
    <w:rsid w:val="009B2E75"/>
    <w:rsid w:val="009B3638"/>
    <w:rsid w:val="009B41F5"/>
    <w:rsid w:val="009B422A"/>
    <w:rsid w:val="009B4474"/>
    <w:rsid w:val="009B4627"/>
    <w:rsid w:val="009B4D24"/>
    <w:rsid w:val="009B4E57"/>
    <w:rsid w:val="009B615B"/>
    <w:rsid w:val="009B6E5F"/>
    <w:rsid w:val="009B6EE1"/>
    <w:rsid w:val="009B6FCE"/>
    <w:rsid w:val="009B7831"/>
    <w:rsid w:val="009B7A17"/>
    <w:rsid w:val="009C0244"/>
    <w:rsid w:val="009C0C76"/>
    <w:rsid w:val="009C135F"/>
    <w:rsid w:val="009C1650"/>
    <w:rsid w:val="009C2FC4"/>
    <w:rsid w:val="009C479C"/>
    <w:rsid w:val="009C4AC8"/>
    <w:rsid w:val="009C4C31"/>
    <w:rsid w:val="009C4C46"/>
    <w:rsid w:val="009C5BB6"/>
    <w:rsid w:val="009C5BD4"/>
    <w:rsid w:val="009C5E4C"/>
    <w:rsid w:val="009C60C4"/>
    <w:rsid w:val="009C66DD"/>
    <w:rsid w:val="009C6D66"/>
    <w:rsid w:val="009C7041"/>
    <w:rsid w:val="009C76F9"/>
    <w:rsid w:val="009C78DE"/>
    <w:rsid w:val="009C79EC"/>
    <w:rsid w:val="009C7BC8"/>
    <w:rsid w:val="009D065C"/>
    <w:rsid w:val="009D0BC2"/>
    <w:rsid w:val="009D0EBD"/>
    <w:rsid w:val="009D114D"/>
    <w:rsid w:val="009D2EB3"/>
    <w:rsid w:val="009D3265"/>
    <w:rsid w:val="009D34C7"/>
    <w:rsid w:val="009D5468"/>
    <w:rsid w:val="009D5933"/>
    <w:rsid w:val="009D6D14"/>
    <w:rsid w:val="009D6E25"/>
    <w:rsid w:val="009D7698"/>
    <w:rsid w:val="009D7A3B"/>
    <w:rsid w:val="009D7BA2"/>
    <w:rsid w:val="009E0910"/>
    <w:rsid w:val="009E0AB1"/>
    <w:rsid w:val="009E0ABD"/>
    <w:rsid w:val="009E18DA"/>
    <w:rsid w:val="009E2B4D"/>
    <w:rsid w:val="009E2C20"/>
    <w:rsid w:val="009E4768"/>
    <w:rsid w:val="009E5070"/>
    <w:rsid w:val="009E545C"/>
    <w:rsid w:val="009E5BB7"/>
    <w:rsid w:val="009E5FF7"/>
    <w:rsid w:val="009E643E"/>
    <w:rsid w:val="009E68F0"/>
    <w:rsid w:val="009E75E3"/>
    <w:rsid w:val="009E796D"/>
    <w:rsid w:val="009E7B39"/>
    <w:rsid w:val="009E7B56"/>
    <w:rsid w:val="009F0C14"/>
    <w:rsid w:val="009F0D25"/>
    <w:rsid w:val="009F12D9"/>
    <w:rsid w:val="009F1B67"/>
    <w:rsid w:val="009F3422"/>
    <w:rsid w:val="009F342D"/>
    <w:rsid w:val="009F46EA"/>
    <w:rsid w:val="009F4D8E"/>
    <w:rsid w:val="009F55C4"/>
    <w:rsid w:val="009F57A1"/>
    <w:rsid w:val="009F615A"/>
    <w:rsid w:val="009F64D4"/>
    <w:rsid w:val="009F656D"/>
    <w:rsid w:val="009F7BF9"/>
    <w:rsid w:val="00A00158"/>
    <w:rsid w:val="00A00207"/>
    <w:rsid w:val="00A00836"/>
    <w:rsid w:val="00A00E88"/>
    <w:rsid w:val="00A0138D"/>
    <w:rsid w:val="00A01889"/>
    <w:rsid w:val="00A0297C"/>
    <w:rsid w:val="00A02E6A"/>
    <w:rsid w:val="00A0319B"/>
    <w:rsid w:val="00A0489E"/>
    <w:rsid w:val="00A04A76"/>
    <w:rsid w:val="00A04F59"/>
    <w:rsid w:val="00A04F71"/>
    <w:rsid w:val="00A05010"/>
    <w:rsid w:val="00A05E86"/>
    <w:rsid w:val="00A06177"/>
    <w:rsid w:val="00A06678"/>
    <w:rsid w:val="00A06F50"/>
    <w:rsid w:val="00A0730B"/>
    <w:rsid w:val="00A07622"/>
    <w:rsid w:val="00A07B0E"/>
    <w:rsid w:val="00A07C2A"/>
    <w:rsid w:val="00A10C4E"/>
    <w:rsid w:val="00A1308E"/>
    <w:rsid w:val="00A133AD"/>
    <w:rsid w:val="00A14436"/>
    <w:rsid w:val="00A14666"/>
    <w:rsid w:val="00A160A1"/>
    <w:rsid w:val="00A16123"/>
    <w:rsid w:val="00A163FF"/>
    <w:rsid w:val="00A16D38"/>
    <w:rsid w:val="00A174C6"/>
    <w:rsid w:val="00A17CBC"/>
    <w:rsid w:val="00A2011E"/>
    <w:rsid w:val="00A2088F"/>
    <w:rsid w:val="00A21058"/>
    <w:rsid w:val="00A21668"/>
    <w:rsid w:val="00A227E5"/>
    <w:rsid w:val="00A22FB6"/>
    <w:rsid w:val="00A2419A"/>
    <w:rsid w:val="00A2461A"/>
    <w:rsid w:val="00A25982"/>
    <w:rsid w:val="00A25CEE"/>
    <w:rsid w:val="00A25F17"/>
    <w:rsid w:val="00A26107"/>
    <w:rsid w:val="00A263C9"/>
    <w:rsid w:val="00A2707E"/>
    <w:rsid w:val="00A27995"/>
    <w:rsid w:val="00A30874"/>
    <w:rsid w:val="00A315DF"/>
    <w:rsid w:val="00A32760"/>
    <w:rsid w:val="00A32860"/>
    <w:rsid w:val="00A32902"/>
    <w:rsid w:val="00A3330C"/>
    <w:rsid w:val="00A333D8"/>
    <w:rsid w:val="00A3371B"/>
    <w:rsid w:val="00A34F9E"/>
    <w:rsid w:val="00A35281"/>
    <w:rsid w:val="00A35D76"/>
    <w:rsid w:val="00A36812"/>
    <w:rsid w:val="00A37086"/>
    <w:rsid w:val="00A37140"/>
    <w:rsid w:val="00A375C0"/>
    <w:rsid w:val="00A3797F"/>
    <w:rsid w:val="00A37E02"/>
    <w:rsid w:val="00A4028B"/>
    <w:rsid w:val="00A40616"/>
    <w:rsid w:val="00A40E88"/>
    <w:rsid w:val="00A41A5B"/>
    <w:rsid w:val="00A4286C"/>
    <w:rsid w:val="00A42FAF"/>
    <w:rsid w:val="00A430D4"/>
    <w:rsid w:val="00A450FB"/>
    <w:rsid w:val="00A46F6C"/>
    <w:rsid w:val="00A4712D"/>
    <w:rsid w:val="00A4739A"/>
    <w:rsid w:val="00A47B11"/>
    <w:rsid w:val="00A47C57"/>
    <w:rsid w:val="00A50723"/>
    <w:rsid w:val="00A50F01"/>
    <w:rsid w:val="00A511F4"/>
    <w:rsid w:val="00A5256E"/>
    <w:rsid w:val="00A52586"/>
    <w:rsid w:val="00A528DF"/>
    <w:rsid w:val="00A52A59"/>
    <w:rsid w:val="00A55898"/>
    <w:rsid w:val="00A558CB"/>
    <w:rsid w:val="00A558E4"/>
    <w:rsid w:val="00A55D65"/>
    <w:rsid w:val="00A56FCA"/>
    <w:rsid w:val="00A579FA"/>
    <w:rsid w:val="00A614D6"/>
    <w:rsid w:val="00A63469"/>
    <w:rsid w:val="00A63873"/>
    <w:rsid w:val="00A64A95"/>
    <w:rsid w:val="00A657C5"/>
    <w:rsid w:val="00A66207"/>
    <w:rsid w:val="00A66245"/>
    <w:rsid w:val="00A6673A"/>
    <w:rsid w:val="00A66D90"/>
    <w:rsid w:val="00A66FC3"/>
    <w:rsid w:val="00A67207"/>
    <w:rsid w:val="00A67CC9"/>
    <w:rsid w:val="00A70E71"/>
    <w:rsid w:val="00A71B63"/>
    <w:rsid w:val="00A728BD"/>
    <w:rsid w:val="00A737E2"/>
    <w:rsid w:val="00A737FC"/>
    <w:rsid w:val="00A73CE5"/>
    <w:rsid w:val="00A73F0A"/>
    <w:rsid w:val="00A74C3E"/>
    <w:rsid w:val="00A74C6E"/>
    <w:rsid w:val="00A7526B"/>
    <w:rsid w:val="00A776AD"/>
    <w:rsid w:val="00A815E9"/>
    <w:rsid w:val="00A823C2"/>
    <w:rsid w:val="00A83A29"/>
    <w:rsid w:val="00A83FAC"/>
    <w:rsid w:val="00A84004"/>
    <w:rsid w:val="00A84639"/>
    <w:rsid w:val="00A851BB"/>
    <w:rsid w:val="00A865A2"/>
    <w:rsid w:val="00A866A5"/>
    <w:rsid w:val="00A86A9E"/>
    <w:rsid w:val="00A87BD3"/>
    <w:rsid w:val="00A90CA0"/>
    <w:rsid w:val="00A91089"/>
    <w:rsid w:val="00A91346"/>
    <w:rsid w:val="00A91CE5"/>
    <w:rsid w:val="00A91D62"/>
    <w:rsid w:val="00A92113"/>
    <w:rsid w:val="00A92764"/>
    <w:rsid w:val="00A9288A"/>
    <w:rsid w:val="00A92B31"/>
    <w:rsid w:val="00A93332"/>
    <w:rsid w:val="00A944FD"/>
    <w:rsid w:val="00A94AE2"/>
    <w:rsid w:val="00A94D2D"/>
    <w:rsid w:val="00A94ECC"/>
    <w:rsid w:val="00A950F3"/>
    <w:rsid w:val="00A964E7"/>
    <w:rsid w:val="00A96D51"/>
    <w:rsid w:val="00A97AE7"/>
    <w:rsid w:val="00A97BA1"/>
    <w:rsid w:val="00AA041F"/>
    <w:rsid w:val="00AA0C07"/>
    <w:rsid w:val="00AA0CA2"/>
    <w:rsid w:val="00AA243E"/>
    <w:rsid w:val="00AA41BC"/>
    <w:rsid w:val="00AA61CD"/>
    <w:rsid w:val="00AA63CE"/>
    <w:rsid w:val="00AA6859"/>
    <w:rsid w:val="00AA76C0"/>
    <w:rsid w:val="00AA79CB"/>
    <w:rsid w:val="00AB10D3"/>
    <w:rsid w:val="00AB11CF"/>
    <w:rsid w:val="00AB147F"/>
    <w:rsid w:val="00AB1997"/>
    <w:rsid w:val="00AB1E49"/>
    <w:rsid w:val="00AB26D1"/>
    <w:rsid w:val="00AB2E6A"/>
    <w:rsid w:val="00AB46E9"/>
    <w:rsid w:val="00AB4702"/>
    <w:rsid w:val="00AB47DA"/>
    <w:rsid w:val="00AB4A73"/>
    <w:rsid w:val="00AB5045"/>
    <w:rsid w:val="00AB6CA0"/>
    <w:rsid w:val="00AB6E6F"/>
    <w:rsid w:val="00AB7E41"/>
    <w:rsid w:val="00AC021E"/>
    <w:rsid w:val="00AC0511"/>
    <w:rsid w:val="00AC1B30"/>
    <w:rsid w:val="00AC1F00"/>
    <w:rsid w:val="00AC2DCA"/>
    <w:rsid w:val="00AC361C"/>
    <w:rsid w:val="00AC5A7E"/>
    <w:rsid w:val="00AC5FFA"/>
    <w:rsid w:val="00AC787E"/>
    <w:rsid w:val="00AC7B36"/>
    <w:rsid w:val="00AD0AA7"/>
    <w:rsid w:val="00AD0D3F"/>
    <w:rsid w:val="00AD188E"/>
    <w:rsid w:val="00AD1C05"/>
    <w:rsid w:val="00AD3A3D"/>
    <w:rsid w:val="00AD4052"/>
    <w:rsid w:val="00AD674D"/>
    <w:rsid w:val="00AD72CB"/>
    <w:rsid w:val="00AD7B3E"/>
    <w:rsid w:val="00AD7D68"/>
    <w:rsid w:val="00AD7F8E"/>
    <w:rsid w:val="00AE140C"/>
    <w:rsid w:val="00AE15BD"/>
    <w:rsid w:val="00AE191E"/>
    <w:rsid w:val="00AE1CC6"/>
    <w:rsid w:val="00AE1F0A"/>
    <w:rsid w:val="00AE2980"/>
    <w:rsid w:val="00AE38A8"/>
    <w:rsid w:val="00AE4C2F"/>
    <w:rsid w:val="00AE4CF2"/>
    <w:rsid w:val="00AE5519"/>
    <w:rsid w:val="00AE5630"/>
    <w:rsid w:val="00AE5C53"/>
    <w:rsid w:val="00AE610B"/>
    <w:rsid w:val="00AE6BB7"/>
    <w:rsid w:val="00AE7344"/>
    <w:rsid w:val="00AE7495"/>
    <w:rsid w:val="00AE77CD"/>
    <w:rsid w:val="00AF108F"/>
    <w:rsid w:val="00AF311E"/>
    <w:rsid w:val="00AF3E4C"/>
    <w:rsid w:val="00AF4942"/>
    <w:rsid w:val="00AF56FD"/>
    <w:rsid w:val="00AF5CFC"/>
    <w:rsid w:val="00AF5F35"/>
    <w:rsid w:val="00AF5F61"/>
    <w:rsid w:val="00AF7278"/>
    <w:rsid w:val="00AF7424"/>
    <w:rsid w:val="00AF7854"/>
    <w:rsid w:val="00AF79E4"/>
    <w:rsid w:val="00B00299"/>
    <w:rsid w:val="00B00954"/>
    <w:rsid w:val="00B0122D"/>
    <w:rsid w:val="00B016A9"/>
    <w:rsid w:val="00B016C7"/>
    <w:rsid w:val="00B03431"/>
    <w:rsid w:val="00B0390D"/>
    <w:rsid w:val="00B04D84"/>
    <w:rsid w:val="00B0533B"/>
    <w:rsid w:val="00B05450"/>
    <w:rsid w:val="00B056BE"/>
    <w:rsid w:val="00B06A38"/>
    <w:rsid w:val="00B06DFD"/>
    <w:rsid w:val="00B0728C"/>
    <w:rsid w:val="00B07B8A"/>
    <w:rsid w:val="00B10799"/>
    <w:rsid w:val="00B11153"/>
    <w:rsid w:val="00B123BE"/>
    <w:rsid w:val="00B12D62"/>
    <w:rsid w:val="00B13501"/>
    <w:rsid w:val="00B13F14"/>
    <w:rsid w:val="00B1614C"/>
    <w:rsid w:val="00B1625F"/>
    <w:rsid w:val="00B16870"/>
    <w:rsid w:val="00B16D30"/>
    <w:rsid w:val="00B17E69"/>
    <w:rsid w:val="00B21A85"/>
    <w:rsid w:val="00B21AA8"/>
    <w:rsid w:val="00B229C9"/>
    <w:rsid w:val="00B22BA3"/>
    <w:rsid w:val="00B230DA"/>
    <w:rsid w:val="00B23837"/>
    <w:rsid w:val="00B24A6E"/>
    <w:rsid w:val="00B24B49"/>
    <w:rsid w:val="00B261E6"/>
    <w:rsid w:val="00B26741"/>
    <w:rsid w:val="00B2686B"/>
    <w:rsid w:val="00B26B70"/>
    <w:rsid w:val="00B2782F"/>
    <w:rsid w:val="00B27D15"/>
    <w:rsid w:val="00B27D35"/>
    <w:rsid w:val="00B3126E"/>
    <w:rsid w:val="00B3155A"/>
    <w:rsid w:val="00B325AB"/>
    <w:rsid w:val="00B32826"/>
    <w:rsid w:val="00B32AD6"/>
    <w:rsid w:val="00B33D76"/>
    <w:rsid w:val="00B33F30"/>
    <w:rsid w:val="00B341D9"/>
    <w:rsid w:val="00B35056"/>
    <w:rsid w:val="00B35185"/>
    <w:rsid w:val="00B367D5"/>
    <w:rsid w:val="00B36DD6"/>
    <w:rsid w:val="00B36FC4"/>
    <w:rsid w:val="00B40C6A"/>
    <w:rsid w:val="00B41605"/>
    <w:rsid w:val="00B41B0C"/>
    <w:rsid w:val="00B41CF2"/>
    <w:rsid w:val="00B42065"/>
    <w:rsid w:val="00B42604"/>
    <w:rsid w:val="00B42FC6"/>
    <w:rsid w:val="00B4390B"/>
    <w:rsid w:val="00B439AE"/>
    <w:rsid w:val="00B444A4"/>
    <w:rsid w:val="00B44C71"/>
    <w:rsid w:val="00B44D25"/>
    <w:rsid w:val="00B45897"/>
    <w:rsid w:val="00B45E38"/>
    <w:rsid w:val="00B46475"/>
    <w:rsid w:val="00B46911"/>
    <w:rsid w:val="00B471BD"/>
    <w:rsid w:val="00B47514"/>
    <w:rsid w:val="00B47C8E"/>
    <w:rsid w:val="00B50573"/>
    <w:rsid w:val="00B50FD8"/>
    <w:rsid w:val="00B517E8"/>
    <w:rsid w:val="00B51AE3"/>
    <w:rsid w:val="00B5288D"/>
    <w:rsid w:val="00B52A26"/>
    <w:rsid w:val="00B53C8C"/>
    <w:rsid w:val="00B56041"/>
    <w:rsid w:val="00B560E5"/>
    <w:rsid w:val="00B57AFE"/>
    <w:rsid w:val="00B6076D"/>
    <w:rsid w:val="00B61376"/>
    <w:rsid w:val="00B61B83"/>
    <w:rsid w:val="00B62390"/>
    <w:rsid w:val="00B623CF"/>
    <w:rsid w:val="00B6267A"/>
    <w:rsid w:val="00B65918"/>
    <w:rsid w:val="00B66AB8"/>
    <w:rsid w:val="00B70A61"/>
    <w:rsid w:val="00B70EC3"/>
    <w:rsid w:val="00B71C07"/>
    <w:rsid w:val="00B72A53"/>
    <w:rsid w:val="00B72BAA"/>
    <w:rsid w:val="00B72E86"/>
    <w:rsid w:val="00B72F61"/>
    <w:rsid w:val="00B7346C"/>
    <w:rsid w:val="00B73537"/>
    <w:rsid w:val="00B73B3C"/>
    <w:rsid w:val="00B7459C"/>
    <w:rsid w:val="00B746A1"/>
    <w:rsid w:val="00B755D0"/>
    <w:rsid w:val="00B75E0B"/>
    <w:rsid w:val="00B7602C"/>
    <w:rsid w:val="00B768A3"/>
    <w:rsid w:val="00B76CA5"/>
    <w:rsid w:val="00B772A7"/>
    <w:rsid w:val="00B77A6A"/>
    <w:rsid w:val="00B77C30"/>
    <w:rsid w:val="00B810E5"/>
    <w:rsid w:val="00B817BC"/>
    <w:rsid w:val="00B842C2"/>
    <w:rsid w:val="00B847E8"/>
    <w:rsid w:val="00B84E13"/>
    <w:rsid w:val="00B862E5"/>
    <w:rsid w:val="00B86EDC"/>
    <w:rsid w:val="00B87212"/>
    <w:rsid w:val="00B878C6"/>
    <w:rsid w:val="00B87C51"/>
    <w:rsid w:val="00B90034"/>
    <w:rsid w:val="00B90ED7"/>
    <w:rsid w:val="00B92B40"/>
    <w:rsid w:val="00B937FC"/>
    <w:rsid w:val="00B94777"/>
    <w:rsid w:val="00B95391"/>
    <w:rsid w:val="00B9568B"/>
    <w:rsid w:val="00B95A79"/>
    <w:rsid w:val="00B95DA0"/>
    <w:rsid w:val="00B96A80"/>
    <w:rsid w:val="00B9750E"/>
    <w:rsid w:val="00B97F48"/>
    <w:rsid w:val="00BA07EC"/>
    <w:rsid w:val="00BA2010"/>
    <w:rsid w:val="00BA26B9"/>
    <w:rsid w:val="00BA28C3"/>
    <w:rsid w:val="00BA3342"/>
    <w:rsid w:val="00BA4EDE"/>
    <w:rsid w:val="00BA60E3"/>
    <w:rsid w:val="00BA6122"/>
    <w:rsid w:val="00BA6657"/>
    <w:rsid w:val="00BA71EA"/>
    <w:rsid w:val="00BA7520"/>
    <w:rsid w:val="00BA78F2"/>
    <w:rsid w:val="00BA7F7A"/>
    <w:rsid w:val="00BB03A9"/>
    <w:rsid w:val="00BB05BF"/>
    <w:rsid w:val="00BB0B12"/>
    <w:rsid w:val="00BB1908"/>
    <w:rsid w:val="00BB298B"/>
    <w:rsid w:val="00BB30E9"/>
    <w:rsid w:val="00BB3A5F"/>
    <w:rsid w:val="00BB47C9"/>
    <w:rsid w:val="00BB493D"/>
    <w:rsid w:val="00BB4A73"/>
    <w:rsid w:val="00BB4CD8"/>
    <w:rsid w:val="00BB5133"/>
    <w:rsid w:val="00BB6183"/>
    <w:rsid w:val="00BB69D9"/>
    <w:rsid w:val="00BB7A21"/>
    <w:rsid w:val="00BC0CBE"/>
    <w:rsid w:val="00BC0F34"/>
    <w:rsid w:val="00BC14B8"/>
    <w:rsid w:val="00BC1667"/>
    <w:rsid w:val="00BC2D3E"/>
    <w:rsid w:val="00BC34DB"/>
    <w:rsid w:val="00BC34ED"/>
    <w:rsid w:val="00BC3525"/>
    <w:rsid w:val="00BC3CEE"/>
    <w:rsid w:val="00BC45DA"/>
    <w:rsid w:val="00BC4D76"/>
    <w:rsid w:val="00BC5825"/>
    <w:rsid w:val="00BC5F55"/>
    <w:rsid w:val="00BC6200"/>
    <w:rsid w:val="00BC72B4"/>
    <w:rsid w:val="00BC76C0"/>
    <w:rsid w:val="00BC77CF"/>
    <w:rsid w:val="00BC7810"/>
    <w:rsid w:val="00BC7C8C"/>
    <w:rsid w:val="00BD0C0A"/>
    <w:rsid w:val="00BD14A2"/>
    <w:rsid w:val="00BD48C0"/>
    <w:rsid w:val="00BD5C7C"/>
    <w:rsid w:val="00BD6498"/>
    <w:rsid w:val="00BD6637"/>
    <w:rsid w:val="00BD664F"/>
    <w:rsid w:val="00BD70AA"/>
    <w:rsid w:val="00BD7892"/>
    <w:rsid w:val="00BD7CE2"/>
    <w:rsid w:val="00BE0C48"/>
    <w:rsid w:val="00BE32FE"/>
    <w:rsid w:val="00BE3E50"/>
    <w:rsid w:val="00BE4807"/>
    <w:rsid w:val="00BE537F"/>
    <w:rsid w:val="00BE5EE7"/>
    <w:rsid w:val="00BE6919"/>
    <w:rsid w:val="00BE73BE"/>
    <w:rsid w:val="00BF0430"/>
    <w:rsid w:val="00BF0C2F"/>
    <w:rsid w:val="00BF1ACB"/>
    <w:rsid w:val="00BF1F9F"/>
    <w:rsid w:val="00BF29C9"/>
    <w:rsid w:val="00BF3386"/>
    <w:rsid w:val="00BF3F8C"/>
    <w:rsid w:val="00BF436B"/>
    <w:rsid w:val="00BF551E"/>
    <w:rsid w:val="00BF55AB"/>
    <w:rsid w:val="00BF5B3D"/>
    <w:rsid w:val="00C00700"/>
    <w:rsid w:val="00C00786"/>
    <w:rsid w:val="00C00C1C"/>
    <w:rsid w:val="00C01963"/>
    <w:rsid w:val="00C01DFE"/>
    <w:rsid w:val="00C027FF"/>
    <w:rsid w:val="00C040A2"/>
    <w:rsid w:val="00C043CF"/>
    <w:rsid w:val="00C04854"/>
    <w:rsid w:val="00C050DE"/>
    <w:rsid w:val="00C06061"/>
    <w:rsid w:val="00C078D7"/>
    <w:rsid w:val="00C10001"/>
    <w:rsid w:val="00C1050D"/>
    <w:rsid w:val="00C10589"/>
    <w:rsid w:val="00C10DD0"/>
    <w:rsid w:val="00C1132A"/>
    <w:rsid w:val="00C11A9B"/>
    <w:rsid w:val="00C11CA4"/>
    <w:rsid w:val="00C1298F"/>
    <w:rsid w:val="00C13B40"/>
    <w:rsid w:val="00C14AAD"/>
    <w:rsid w:val="00C14C2A"/>
    <w:rsid w:val="00C150DB"/>
    <w:rsid w:val="00C17BE2"/>
    <w:rsid w:val="00C20D78"/>
    <w:rsid w:val="00C21591"/>
    <w:rsid w:val="00C21EB1"/>
    <w:rsid w:val="00C225F3"/>
    <w:rsid w:val="00C22781"/>
    <w:rsid w:val="00C235A2"/>
    <w:rsid w:val="00C23EF7"/>
    <w:rsid w:val="00C2416B"/>
    <w:rsid w:val="00C24252"/>
    <w:rsid w:val="00C248A6"/>
    <w:rsid w:val="00C2647F"/>
    <w:rsid w:val="00C266EA"/>
    <w:rsid w:val="00C27120"/>
    <w:rsid w:val="00C30649"/>
    <w:rsid w:val="00C30CCD"/>
    <w:rsid w:val="00C3158C"/>
    <w:rsid w:val="00C3172E"/>
    <w:rsid w:val="00C3182B"/>
    <w:rsid w:val="00C31E22"/>
    <w:rsid w:val="00C33D24"/>
    <w:rsid w:val="00C33F99"/>
    <w:rsid w:val="00C343F3"/>
    <w:rsid w:val="00C3455B"/>
    <w:rsid w:val="00C345F4"/>
    <w:rsid w:val="00C35B9C"/>
    <w:rsid w:val="00C35E51"/>
    <w:rsid w:val="00C364F0"/>
    <w:rsid w:val="00C36DE5"/>
    <w:rsid w:val="00C3760C"/>
    <w:rsid w:val="00C40188"/>
    <w:rsid w:val="00C404F1"/>
    <w:rsid w:val="00C406CE"/>
    <w:rsid w:val="00C4091C"/>
    <w:rsid w:val="00C40CE3"/>
    <w:rsid w:val="00C41718"/>
    <w:rsid w:val="00C4195C"/>
    <w:rsid w:val="00C4200F"/>
    <w:rsid w:val="00C42F3E"/>
    <w:rsid w:val="00C43E2C"/>
    <w:rsid w:val="00C44C97"/>
    <w:rsid w:val="00C45315"/>
    <w:rsid w:val="00C4547B"/>
    <w:rsid w:val="00C455D7"/>
    <w:rsid w:val="00C46070"/>
    <w:rsid w:val="00C466F7"/>
    <w:rsid w:val="00C46904"/>
    <w:rsid w:val="00C477E8"/>
    <w:rsid w:val="00C47A28"/>
    <w:rsid w:val="00C50B4E"/>
    <w:rsid w:val="00C525E9"/>
    <w:rsid w:val="00C52BDE"/>
    <w:rsid w:val="00C52D13"/>
    <w:rsid w:val="00C53689"/>
    <w:rsid w:val="00C539D9"/>
    <w:rsid w:val="00C53EAE"/>
    <w:rsid w:val="00C55E75"/>
    <w:rsid w:val="00C55E98"/>
    <w:rsid w:val="00C55EBB"/>
    <w:rsid w:val="00C562D1"/>
    <w:rsid w:val="00C56349"/>
    <w:rsid w:val="00C563AF"/>
    <w:rsid w:val="00C56B94"/>
    <w:rsid w:val="00C573A7"/>
    <w:rsid w:val="00C57EAF"/>
    <w:rsid w:val="00C608F7"/>
    <w:rsid w:val="00C61128"/>
    <w:rsid w:val="00C62BC9"/>
    <w:rsid w:val="00C62FDB"/>
    <w:rsid w:val="00C63089"/>
    <w:rsid w:val="00C634BC"/>
    <w:rsid w:val="00C63C87"/>
    <w:rsid w:val="00C650FF"/>
    <w:rsid w:val="00C65889"/>
    <w:rsid w:val="00C6642C"/>
    <w:rsid w:val="00C66719"/>
    <w:rsid w:val="00C6686E"/>
    <w:rsid w:val="00C677C5"/>
    <w:rsid w:val="00C7091F"/>
    <w:rsid w:val="00C70BF5"/>
    <w:rsid w:val="00C7152D"/>
    <w:rsid w:val="00C71F73"/>
    <w:rsid w:val="00C7209C"/>
    <w:rsid w:val="00C725A6"/>
    <w:rsid w:val="00C726B0"/>
    <w:rsid w:val="00C726D6"/>
    <w:rsid w:val="00C72CB4"/>
    <w:rsid w:val="00C73054"/>
    <w:rsid w:val="00C74668"/>
    <w:rsid w:val="00C759DD"/>
    <w:rsid w:val="00C76727"/>
    <w:rsid w:val="00C76994"/>
    <w:rsid w:val="00C76C3C"/>
    <w:rsid w:val="00C7795A"/>
    <w:rsid w:val="00C77E7E"/>
    <w:rsid w:val="00C80055"/>
    <w:rsid w:val="00C80556"/>
    <w:rsid w:val="00C806B1"/>
    <w:rsid w:val="00C807FB"/>
    <w:rsid w:val="00C808F5"/>
    <w:rsid w:val="00C81435"/>
    <w:rsid w:val="00C830CB"/>
    <w:rsid w:val="00C8414D"/>
    <w:rsid w:val="00C8461A"/>
    <w:rsid w:val="00C84CBA"/>
    <w:rsid w:val="00C85565"/>
    <w:rsid w:val="00C855D5"/>
    <w:rsid w:val="00C85A58"/>
    <w:rsid w:val="00C860A3"/>
    <w:rsid w:val="00C86431"/>
    <w:rsid w:val="00C86F3B"/>
    <w:rsid w:val="00C870C2"/>
    <w:rsid w:val="00C87D0F"/>
    <w:rsid w:val="00C9060F"/>
    <w:rsid w:val="00C90BB7"/>
    <w:rsid w:val="00C91A62"/>
    <w:rsid w:val="00C929A7"/>
    <w:rsid w:val="00C93F88"/>
    <w:rsid w:val="00C94DA4"/>
    <w:rsid w:val="00C956C5"/>
    <w:rsid w:val="00C96A22"/>
    <w:rsid w:val="00C96CE7"/>
    <w:rsid w:val="00C96E57"/>
    <w:rsid w:val="00C97900"/>
    <w:rsid w:val="00C97E65"/>
    <w:rsid w:val="00CA07ED"/>
    <w:rsid w:val="00CA1056"/>
    <w:rsid w:val="00CA1D61"/>
    <w:rsid w:val="00CA235B"/>
    <w:rsid w:val="00CA2BB3"/>
    <w:rsid w:val="00CA43E8"/>
    <w:rsid w:val="00CA4F43"/>
    <w:rsid w:val="00CA56C9"/>
    <w:rsid w:val="00CA64C2"/>
    <w:rsid w:val="00CA66C0"/>
    <w:rsid w:val="00CA672A"/>
    <w:rsid w:val="00CA7169"/>
    <w:rsid w:val="00CA77F1"/>
    <w:rsid w:val="00CA7C55"/>
    <w:rsid w:val="00CA7EA2"/>
    <w:rsid w:val="00CB0288"/>
    <w:rsid w:val="00CB05D3"/>
    <w:rsid w:val="00CB1EEC"/>
    <w:rsid w:val="00CB2CE5"/>
    <w:rsid w:val="00CB53E7"/>
    <w:rsid w:val="00CC00B2"/>
    <w:rsid w:val="00CC051C"/>
    <w:rsid w:val="00CC0C53"/>
    <w:rsid w:val="00CC12E7"/>
    <w:rsid w:val="00CC1A0B"/>
    <w:rsid w:val="00CC271F"/>
    <w:rsid w:val="00CC30EF"/>
    <w:rsid w:val="00CC380D"/>
    <w:rsid w:val="00CC5B04"/>
    <w:rsid w:val="00CC657B"/>
    <w:rsid w:val="00CC70F4"/>
    <w:rsid w:val="00CC7CA3"/>
    <w:rsid w:val="00CD28DB"/>
    <w:rsid w:val="00CD2C25"/>
    <w:rsid w:val="00CD2DD4"/>
    <w:rsid w:val="00CD301C"/>
    <w:rsid w:val="00CD30BB"/>
    <w:rsid w:val="00CD3AB0"/>
    <w:rsid w:val="00CD6042"/>
    <w:rsid w:val="00CD6894"/>
    <w:rsid w:val="00CD6995"/>
    <w:rsid w:val="00CD6EB9"/>
    <w:rsid w:val="00CD79A0"/>
    <w:rsid w:val="00CD7E18"/>
    <w:rsid w:val="00CE0A77"/>
    <w:rsid w:val="00CE0C92"/>
    <w:rsid w:val="00CE10FA"/>
    <w:rsid w:val="00CE3650"/>
    <w:rsid w:val="00CE3CC8"/>
    <w:rsid w:val="00CE40C4"/>
    <w:rsid w:val="00CE4924"/>
    <w:rsid w:val="00CE4C71"/>
    <w:rsid w:val="00CE5AB6"/>
    <w:rsid w:val="00CE7D28"/>
    <w:rsid w:val="00CF0248"/>
    <w:rsid w:val="00CF08C4"/>
    <w:rsid w:val="00CF0C83"/>
    <w:rsid w:val="00CF11D9"/>
    <w:rsid w:val="00CF1E5A"/>
    <w:rsid w:val="00CF1F6B"/>
    <w:rsid w:val="00CF2DA3"/>
    <w:rsid w:val="00CF60D5"/>
    <w:rsid w:val="00CF6395"/>
    <w:rsid w:val="00CF688A"/>
    <w:rsid w:val="00CF78E9"/>
    <w:rsid w:val="00D00A99"/>
    <w:rsid w:val="00D020EE"/>
    <w:rsid w:val="00D022B7"/>
    <w:rsid w:val="00D03B3A"/>
    <w:rsid w:val="00D05652"/>
    <w:rsid w:val="00D06559"/>
    <w:rsid w:val="00D06D52"/>
    <w:rsid w:val="00D07730"/>
    <w:rsid w:val="00D101F4"/>
    <w:rsid w:val="00D1315F"/>
    <w:rsid w:val="00D13185"/>
    <w:rsid w:val="00D131D5"/>
    <w:rsid w:val="00D1362C"/>
    <w:rsid w:val="00D13CD9"/>
    <w:rsid w:val="00D14944"/>
    <w:rsid w:val="00D1531B"/>
    <w:rsid w:val="00D15E0D"/>
    <w:rsid w:val="00D1629F"/>
    <w:rsid w:val="00D16395"/>
    <w:rsid w:val="00D171CA"/>
    <w:rsid w:val="00D17E56"/>
    <w:rsid w:val="00D21108"/>
    <w:rsid w:val="00D21618"/>
    <w:rsid w:val="00D21A10"/>
    <w:rsid w:val="00D22071"/>
    <w:rsid w:val="00D23062"/>
    <w:rsid w:val="00D23FCB"/>
    <w:rsid w:val="00D24893"/>
    <w:rsid w:val="00D24D5B"/>
    <w:rsid w:val="00D24EC8"/>
    <w:rsid w:val="00D25412"/>
    <w:rsid w:val="00D263CD"/>
    <w:rsid w:val="00D2697D"/>
    <w:rsid w:val="00D27309"/>
    <w:rsid w:val="00D27616"/>
    <w:rsid w:val="00D27C4D"/>
    <w:rsid w:val="00D31105"/>
    <w:rsid w:val="00D31603"/>
    <w:rsid w:val="00D32C27"/>
    <w:rsid w:val="00D32E7F"/>
    <w:rsid w:val="00D33206"/>
    <w:rsid w:val="00D33881"/>
    <w:rsid w:val="00D3435F"/>
    <w:rsid w:val="00D3507D"/>
    <w:rsid w:val="00D3555B"/>
    <w:rsid w:val="00D35AC6"/>
    <w:rsid w:val="00D3686B"/>
    <w:rsid w:val="00D401FE"/>
    <w:rsid w:val="00D40453"/>
    <w:rsid w:val="00D40C36"/>
    <w:rsid w:val="00D4100B"/>
    <w:rsid w:val="00D411D9"/>
    <w:rsid w:val="00D4141D"/>
    <w:rsid w:val="00D43AE6"/>
    <w:rsid w:val="00D4406D"/>
    <w:rsid w:val="00D440A6"/>
    <w:rsid w:val="00D44843"/>
    <w:rsid w:val="00D45113"/>
    <w:rsid w:val="00D456AB"/>
    <w:rsid w:val="00D464B4"/>
    <w:rsid w:val="00D504F3"/>
    <w:rsid w:val="00D50C13"/>
    <w:rsid w:val="00D50F4B"/>
    <w:rsid w:val="00D51C66"/>
    <w:rsid w:val="00D53392"/>
    <w:rsid w:val="00D536B8"/>
    <w:rsid w:val="00D54EA8"/>
    <w:rsid w:val="00D555FB"/>
    <w:rsid w:val="00D569F1"/>
    <w:rsid w:val="00D56D09"/>
    <w:rsid w:val="00D57108"/>
    <w:rsid w:val="00D577B6"/>
    <w:rsid w:val="00D609FD"/>
    <w:rsid w:val="00D60C3D"/>
    <w:rsid w:val="00D61958"/>
    <w:rsid w:val="00D61CFF"/>
    <w:rsid w:val="00D62A7D"/>
    <w:rsid w:val="00D63C68"/>
    <w:rsid w:val="00D64106"/>
    <w:rsid w:val="00D6454A"/>
    <w:rsid w:val="00D64753"/>
    <w:rsid w:val="00D6537E"/>
    <w:rsid w:val="00D6570D"/>
    <w:rsid w:val="00D65D6C"/>
    <w:rsid w:val="00D6691F"/>
    <w:rsid w:val="00D73A20"/>
    <w:rsid w:val="00D74BB5"/>
    <w:rsid w:val="00D75432"/>
    <w:rsid w:val="00D775DC"/>
    <w:rsid w:val="00D80EAD"/>
    <w:rsid w:val="00D819FB"/>
    <w:rsid w:val="00D81DCB"/>
    <w:rsid w:val="00D81DD8"/>
    <w:rsid w:val="00D8379F"/>
    <w:rsid w:val="00D83A43"/>
    <w:rsid w:val="00D847F3"/>
    <w:rsid w:val="00D84A7F"/>
    <w:rsid w:val="00D857BC"/>
    <w:rsid w:val="00D85AB7"/>
    <w:rsid w:val="00D85C8A"/>
    <w:rsid w:val="00D86082"/>
    <w:rsid w:val="00D9049A"/>
    <w:rsid w:val="00D90968"/>
    <w:rsid w:val="00D91765"/>
    <w:rsid w:val="00D91F61"/>
    <w:rsid w:val="00D926B4"/>
    <w:rsid w:val="00D927D5"/>
    <w:rsid w:val="00D92B52"/>
    <w:rsid w:val="00D92E03"/>
    <w:rsid w:val="00D9307D"/>
    <w:rsid w:val="00D940D4"/>
    <w:rsid w:val="00D9418D"/>
    <w:rsid w:val="00D945EE"/>
    <w:rsid w:val="00D9472C"/>
    <w:rsid w:val="00D9568C"/>
    <w:rsid w:val="00D96550"/>
    <w:rsid w:val="00D97283"/>
    <w:rsid w:val="00D973B1"/>
    <w:rsid w:val="00DA0562"/>
    <w:rsid w:val="00DA08F8"/>
    <w:rsid w:val="00DA1AED"/>
    <w:rsid w:val="00DA1E18"/>
    <w:rsid w:val="00DA1FD0"/>
    <w:rsid w:val="00DA256A"/>
    <w:rsid w:val="00DA2830"/>
    <w:rsid w:val="00DA2F19"/>
    <w:rsid w:val="00DA6A7C"/>
    <w:rsid w:val="00DA738A"/>
    <w:rsid w:val="00DA749B"/>
    <w:rsid w:val="00DA77AF"/>
    <w:rsid w:val="00DA79AC"/>
    <w:rsid w:val="00DA7EA8"/>
    <w:rsid w:val="00DB0877"/>
    <w:rsid w:val="00DB13AC"/>
    <w:rsid w:val="00DB1C50"/>
    <w:rsid w:val="00DB3083"/>
    <w:rsid w:val="00DB4CBD"/>
    <w:rsid w:val="00DB5338"/>
    <w:rsid w:val="00DB5487"/>
    <w:rsid w:val="00DB5AB4"/>
    <w:rsid w:val="00DB690A"/>
    <w:rsid w:val="00DB7A2D"/>
    <w:rsid w:val="00DB7B75"/>
    <w:rsid w:val="00DB7FBC"/>
    <w:rsid w:val="00DC09C3"/>
    <w:rsid w:val="00DC0FA9"/>
    <w:rsid w:val="00DC1870"/>
    <w:rsid w:val="00DC188F"/>
    <w:rsid w:val="00DC3184"/>
    <w:rsid w:val="00DC3948"/>
    <w:rsid w:val="00DC3C5D"/>
    <w:rsid w:val="00DC4150"/>
    <w:rsid w:val="00DC50C9"/>
    <w:rsid w:val="00DC52A7"/>
    <w:rsid w:val="00DC5518"/>
    <w:rsid w:val="00DC5B02"/>
    <w:rsid w:val="00DC5FF9"/>
    <w:rsid w:val="00DC6546"/>
    <w:rsid w:val="00DC6F44"/>
    <w:rsid w:val="00DC723A"/>
    <w:rsid w:val="00DC7881"/>
    <w:rsid w:val="00DC7C1A"/>
    <w:rsid w:val="00DC7C98"/>
    <w:rsid w:val="00DD2534"/>
    <w:rsid w:val="00DD2E4E"/>
    <w:rsid w:val="00DD3621"/>
    <w:rsid w:val="00DD3C49"/>
    <w:rsid w:val="00DD3D4C"/>
    <w:rsid w:val="00DD4840"/>
    <w:rsid w:val="00DD60D5"/>
    <w:rsid w:val="00DD64B8"/>
    <w:rsid w:val="00DD689C"/>
    <w:rsid w:val="00DD6AC2"/>
    <w:rsid w:val="00DD6F2F"/>
    <w:rsid w:val="00DD71F3"/>
    <w:rsid w:val="00DD798D"/>
    <w:rsid w:val="00DE135E"/>
    <w:rsid w:val="00DE1FA7"/>
    <w:rsid w:val="00DE2888"/>
    <w:rsid w:val="00DE3B2D"/>
    <w:rsid w:val="00DE461B"/>
    <w:rsid w:val="00DE526B"/>
    <w:rsid w:val="00DE573A"/>
    <w:rsid w:val="00DE5F30"/>
    <w:rsid w:val="00DE6218"/>
    <w:rsid w:val="00DE6956"/>
    <w:rsid w:val="00DE6BA8"/>
    <w:rsid w:val="00DE6F31"/>
    <w:rsid w:val="00DE7FA0"/>
    <w:rsid w:val="00DF19AE"/>
    <w:rsid w:val="00DF19BD"/>
    <w:rsid w:val="00DF19F6"/>
    <w:rsid w:val="00DF1D87"/>
    <w:rsid w:val="00DF2E0C"/>
    <w:rsid w:val="00DF30DC"/>
    <w:rsid w:val="00DF394F"/>
    <w:rsid w:val="00DF3CEA"/>
    <w:rsid w:val="00DF3F15"/>
    <w:rsid w:val="00DF5741"/>
    <w:rsid w:val="00DF5AD1"/>
    <w:rsid w:val="00DF6207"/>
    <w:rsid w:val="00DF6A56"/>
    <w:rsid w:val="00DF6B02"/>
    <w:rsid w:val="00DF70C7"/>
    <w:rsid w:val="00E005D9"/>
    <w:rsid w:val="00E008B4"/>
    <w:rsid w:val="00E00D93"/>
    <w:rsid w:val="00E01AE3"/>
    <w:rsid w:val="00E01BED"/>
    <w:rsid w:val="00E0214B"/>
    <w:rsid w:val="00E02354"/>
    <w:rsid w:val="00E0343D"/>
    <w:rsid w:val="00E0460A"/>
    <w:rsid w:val="00E05137"/>
    <w:rsid w:val="00E0542B"/>
    <w:rsid w:val="00E054E2"/>
    <w:rsid w:val="00E05FA1"/>
    <w:rsid w:val="00E07E1A"/>
    <w:rsid w:val="00E1238F"/>
    <w:rsid w:val="00E129CB"/>
    <w:rsid w:val="00E1313F"/>
    <w:rsid w:val="00E14BE3"/>
    <w:rsid w:val="00E1547D"/>
    <w:rsid w:val="00E15986"/>
    <w:rsid w:val="00E15C7C"/>
    <w:rsid w:val="00E1659F"/>
    <w:rsid w:val="00E1660D"/>
    <w:rsid w:val="00E16D15"/>
    <w:rsid w:val="00E17085"/>
    <w:rsid w:val="00E20F64"/>
    <w:rsid w:val="00E212D6"/>
    <w:rsid w:val="00E215EC"/>
    <w:rsid w:val="00E22526"/>
    <w:rsid w:val="00E23CBF"/>
    <w:rsid w:val="00E24723"/>
    <w:rsid w:val="00E248D0"/>
    <w:rsid w:val="00E24E5D"/>
    <w:rsid w:val="00E2557C"/>
    <w:rsid w:val="00E2560D"/>
    <w:rsid w:val="00E25647"/>
    <w:rsid w:val="00E26A4B"/>
    <w:rsid w:val="00E2759E"/>
    <w:rsid w:val="00E27C07"/>
    <w:rsid w:val="00E27DE7"/>
    <w:rsid w:val="00E30D70"/>
    <w:rsid w:val="00E30DCA"/>
    <w:rsid w:val="00E30EE1"/>
    <w:rsid w:val="00E311FB"/>
    <w:rsid w:val="00E312B4"/>
    <w:rsid w:val="00E318C1"/>
    <w:rsid w:val="00E31AB8"/>
    <w:rsid w:val="00E31BD0"/>
    <w:rsid w:val="00E31CA3"/>
    <w:rsid w:val="00E31D87"/>
    <w:rsid w:val="00E31DAC"/>
    <w:rsid w:val="00E322F3"/>
    <w:rsid w:val="00E3270A"/>
    <w:rsid w:val="00E32BDF"/>
    <w:rsid w:val="00E32DDF"/>
    <w:rsid w:val="00E34FBF"/>
    <w:rsid w:val="00E35122"/>
    <w:rsid w:val="00E35654"/>
    <w:rsid w:val="00E3566F"/>
    <w:rsid w:val="00E3578A"/>
    <w:rsid w:val="00E3605F"/>
    <w:rsid w:val="00E3613B"/>
    <w:rsid w:val="00E364EE"/>
    <w:rsid w:val="00E37197"/>
    <w:rsid w:val="00E4056E"/>
    <w:rsid w:val="00E4158C"/>
    <w:rsid w:val="00E41D74"/>
    <w:rsid w:val="00E436D2"/>
    <w:rsid w:val="00E43B3C"/>
    <w:rsid w:val="00E44526"/>
    <w:rsid w:val="00E44848"/>
    <w:rsid w:val="00E44BCE"/>
    <w:rsid w:val="00E4528F"/>
    <w:rsid w:val="00E45730"/>
    <w:rsid w:val="00E45E78"/>
    <w:rsid w:val="00E475FB"/>
    <w:rsid w:val="00E50698"/>
    <w:rsid w:val="00E50DC1"/>
    <w:rsid w:val="00E51EE4"/>
    <w:rsid w:val="00E526D7"/>
    <w:rsid w:val="00E5284D"/>
    <w:rsid w:val="00E54700"/>
    <w:rsid w:val="00E55769"/>
    <w:rsid w:val="00E564E8"/>
    <w:rsid w:val="00E565DB"/>
    <w:rsid w:val="00E571E8"/>
    <w:rsid w:val="00E57A01"/>
    <w:rsid w:val="00E57CD6"/>
    <w:rsid w:val="00E6145F"/>
    <w:rsid w:val="00E62F98"/>
    <w:rsid w:val="00E631BB"/>
    <w:rsid w:val="00E63A53"/>
    <w:rsid w:val="00E664DB"/>
    <w:rsid w:val="00E668C7"/>
    <w:rsid w:val="00E66A08"/>
    <w:rsid w:val="00E66C25"/>
    <w:rsid w:val="00E707BE"/>
    <w:rsid w:val="00E734EE"/>
    <w:rsid w:val="00E73CBB"/>
    <w:rsid w:val="00E74D24"/>
    <w:rsid w:val="00E7569C"/>
    <w:rsid w:val="00E759C1"/>
    <w:rsid w:val="00E75B0E"/>
    <w:rsid w:val="00E760E8"/>
    <w:rsid w:val="00E767BD"/>
    <w:rsid w:val="00E76895"/>
    <w:rsid w:val="00E76B0E"/>
    <w:rsid w:val="00E77D40"/>
    <w:rsid w:val="00E8000B"/>
    <w:rsid w:val="00E8007D"/>
    <w:rsid w:val="00E80A7E"/>
    <w:rsid w:val="00E814D0"/>
    <w:rsid w:val="00E81B6E"/>
    <w:rsid w:val="00E866DD"/>
    <w:rsid w:val="00E90249"/>
    <w:rsid w:val="00E90310"/>
    <w:rsid w:val="00E919BB"/>
    <w:rsid w:val="00E93498"/>
    <w:rsid w:val="00E93CBF"/>
    <w:rsid w:val="00E94A92"/>
    <w:rsid w:val="00E94AEF"/>
    <w:rsid w:val="00E94DBA"/>
    <w:rsid w:val="00E952F1"/>
    <w:rsid w:val="00E95D4D"/>
    <w:rsid w:val="00E9602D"/>
    <w:rsid w:val="00E96390"/>
    <w:rsid w:val="00EA2534"/>
    <w:rsid w:val="00EA28AA"/>
    <w:rsid w:val="00EA2C75"/>
    <w:rsid w:val="00EA3089"/>
    <w:rsid w:val="00EA337D"/>
    <w:rsid w:val="00EA4221"/>
    <w:rsid w:val="00EA4763"/>
    <w:rsid w:val="00EA4C48"/>
    <w:rsid w:val="00EA5A87"/>
    <w:rsid w:val="00EA7A45"/>
    <w:rsid w:val="00EB0C9E"/>
    <w:rsid w:val="00EB2656"/>
    <w:rsid w:val="00EB2A8D"/>
    <w:rsid w:val="00EB2BCD"/>
    <w:rsid w:val="00EB2E7C"/>
    <w:rsid w:val="00EB3485"/>
    <w:rsid w:val="00EB42B6"/>
    <w:rsid w:val="00EB5087"/>
    <w:rsid w:val="00EB62A7"/>
    <w:rsid w:val="00EB6B47"/>
    <w:rsid w:val="00EB6F91"/>
    <w:rsid w:val="00EB74D8"/>
    <w:rsid w:val="00EB7CBC"/>
    <w:rsid w:val="00EB7E3A"/>
    <w:rsid w:val="00EC00B1"/>
    <w:rsid w:val="00EC0C2D"/>
    <w:rsid w:val="00EC0FED"/>
    <w:rsid w:val="00EC1229"/>
    <w:rsid w:val="00EC2BBB"/>
    <w:rsid w:val="00EC390D"/>
    <w:rsid w:val="00EC3A7C"/>
    <w:rsid w:val="00EC44DA"/>
    <w:rsid w:val="00EC498D"/>
    <w:rsid w:val="00EC508C"/>
    <w:rsid w:val="00EC50EC"/>
    <w:rsid w:val="00EC57ED"/>
    <w:rsid w:val="00EC5B0E"/>
    <w:rsid w:val="00EC66F1"/>
    <w:rsid w:val="00EC6B47"/>
    <w:rsid w:val="00EC6ECF"/>
    <w:rsid w:val="00EC737E"/>
    <w:rsid w:val="00ED1716"/>
    <w:rsid w:val="00ED1E27"/>
    <w:rsid w:val="00ED246E"/>
    <w:rsid w:val="00ED2984"/>
    <w:rsid w:val="00ED2CD4"/>
    <w:rsid w:val="00ED3317"/>
    <w:rsid w:val="00ED3786"/>
    <w:rsid w:val="00ED4046"/>
    <w:rsid w:val="00ED4A6C"/>
    <w:rsid w:val="00ED4BE5"/>
    <w:rsid w:val="00ED5179"/>
    <w:rsid w:val="00ED5CBC"/>
    <w:rsid w:val="00ED6404"/>
    <w:rsid w:val="00ED68D2"/>
    <w:rsid w:val="00EE103E"/>
    <w:rsid w:val="00EE12A2"/>
    <w:rsid w:val="00EE19E2"/>
    <w:rsid w:val="00EE3622"/>
    <w:rsid w:val="00EE37FF"/>
    <w:rsid w:val="00EE3981"/>
    <w:rsid w:val="00EE3E83"/>
    <w:rsid w:val="00EE4639"/>
    <w:rsid w:val="00EE4E2C"/>
    <w:rsid w:val="00EE4ECC"/>
    <w:rsid w:val="00EE5410"/>
    <w:rsid w:val="00EE58C2"/>
    <w:rsid w:val="00EE59A9"/>
    <w:rsid w:val="00EE7F19"/>
    <w:rsid w:val="00EF0DF1"/>
    <w:rsid w:val="00EF1516"/>
    <w:rsid w:val="00EF1F42"/>
    <w:rsid w:val="00EF25BE"/>
    <w:rsid w:val="00EF26F9"/>
    <w:rsid w:val="00EF468E"/>
    <w:rsid w:val="00EF48A7"/>
    <w:rsid w:val="00EF5585"/>
    <w:rsid w:val="00EF57A4"/>
    <w:rsid w:val="00EF5BD2"/>
    <w:rsid w:val="00EF5CD1"/>
    <w:rsid w:val="00EF68AC"/>
    <w:rsid w:val="00EF70DB"/>
    <w:rsid w:val="00EF73E8"/>
    <w:rsid w:val="00F018BB"/>
    <w:rsid w:val="00F01D06"/>
    <w:rsid w:val="00F02DB6"/>
    <w:rsid w:val="00F0370A"/>
    <w:rsid w:val="00F03C18"/>
    <w:rsid w:val="00F04215"/>
    <w:rsid w:val="00F0461E"/>
    <w:rsid w:val="00F04B90"/>
    <w:rsid w:val="00F05954"/>
    <w:rsid w:val="00F0681F"/>
    <w:rsid w:val="00F07210"/>
    <w:rsid w:val="00F07533"/>
    <w:rsid w:val="00F106B5"/>
    <w:rsid w:val="00F109C0"/>
    <w:rsid w:val="00F10F04"/>
    <w:rsid w:val="00F10FE2"/>
    <w:rsid w:val="00F118AF"/>
    <w:rsid w:val="00F11B51"/>
    <w:rsid w:val="00F12225"/>
    <w:rsid w:val="00F12416"/>
    <w:rsid w:val="00F12697"/>
    <w:rsid w:val="00F12C14"/>
    <w:rsid w:val="00F12F60"/>
    <w:rsid w:val="00F13401"/>
    <w:rsid w:val="00F13B33"/>
    <w:rsid w:val="00F13CA3"/>
    <w:rsid w:val="00F14ABA"/>
    <w:rsid w:val="00F150E3"/>
    <w:rsid w:val="00F15420"/>
    <w:rsid w:val="00F1669E"/>
    <w:rsid w:val="00F205F2"/>
    <w:rsid w:val="00F22490"/>
    <w:rsid w:val="00F2322B"/>
    <w:rsid w:val="00F23598"/>
    <w:rsid w:val="00F2472E"/>
    <w:rsid w:val="00F24F5C"/>
    <w:rsid w:val="00F24FC5"/>
    <w:rsid w:val="00F27538"/>
    <w:rsid w:val="00F275EC"/>
    <w:rsid w:val="00F27DBC"/>
    <w:rsid w:val="00F30A58"/>
    <w:rsid w:val="00F30DEE"/>
    <w:rsid w:val="00F31107"/>
    <w:rsid w:val="00F31C4D"/>
    <w:rsid w:val="00F321AD"/>
    <w:rsid w:val="00F3466C"/>
    <w:rsid w:val="00F34B46"/>
    <w:rsid w:val="00F352DB"/>
    <w:rsid w:val="00F356D4"/>
    <w:rsid w:val="00F3654C"/>
    <w:rsid w:val="00F36675"/>
    <w:rsid w:val="00F36FB3"/>
    <w:rsid w:val="00F378AE"/>
    <w:rsid w:val="00F4051D"/>
    <w:rsid w:val="00F40582"/>
    <w:rsid w:val="00F417B5"/>
    <w:rsid w:val="00F426E3"/>
    <w:rsid w:val="00F42BEB"/>
    <w:rsid w:val="00F42D36"/>
    <w:rsid w:val="00F44ADB"/>
    <w:rsid w:val="00F462F5"/>
    <w:rsid w:val="00F47042"/>
    <w:rsid w:val="00F47458"/>
    <w:rsid w:val="00F477E4"/>
    <w:rsid w:val="00F479AF"/>
    <w:rsid w:val="00F5104E"/>
    <w:rsid w:val="00F517EF"/>
    <w:rsid w:val="00F51C8C"/>
    <w:rsid w:val="00F51CCD"/>
    <w:rsid w:val="00F51EA2"/>
    <w:rsid w:val="00F52108"/>
    <w:rsid w:val="00F52721"/>
    <w:rsid w:val="00F53547"/>
    <w:rsid w:val="00F5360D"/>
    <w:rsid w:val="00F55D2B"/>
    <w:rsid w:val="00F56A0A"/>
    <w:rsid w:val="00F56B50"/>
    <w:rsid w:val="00F576B8"/>
    <w:rsid w:val="00F579F5"/>
    <w:rsid w:val="00F60165"/>
    <w:rsid w:val="00F603B7"/>
    <w:rsid w:val="00F60FCB"/>
    <w:rsid w:val="00F6104A"/>
    <w:rsid w:val="00F61975"/>
    <w:rsid w:val="00F61D43"/>
    <w:rsid w:val="00F62744"/>
    <w:rsid w:val="00F63142"/>
    <w:rsid w:val="00F63AB2"/>
    <w:rsid w:val="00F64433"/>
    <w:rsid w:val="00F6445A"/>
    <w:rsid w:val="00F65895"/>
    <w:rsid w:val="00F65E4D"/>
    <w:rsid w:val="00F66232"/>
    <w:rsid w:val="00F666D6"/>
    <w:rsid w:val="00F70E4F"/>
    <w:rsid w:val="00F71720"/>
    <w:rsid w:val="00F72620"/>
    <w:rsid w:val="00F72B56"/>
    <w:rsid w:val="00F72B87"/>
    <w:rsid w:val="00F72E82"/>
    <w:rsid w:val="00F73A0E"/>
    <w:rsid w:val="00F73C4F"/>
    <w:rsid w:val="00F73F52"/>
    <w:rsid w:val="00F74652"/>
    <w:rsid w:val="00F75207"/>
    <w:rsid w:val="00F75208"/>
    <w:rsid w:val="00F756B3"/>
    <w:rsid w:val="00F758CB"/>
    <w:rsid w:val="00F75995"/>
    <w:rsid w:val="00F765BF"/>
    <w:rsid w:val="00F766AC"/>
    <w:rsid w:val="00F76EB1"/>
    <w:rsid w:val="00F7731D"/>
    <w:rsid w:val="00F77DC6"/>
    <w:rsid w:val="00F814F6"/>
    <w:rsid w:val="00F822B6"/>
    <w:rsid w:val="00F83126"/>
    <w:rsid w:val="00F8322F"/>
    <w:rsid w:val="00F832E9"/>
    <w:rsid w:val="00F8346C"/>
    <w:rsid w:val="00F8420B"/>
    <w:rsid w:val="00F8423B"/>
    <w:rsid w:val="00F84279"/>
    <w:rsid w:val="00F848F9"/>
    <w:rsid w:val="00F85060"/>
    <w:rsid w:val="00F8539B"/>
    <w:rsid w:val="00F8555D"/>
    <w:rsid w:val="00F85A96"/>
    <w:rsid w:val="00F8631A"/>
    <w:rsid w:val="00F865D1"/>
    <w:rsid w:val="00F86850"/>
    <w:rsid w:val="00F870CD"/>
    <w:rsid w:val="00F87538"/>
    <w:rsid w:val="00F87771"/>
    <w:rsid w:val="00F87A01"/>
    <w:rsid w:val="00F9045C"/>
    <w:rsid w:val="00F909F4"/>
    <w:rsid w:val="00F90EE3"/>
    <w:rsid w:val="00F913BB"/>
    <w:rsid w:val="00F919D8"/>
    <w:rsid w:val="00F91F70"/>
    <w:rsid w:val="00F922C7"/>
    <w:rsid w:val="00F92864"/>
    <w:rsid w:val="00F92E24"/>
    <w:rsid w:val="00F93066"/>
    <w:rsid w:val="00F936E9"/>
    <w:rsid w:val="00F9372D"/>
    <w:rsid w:val="00F93964"/>
    <w:rsid w:val="00F9455E"/>
    <w:rsid w:val="00F94EF0"/>
    <w:rsid w:val="00F95B89"/>
    <w:rsid w:val="00F95BAB"/>
    <w:rsid w:val="00F960D5"/>
    <w:rsid w:val="00F96F01"/>
    <w:rsid w:val="00FA01B5"/>
    <w:rsid w:val="00FA03D7"/>
    <w:rsid w:val="00FA0484"/>
    <w:rsid w:val="00FA30FB"/>
    <w:rsid w:val="00FA4A95"/>
    <w:rsid w:val="00FA4EF1"/>
    <w:rsid w:val="00FA5B24"/>
    <w:rsid w:val="00FA5C57"/>
    <w:rsid w:val="00FA6811"/>
    <w:rsid w:val="00FA7B96"/>
    <w:rsid w:val="00FB0926"/>
    <w:rsid w:val="00FB16C3"/>
    <w:rsid w:val="00FB20CF"/>
    <w:rsid w:val="00FB268D"/>
    <w:rsid w:val="00FB3214"/>
    <w:rsid w:val="00FB342F"/>
    <w:rsid w:val="00FB353F"/>
    <w:rsid w:val="00FB3696"/>
    <w:rsid w:val="00FB3B7A"/>
    <w:rsid w:val="00FB4AE5"/>
    <w:rsid w:val="00FC09BE"/>
    <w:rsid w:val="00FC1420"/>
    <w:rsid w:val="00FC1914"/>
    <w:rsid w:val="00FC1B40"/>
    <w:rsid w:val="00FC1F53"/>
    <w:rsid w:val="00FC26EB"/>
    <w:rsid w:val="00FC2EFF"/>
    <w:rsid w:val="00FC3224"/>
    <w:rsid w:val="00FC3F40"/>
    <w:rsid w:val="00FC4A12"/>
    <w:rsid w:val="00FC4AAF"/>
    <w:rsid w:val="00FC54BD"/>
    <w:rsid w:val="00FC5D3A"/>
    <w:rsid w:val="00FC61F7"/>
    <w:rsid w:val="00FC63D0"/>
    <w:rsid w:val="00FC75DF"/>
    <w:rsid w:val="00FC7FD5"/>
    <w:rsid w:val="00FD06EC"/>
    <w:rsid w:val="00FD08A0"/>
    <w:rsid w:val="00FD1C3B"/>
    <w:rsid w:val="00FD3CC3"/>
    <w:rsid w:val="00FD4209"/>
    <w:rsid w:val="00FD47FC"/>
    <w:rsid w:val="00FD4D22"/>
    <w:rsid w:val="00FD59EC"/>
    <w:rsid w:val="00FD5CF9"/>
    <w:rsid w:val="00FD5F87"/>
    <w:rsid w:val="00FD672E"/>
    <w:rsid w:val="00FD7E68"/>
    <w:rsid w:val="00FE0102"/>
    <w:rsid w:val="00FE293D"/>
    <w:rsid w:val="00FE39B5"/>
    <w:rsid w:val="00FE45FB"/>
    <w:rsid w:val="00FE64A3"/>
    <w:rsid w:val="00FE6931"/>
    <w:rsid w:val="00FE74BD"/>
    <w:rsid w:val="00FE7BCB"/>
    <w:rsid w:val="00FE7E02"/>
    <w:rsid w:val="00FF03CF"/>
    <w:rsid w:val="00FF0F2E"/>
    <w:rsid w:val="00FF103D"/>
    <w:rsid w:val="00FF2B97"/>
    <w:rsid w:val="00FF3D1A"/>
    <w:rsid w:val="00FF4FB4"/>
    <w:rsid w:val="00FF6894"/>
    <w:rsid w:val="00FF79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9441">
      <o:colormenu v:ext="edit" fillcolor="none" strokecolor="none" shadowcolor="none"/>
    </o:shapedefaults>
    <o:shapelayout v:ext="edit">
      <o:idmap v:ext="edit" data="1"/>
    </o:shapelayout>
  </w:shapeDefaults>
  <w:decimalSymbol w:val="."/>
  <w:listSeparator w:val=","/>
  <w14:docId w14:val="0F0F9D39"/>
  <w15:docId w15:val="{6FA6E594-EB8E-4D05-9D89-D9F624B4F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5F"/>
    <w:pPr>
      <w:keepLines/>
      <w:spacing w:after="240" w:line="276" w:lineRule="auto"/>
    </w:pPr>
    <w:rPr>
      <w:sz w:val="24"/>
      <w:szCs w:val="24"/>
      <w:lang w:eastAsia="en-US"/>
    </w:rPr>
  </w:style>
  <w:style w:type="paragraph" w:styleId="Heading1">
    <w:name w:val="heading 1"/>
    <w:basedOn w:val="Normal"/>
    <w:next w:val="Normal"/>
    <w:link w:val="Heading1Char"/>
    <w:uiPriority w:val="1"/>
    <w:qFormat/>
    <w:rsid w:val="00EC44DA"/>
    <w:pPr>
      <w:keepNext/>
      <w:numPr>
        <w:numId w:val="1"/>
      </w:numPr>
      <w:tabs>
        <w:tab w:val="left" w:pos="709"/>
      </w:tabs>
      <w:spacing w:before="240"/>
      <w:outlineLvl w:val="0"/>
    </w:pPr>
    <w:rPr>
      <w:rFonts w:eastAsiaTheme="majorEastAsia" w:cs="Arial"/>
      <w:b/>
      <w:bCs/>
      <w:color w:val="86731E" w:themeColor="text1"/>
      <w:kern w:val="32"/>
      <w:sz w:val="30"/>
    </w:rPr>
  </w:style>
  <w:style w:type="paragraph" w:styleId="Heading2">
    <w:name w:val="heading 2"/>
    <w:basedOn w:val="Normal"/>
    <w:next w:val="Normal"/>
    <w:link w:val="Heading2Char"/>
    <w:uiPriority w:val="1"/>
    <w:qFormat/>
    <w:rsid w:val="00EC44DA"/>
    <w:pPr>
      <w:keepNext/>
      <w:numPr>
        <w:ilvl w:val="1"/>
        <w:numId w:val="1"/>
      </w:numPr>
      <w:spacing w:before="240" w:after="360"/>
      <w:ind w:right="527"/>
      <w:jc w:val="both"/>
      <w:outlineLvl w:val="1"/>
    </w:pPr>
    <w:rPr>
      <w:rFonts w:eastAsiaTheme="majorEastAsia" w:cs="Arial"/>
      <w:b/>
      <w:bCs/>
      <w:iCs/>
      <w:color w:val="205352"/>
      <w:sz w:val="28"/>
      <w:szCs w:val="21"/>
    </w:rPr>
  </w:style>
  <w:style w:type="paragraph" w:styleId="Heading3">
    <w:name w:val="heading 3"/>
    <w:basedOn w:val="Normal"/>
    <w:next w:val="Normal"/>
    <w:link w:val="Heading3Char"/>
    <w:autoRedefine/>
    <w:uiPriority w:val="1"/>
    <w:qFormat/>
    <w:rsid w:val="00C3455B"/>
    <w:pPr>
      <w:keepNext/>
      <w:numPr>
        <w:ilvl w:val="2"/>
        <w:numId w:val="1"/>
      </w:numPr>
      <w:spacing w:before="240" w:after="360"/>
      <w:outlineLvl w:val="2"/>
    </w:pPr>
    <w:rPr>
      <w:rFonts w:ascii="Verdana" w:hAnsi="Verdana" w:cs="Arial"/>
      <w:b/>
      <w:bCs/>
      <w:color w:val="1F2E2B" w:themeColor="text2" w:themeShade="80"/>
      <w:szCs w:val="20"/>
    </w:rPr>
  </w:style>
  <w:style w:type="paragraph" w:styleId="Heading4">
    <w:name w:val="heading 4"/>
    <w:basedOn w:val="Normal"/>
    <w:next w:val="Normal"/>
    <w:link w:val="Heading4Char"/>
    <w:autoRedefine/>
    <w:uiPriority w:val="1"/>
    <w:qFormat/>
    <w:rsid w:val="00664937"/>
    <w:pPr>
      <w:keepNext/>
      <w:tabs>
        <w:tab w:val="left" w:pos="2220"/>
      </w:tabs>
      <w:spacing w:before="60" w:line="240" w:lineRule="auto"/>
      <w:outlineLvl w:val="3"/>
    </w:pPr>
    <w:rPr>
      <w:rFonts w:eastAsiaTheme="majorEastAsia" w:cs="Arial"/>
      <w:b/>
      <w:bCs/>
      <w:color w:val="897719" w:themeColor="accent3"/>
      <w:szCs w:val="28"/>
      <w:lang w:val="en-US" w:eastAsia="en-AU"/>
    </w:rPr>
  </w:style>
  <w:style w:type="paragraph" w:styleId="Heading5">
    <w:name w:val="heading 5"/>
    <w:basedOn w:val="Normal"/>
    <w:next w:val="Normal"/>
    <w:link w:val="Heading5Char"/>
    <w:uiPriority w:val="1"/>
    <w:unhideWhenUsed/>
    <w:qFormat/>
    <w:rsid w:val="008756BF"/>
    <w:pPr>
      <w:keepNext/>
      <w:spacing w:before="40" w:after="0"/>
      <w:outlineLvl w:val="4"/>
    </w:pPr>
    <w:rPr>
      <w:rFonts w:asciiTheme="majorHAnsi" w:eastAsiaTheme="majorEastAsia" w:hAnsiTheme="majorHAnsi" w:cstheme="majorBidi"/>
      <w:color w:val="2D4440" w:themeColor="accent1" w:themeShade="BF"/>
    </w:rPr>
  </w:style>
  <w:style w:type="paragraph" w:styleId="Heading6">
    <w:name w:val="heading 6"/>
    <w:basedOn w:val="Normal"/>
    <w:next w:val="Normal"/>
    <w:link w:val="Heading6Char"/>
    <w:uiPriority w:val="1"/>
    <w:unhideWhenUsed/>
    <w:qFormat/>
    <w:rsid w:val="0008753A"/>
    <w:pPr>
      <w:keepNext/>
      <w:spacing w:before="200" w:after="0"/>
      <w:outlineLvl w:val="5"/>
    </w:pPr>
    <w:rPr>
      <w:rFonts w:asciiTheme="majorHAnsi" w:eastAsiaTheme="majorEastAsia" w:hAnsiTheme="majorHAnsi" w:cstheme="majorBidi"/>
      <w:i/>
      <w:iCs/>
      <w:color w:val="1E2D2B" w:themeColor="accent1" w:themeShade="7F"/>
    </w:rPr>
  </w:style>
  <w:style w:type="paragraph" w:styleId="Heading7">
    <w:name w:val="heading 7"/>
    <w:basedOn w:val="Normal"/>
    <w:next w:val="Normal"/>
    <w:link w:val="Heading7Char"/>
    <w:uiPriority w:val="1"/>
    <w:unhideWhenUsed/>
    <w:qFormat/>
    <w:rsid w:val="0008753A"/>
    <w:pPr>
      <w:keepNext/>
      <w:spacing w:before="200" w:after="0"/>
      <w:outlineLvl w:val="6"/>
    </w:pPr>
    <w:rPr>
      <w:rFonts w:asciiTheme="majorHAnsi" w:eastAsiaTheme="majorEastAsia" w:hAnsiTheme="majorHAnsi" w:cstheme="majorBidi"/>
      <w:i/>
      <w:iCs/>
      <w:color w:val="CCAF2E" w:themeColor="text1" w:themeTint="BF"/>
    </w:rPr>
  </w:style>
  <w:style w:type="paragraph" w:styleId="Heading8">
    <w:name w:val="heading 8"/>
    <w:basedOn w:val="Normal"/>
    <w:next w:val="Normal"/>
    <w:link w:val="Heading8Char"/>
    <w:uiPriority w:val="1"/>
    <w:qFormat/>
    <w:rsid w:val="00A16123"/>
    <w:pPr>
      <w:keepLines w:val="0"/>
      <w:widowControl w:val="0"/>
      <w:autoSpaceDE w:val="0"/>
      <w:autoSpaceDN w:val="0"/>
      <w:adjustRightInd w:val="0"/>
      <w:spacing w:after="0" w:line="240" w:lineRule="auto"/>
      <w:ind w:left="120"/>
      <w:outlineLvl w:val="7"/>
    </w:pPr>
    <w:rPr>
      <w:rFonts w:ascii="Century Gothic" w:eastAsiaTheme="minorEastAsia" w:hAnsi="Century Gothic" w:cs="Century Gothic"/>
      <w:b/>
      <w:bCs/>
      <w:sz w:val="18"/>
      <w:szCs w:val="18"/>
      <w:lang w:eastAsia="en-AU"/>
    </w:rPr>
  </w:style>
  <w:style w:type="paragraph" w:styleId="Heading9">
    <w:name w:val="heading 9"/>
    <w:basedOn w:val="Normal"/>
    <w:next w:val="Normal"/>
    <w:link w:val="Heading9Char"/>
    <w:uiPriority w:val="1"/>
    <w:unhideWhenUsed/>
    <w:qFormat/>
    <w:rsid w:val="00D85C8A"/>
    <w:pPr>
      <w:keepNext/>
      <w:spacing w:before="200" w:after="0"/>
      <w:outlineLvl w:val="8"/>
    </w:pPr>
    <w:rPr>
      <w:rFonts w:asciiTheme="majorHAnsi" w:eastAsiaTheme="majorEastAsia" w:hAnsiTheme="majorHAnsi" w:cstheme="majorBidi"/>
      <w:i/>
      <w:iCs/>
      <w:color w:val="CCAF2E"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C44DA"/>
    <w:rPr>
      <w:rFonts w:eastAsiaTheme="majorEastAsia" w:cs="Arial"/>
      <w:b/>
      <w:bCs/>
      <w:color w:val="86731E" w:themeColor="text1"/>
      <w:kern w:val="32"/>
      <w:sz w:val="30"/>
      <w:szCs w:val="24"/>
      <w:lang w:eastAsia="en-US"/>
    </w:rPr>
  </w:style>
  <w:style w:type="character" w:customStyle="1" w:styleId="Heading2Char">
    <w:name w:val="Heading 2 Char"/>
    <w:basedOn w:val="DefaultParagraphFont"/>
    <w:link w:val="Heading2"/>
    <w:uiPriority w:val="1"/>
    <w:rsid w:val="00EC44DA"/>
    <w:rPr>
      <w:rFonts w:eastAsiaTheme="majorEastAsia" w:cs="Arial"/>
      <w:b/>
      <w:bCs/>
      <w:iCs/>
      <w:color w:val="205352"/>
      <w:sz w:val="28"/>
      <w:szCs w:val="21"/>
      <w:lang w:eastAsia="en-US"/>
    </w:rPr>
  </w:style>
  <w:style w:type="character" w:customStyle="1" w:styleId="Heading3Char">
    <w:name w:val="Heading 3 Char"/>
    <w:basedOn w:val="DefaultParagraphFont"/>
    <w:link w:val="Heading3"/>
    <w:uiPriority w:val="1"/>
    <w:rsid w:val="00C3455B"/>
    <w:rPr>
      <w:rFonts w:ascii="Verdana" w:hAnsi="Verdana" w:cs="Arial"/>
      <w:b/>
      <w:bCs/>
      <w:color w:val="1F2E2B" w:themeColor="text2" w:themeShade="80"/>
      <w:sz w:val="24"/>
      <w:szCs w:val="20"/>
      <w:lang w:eastAsia="en-US"/>
    </w:rPr>
  </w:style>
  <w:style w:type="character" w:customStyle="1" w:styleId="Heading4Char">
    <w:name w:val="Heading 4 Char"/>
    <w:basedOn w:val="DefaultParagraphFont"/>
    <w:link w:val="Heading4"/>
    <w:uiPriority w:val="1"/>
    <w:rsid w:val="00664937"/>
    <w:rPr>
      <w:rFonts w:eastAsiaTheme="majorEastAsia" w:cs="Arial"/>
      <w:b/>
      <w:bCs/>
      <w:color w:val="897719" w:themeColor="accent3"/>
      <w:sz w:val="24"/>
      <w:szCs w:val="28"/>
      <w:lang w:val="en-US"/>
    </w:rPr>
  </w:style>
  <w:style w:type="paragraph" w:styleId="Header">
    <w:name w:val="header"/>
    <w:basedOn w:val="Normal"/>
    <w:link w:val="HeaderChar"/>
    <w:uiPriority w:val="99"/>
    <w:qFormat/>
    <w:rsid w:val="00EC44DA"/>
    <w:pPr>
      <w:tabs>
        <w:tab w:val="right" w:pos="9295"/>
      </w:tabs>
      <w:jc w:val="right"/>
    </w:pPr>
    <w:rPr>
      <w:rFonts w:cs="Arial"/>
      <w:color w:val="4D4D4D"/>
      <w:sz w:val="16"/>
      <w:szCs w:val="16"/>
    </w:rPr>
  </w:style>
  <w:style w:type="character" w:customStyle="1" w:styleId="HeaderChar">
    <w:name w:val="Header Char"/>
    <w:basedOn w:val="DefaultParagraphFont"/>
    <w:link w:val="Header"/>
    <w:uiPriority w:val="99"/>
    <w:rsid w:val="00EC44DA"/>
    <w:rPr>
      <w:rFonts w:cs="Arial"/>
      <w:color w:val="4D4D4D"/>
      <w:sz w:val="16"/>
      <w:szCs w:val="16"/>
      <w:lang w:eastAsia="en-US"/>
    </w:rPr>
  </w:style>
  <w:style w:type="paragraph" w:styleId="Footer">
    <w:name w:val="footer"/>
    <w:basedOn w:val="Normal"/>
    <w:link w:val="FooterChar"/>
    <w:uiPriority w:val="99"/>
    <w:qFormat/>
    <w:rsid w:val="00EC44DA"/>
    <w:pPr>
      <w:tabs>
        <w:tab w:val="right" w:pos="9072"/>
        <w:tab w:val="left" w:pos="9519"/>
      </w:tabs>
      <w:ind w:right="189"/>
    </w:pPr>
    <w:rPr>
      <w:rFonts w:cs="Arial"/>
      <w:bCs/>
      <w:noProof/>
      <w:color w:val="4D4D4D"/>
      <w:sz w:val="16"/>
      <w:szCs w:val="20"/>
    </w:rPr>
  </w:style>
  <w:style w:type="character" w:customStyle="1" w:styleId="FooterChar">
    <w:name w:val="Footer Char"/>
    <w:basedOn w:val="DefaultParagraphFont"/>
    <w:link w:val="Footer"/>
    <w:uiPriority w:val="99"/>
    <w:rsid w:val="00EC44DA"/>
    <w:rPr>
      <w:rFonts w:cs="Arial"/>
      <w:bCs/>
      <w:noProof/>
      <w:color w:val="4D4D4D"/>
      <w:sz w:val="16"/>
      <w:szCs w:val="20"/>
      <w:lang w:eastAsia="en-US"/>
    </w:rPr>
  </w:style>
  <w:style w:type="paragraph" w:styleId="Caption">
    <w:name w:val="caption"/>
    <w:basedOn w:val="Normal"/>
    <w:next w:val="Normal"/>
    <w:semiHidden/>
    <w:unhideWhenUsed/>
    <w:qFormat/>
    <w:rsid w:val="00EC44DA"/>
    <w:pPr>
      <w:spacing w:after="200" w:line="240" w:lineRule="auto"/>
    </w:pPr>
    <w:rPr>
      <w:b/>
      <w:bCs/>
      <w:color w:val="3D5C57" w:themeColor="accent1"/>
      <w:sz w:val="18"/>
      <w:szCs w:val="18"/>
    </w:rPr>
  </w:style>
  <w:style w:type="paragraph" w:styleId="Title">
    <w:name w:val="Title"/>
    <w:basedOn w:val="Normal"/>
    <w:next w:val="Normal"/>
    <w:link w:val="TitleChar"/>
    <w:qFormat/>
    <w:rsid w:val="00EC44DA"/>
    <w:pPr>
      <w:spacing w:before="240"/>
    </w:pPr>
    <w:rPr>
      <w:rFonts w:ascii="Verdana" w:eastAsiaTheme="majorEastAsia" w:hAnsi="Verdana" w:cstheme="majorBidi"/>
      <w:color w:val="3E5D57" w:themeColor="text2"/>
      <w:spacing w:val="5"/>
      <w:kern w:val="28"/>
      <w:sz w:val="40"/>
      <w:szCs w:val="40"/>
    </w:rPr>
  </w:style>
  <w:style w:type="character" w:customStyle="1" w:styleId="TitleChar">
    <w:name w:val="Title Char"/>
    <w:basedOn w:val="DefaultParagraphFont"/>
    <w:link w:val="Title"/>
    <w:rsid w:val="00EC44DA"/>
    <w:rPr>
      <w:rFonts w:ascii="Verdana" w:eastAsiaTheme="majorEastAsia" w:hAnsi="Verdana" w:cstheme="majorBidi"/>
      <w:color w:val="3E5D57" w:themeColor="text2"/>
      <w:spacing w:val="5"/>
      <w:kern w:val="28"/>
      <w:sz w:val="40"/>
      <w:szCs w:val="40"/>
      <w:lang w:eastAsia="en-US"/>
    </w:rPr>
  </w:style>
  <w:style w:type="paragraph" w:styleId="Subtitle">
    <w:name w:val="Subtitle"/>
    <w:basedOn w:val="Title"/>
    <w:next w:val="BodyText"/>
    <w:link w:val="SubtitleChar"/>
    <w:qFormat/>
    <w:rsid w:val="00EC44DA"/>
    <w:pPr>
      <w:numPr>
        <w:ilvl w:val="1"/>
      </w:numPr>
      <w:spacing w:line="30" w:lineRule="atLeast"/>
    </w:pPr>
    <w:rPr>
      <w:rFonts w:asciiTheme="majorHAnsi" w:hAnsiTheme="majorHAnsi"/>
      <w:i/>
      <w:iCs/>
      <w:color w:val="3D5C57" w:themeColor="accent1"/>
      <w:spacing w:val="15"/>
      <w:kern w:val="0"/>
      <w:sz w:val="24"/>
      <w:szCs w:val="24"/>
      <w:lang w:val="en-US"/>
    </w:rPr>
  </w:style>
  <w:style w:type="character" w:customStyle="1" w:styleId="SubtitleChar">
    <w:name w:val="Subtitle Char"/>
    <w:basedOn w:val="DefaultParagraphFont"/>
    <w:link w:val="Subtitle"/>
    <w:rsid w:val="00EC44DA"/>
    <w:rPr>
      <w:rFonts w:asciiTheme="majorHAnsi" w:eastAsiaTheme="majorEastAsia" w:hAnsiTheme="majorHAnsi" w:cstheme="majorBidi"/>
      <w:i/>
      <w:iCs/>
      <w:color w:val="3D5C57" w:themeColor="accent1"/>
      <w:spacing w:val="15"/>
      <w:sz w:val="24"/>
      <w:szCs w:val="24"/>
      <w:lang w:val="en-US" w:eastAsia="en-US"/>
    </w:rPr>
  </w:style>
  <w:style w:type="paragraph" w:styleId="BodyText">
    <w:name w:val="Body Text"/>
    <w:basedOn w:val="Normal"/>
    <w:link w:val="BodyTextChar"/>
    <w:uiPriority w:val="1"/>
    <w:unhideWhenUsed/>
    <w:qFormat/>
    <w:rsid w:val="00EC44DA"/>
    <w:pPr>
      <w:spacing w:after="120"/>
    </w:pPr>
  </w:style>
  <w:style w:type="character" w:customStyle="1" w:styleId="BodyTextChar">
    <w:name w:val="Body Text Char"/>
    <w:basedOn w:val="DefaultParagraphFont"/>
    <w:link w:val="BodyText"/>
    <w:uiPriority w:val="1"/>
    <w:rsid w:val="00EC44DA"/>
    <w:rPr>
      <w:szCs w:val="24"/>
      <w:lang w:eastAsia="en-US"/>
    </w:rPr>
  </w:style>
  <w:style w:type="character" w:styleId="Strong">
    <w:name w:val="Strong"/>
    <w:basedOn w:val="DefaultParagraphFont"/>
    <w:uiPriority w:val="22"/>
    <w:qFormat/>
    <w:rsid w:val="00EC44DA"/>
    <w:rPr>
      <w:b/>
      <w:bCs/>
    </w:rPr>
  </w:style>
  <w:style w:type="character" w:styleId="Emphasis">
    <w:name w:val="Emphasis"/>
    <w:basedOn w:val="DefaultParagraphFont"/>
    <w:uiPriority w:val="20"/>
    <w:qFormat/>
    <w:rsid w:val="00F477E4"/>
    <w:rPr>
      <w:i/>
      <w:iCs/>
      <w:color w:val="auto"/>
      <w:sz w:val="24"/>
    </w:rPr>
  </w:style>
  <w:style w:type="paragraph" w:styleId="ListParagraph">
    <w:name w:val="List Paragraph"/>
    <w:basedOn w:val="Normal"/>
    <w:link w:val="ListParagraphChar"/>
    <w:uiPriority w:val="1"/>
    <w:qFormat/>
    <w:rsid w:val="00EC44DA"/>
    <w:pPr>
      <w:spacing w:after="0" w:line="240" w:lineRule="auto"/>
      <w:ind w:left="720"/>
      <w:contextualSpacing/>
    </w:pPr>
    <w:rPr>
      <w:rFonts w:eastAsiaTheme="minorHAnsi" w:cstheme="minorBidi"/>
      <w:bCs/>
    </w:rPr>
  </w:style>
  <w:style w:type="character" w:customStyle="1" w:styleId="ListParagraphChar">
    <w:name w:val="List Paragraph Char"/>
    <w:basedOn w:val="DefaultParagraphFont"/>
    <w:link w:val="ListParagraph"/>
    <w:uiPriority w:val="34"/>
    <w:locked/>
    <w:rsid w:val="00EC44DA"/>
    <w:rPr>
      <w:rFonts w:eastAsiaTheme="minorHAnsi" w:cstheme="minorBidi"/>
      <w:bCs/>
      <w:szCs w:val="24"/>
      <w:lang w:eastAsia="en-US"/>
    </w:rPr>
  </w:style>
  <w:style w:type="character" w:styleId="IntenseReference">
    <w:name w:val="Intense Reference"/>
    <w:basedOn w:val="DefaultParagraphFont"/>
    <w:uiPriority w:val="32"/>
    <w:qFormat/>
    <w:rsid w:val="00EC44DA"/>
    <w:rPr>
      <w:b/>
      <w:bCs/>
      <w:smallCaps/>
      <w:color w:val="2D4541" w:themeColor="accent2"/>
      <w:spacing w:val="5"/>
      <w:u w:val="single"/>
    </w:rPr>
  </w:style>
  <w:style w:type="paragraph" w:styleId="TOCHeading">
    <w:name w:val="TOC Heading"/>
    <w:basedOn w:val="Heading1"/>
    <w:next w:val="Normal"/>
    <w:uiPriority w:val="39"/>
    <w:unhideWhenUsed/>
    <w:qFormat/>
    <w:rsid w:val="00EC44DA"/>
    <w:pPr>
      <w:numPr>
        <w:numId w:val="0"/>
      </w:numPr>
      <w:tabs>
        <w:tab w:val="clear" w:pos="709"/>
      </w:tabs>
      <w:spacing w:before="480" w:after="0"/>
      <w:outlineLvl w:val="9"/>
    </w:pPr>
    <w:rPr>
      <w:rFonts w:asciiTheme="majorHAnsi" w:hAnsiTheme="majorHAnsi" w:cstheme="majorBidi"/>
      <w:color w:val="2D4440" w:themeColor="accent1" w:themeShade="BF"/>
      <w:kern w:val="0"/>
      <w:szCs w:val="28"/>
    </w:rPr>
  </w:style>
  <w:style w:type="paragraph" w:customStyle="1" w:styleId="Default">
    <w:name w:val="Default"/>
    <w:basedOn w:val="Normal"/>
    <w:qFormat/>
    <w:rsid w:val="00EC44DA"/>
  </w:style>
  <w:style w:type="paragraph" w:customStyle="1" w:styleId="Heading2nonumber">
    <w:name w:val="Heading 2 (no number)"/>
    <w:basedOn w:val="Heading2"/>
    <w:link w:val="Heading2nonumberChar"/>
    <w:qFormat/>
    <w:rsid w:val="00302712"/>
    <w:pPr>
      <w:numPr>
        <w:ilvl w:val="0"/>
        <w:numId w:val="0"/>
      </w:numPr>
    </w:pPr>
    <w:rPr>
      <w:sz w:val="30"/>
      <w:szCs w:val="30"/>
    </w:rPr>
  </w:style>
  <w:style w:type="character" w:customStyle="1" w:styleId="Heading2nonumberChar">
    <w:name w:val="Heading 2 (no number) Char"/>
    <w:basedOn w:val="Heading2Char"/>
    <w:link w:val="Heading2nonumber"/>
    <w:rsid w:val="00302712"/>
    <w:rPr>
      <w:rFonts w:eastAsiaTheme="majorEastAsia" w:cs="Arial"/>
      <w:b/>
      <w:bCs/>
      <w:iCs/>
      <w:color w:val="205352"/>
      <w:sz w:val="30"/>
      <w:szCs w:val="30"/>
      <w:lang w:eastAsia="en-US"/>
    </w:rPr>
  </w:style>
  <w:style w:type="paragraph" w:customStyle="1" w:styleId="Heading3nonumber">
    <w:name w:val="Heading 3 (no number)"/>
    <w:basedOn w:val="Heading3"/>
    <w:link w:val="Heading3nonumberChar"/>
    <w:qFormat/>
    <w:rsid w:val="00EC44DA"/>
    <w:pPr>
      <w:numPr>
        <w:ilvl w:val="0"/>
        <w:numId w:val="0"/>
      </w:numPr>
    </w:pPr>
    <w:rPr>
      <w:color w:val="86731E" w:themeColor="text1"/>
    </w:rPr>
  </w:style>
  <w:style w:type="character" w:customStyle="1" w:styleId="Heading3nonumberChar">
    <w:name w:val="Heading 3 (no number) Char"/>
    <w:basedOn w:val="Heading3Char"/>
    <w:link w:val="Heading3nonumber"/>
    <w:rsid w:val="00EC44DA"/>
    <w:rPr>
      <w:rFonts w:ascii="Verdana" w:hAnsi="Verdana" w:cs="Arial"/>
      <w:b/>
      <w:bCs/>
      <w:color w:val="86731E" w:themeColor="text1"/>
      <w:sz w:val="24"/>
      <w:szCs w:val="20"/>
      <w:lang w:eastAsia="en-US"/>
    </w:rPr>
  </w:style>
  <w:style w:type="paragraph" w:customStyle="1" w:styleId="TableText">
    <w:name w:val="Table Text"/>
    <w:basedOn w:val="Normal"/>
    <w:link w:val="TableTextChar"/>
    <w:qFormat/>
    <w:rsid w:val="00EC44DA"/>
    <w:pPr>
      <w:spacing w:before="40" w:after="40"/>
      <w:contextualSpacing/>
    </w:pPr>
    <w:rPr>
      <w:rFonts w:cs="Arial"/>
      <w:color w:val="000000"/>
      <w:lang w:val="en-US"/>
    </w:rPr>
  </w:style>
  <w:style w:type="character" w:customStyle="1" w:styleId="TableTextChar">
    <w:name w:val="Table Text Char"/>
    <w:basedOn w:val="DefaultParagraphFont"/>
    <w:link w:val="TableText"/>
    <w:rsid w:val="00EC44DA"/>
    <w:rPr>
      <w:rFonts w:cs="Arial"/>
      <w:color w:val="000000"/>
      <w:szCs w:val="24"/>
      <w:lang w:val="en-US" w:eastAsia="en-US"/>
    </w:rPr>
  </w:style>
  <w:style w:type="paragraph" w:customStyle="1" w:styleId="BlockTitle">
    <w:name w:val="Block Title"/>
    <w:basedOn w:val="Title"/>
    <w:link w:val="BlockTitleChar"/>
    <w:qFormat/>
    <w:rsid w:val="00EC44DA"/>
    <w:pPr>
      <w:shd w:val="clear" w:color="auto" w:fill="3D5C57" w:themeFill="accent1"/>
      <w:jc w:val="center"/>
    </w:pPr>
    <w:rPr>
      <w:color w:val="FFFFFF" w:themeColor="background2"/>
    </w:rPr>
  </w:style>
  <w:style w:type="character" w:customStyle="1" w:styleId="BlockTitleChar">
    <w:name w:val="Block Title Char"/>
    <w:basedOn w:val="TitleChar"/>
    <w:link w:val="BlockTitle"/>
    <w:rsid w:val="00EC44DA"/>
    <w:rPr>
      <w:rFonts w:ascii="Verdana" w:eastAsiaTheme="majorEastAsia" w:hAnsi="Verdana" w:cstheme="majorBidi"/>
      <w:color w:val="FFFFFF" w:themeColor="background2"/>
      <w:spacing w:val="5"/>
      <w:kern w:val="28"/>
      <w:sz w:val="40"/>
      <w:szCs w:val="40"/>
      <w:shd w:val="clear" w:color="auto" w:fill="3D5C57" w:themeFill="accent1"/>
      <w:lang w:eastAsia="en-US"/>
    </w:rPr>
  </w:style>
  <w:style w:type="paragraph" w:customStyle="1" w:styleId="CoverTitle">
    <w:name w:val="Cover Title"/>
    <w:basedOn w:val="Title"/>
    <w:qFormat/>
    <w:rsid w:val="00095931"/>
    <w:pPr>
      <w:autoSpaceDE w:val="0"/>
      <w:autoSpaceDN w:val="0"/>
      <w:adjustRightInd w:val="0"/>
      <w:ind w:left="601"/>
      <w:contextualSpacing/>
    </w:pPr>
    <w:rPr>
      <w:rFonts w:cs="CenturyGothic"/>
      <w:b/>
    </w:rPr>
  </w:style>
  <w:style w:type="paragraph" w:customStyle="1" w:styleId="Heading1nonumber">
    <w:name w:val="Heading 1 (no number)"/>
    <w:basedOn w:val="Heading1"/>
    <w:link w:val="Heading1nonumberChar"/>
    <w:qFormat/>
    <w:rsid w:val="00302712"/>
    <w:pPr>
      <w:numPr>
        <w:numId w:val="0"/>
      </w:numPr>
    </w:pPr>
    <w:rPr>
      <w:sz w:val="36"/>
    </w:rPr>
  </w:style>
  <w:style w:type="character" w:customStyle="1" w:styleId="Heading1nonumberChar">
    <w:name w:val="Heading 1 (no number) Char"/>
    <w:basedOn w:val="Heading1Char"/>
    <w:link w:val="Heading1nonumber"/>
    <w:rsid w:val="00302712"/>
    <w:rPr>
      <w:rFonts w:eastAsiaTheme="majorEastAsia" w:cs="Arial"/>
      <w:b/>
      <w:bCs/>
      <w:color w:val="86731E" w:themeColor="text1"/>
      <w:kern w:val="32"/>
      <w:sz w:val="36"/>
      <w:szCs w:val="24"/>
      <w:lang w:eastAsia="en-US"/>
    </w:rPr>
  </w:style>
  <w:style w:type="paragraph" w:customStyle="1" w:styleId="NumberedlistLevel1">
    <w:name w:val="Numbered list Level 1"/>
    <w:basedOn w:val="ListParagraph"/>
    <w:link w:val="NumberedlistLevel1Char"/>
    <w:qFormat/>
    <w:rsid w:val="00EC44DA"/>
    <w:pPr>
      <w:numPr>
        <w:numId w:val="2"/>
      </w:numPr>
      <w:spacing w:after="240" w:line="276" w:lineRule="auto"/>
      <w:contextualSpacing w:val="0"/>
    </w:pPr>
    <w:rPr>
      <w:rFonts w:cs="Arial"/>
    </w:rPr>
  </w:style>
  <w:style w:type="character" w:customStyle="1" w:styleId="NumberedlistLevel1Char">
    <w:name w:val="Numbered list Level 1 Char"/>
    <w:basedOn w:val="ListParagraphChar"/>
    <w:link w:val="NumberedlistLevel1"/>
    <w:rsid w:val="00EC44DA"/>
    <w:rPr>
      <w:rFonts w:eastAsiaTheme="minorHAnsi" w:cs="Arial"/>
      <w:bCs/>
      <w:sz w:val="24"/>
      <w:szCs w:val="24"/>
      <w:lang w:eastAsia="en-US"/>
    </w:rPr>
  </w:style>
  <w:style w:type="paragraph" w:customStyle="1" w:styleId="NumberedListLevel2">
    <w:name w:val="Numbered List Level 2"/>
    <w:basedOn w:val="ListParagraph"/>
    <w:link w:val="NumberedListLevel2Char"/>
    <w:qFormat/>
    <w:rsid w:val="00EC44DA"/>
    <w:pPr>
      <w:numPr>
        <w:ilvl w:val="1"/>
        <w:numId w:val="2"/>
      </w:numPr>
      <w:spacing w:after="240" w:line="276" w:lineRule="auto"/>
      <w:contextualSpacing w:val="0"/>
    </w:pPr>
    <w:rPr>
      <w:rFonts w:cs="Arial"/>
    </w:rPr>
  </w:style>
  <w:style w:type="character" w:customStyle="1" w:styleId="NumberedListLevel2Char">
    <w:name w:val="Numbered List Level 2 Char"/>
    <w:basedOn w:val="ListParagraphChar"/>
    <w:link w:val="NumberedListLevel2"/>
    <w:rsid w:val="00EC44DA"/>
    <w:rPr>
      <w:rFonts w:eastAsiaTheme="minorHAnsi" w:cs="Arial"/>
      <w:bCs/>
      <w:sz w:val="24"/>
      <w:szCs w:val="24"/>
      <w:lang w:eastAsia="en-US"/>
    </w:rPr>
  </w:style>
  <w:style w:type="paragraph" w:customStyle="1" w:styleId="NumberedListLevel3">
    <w:name w:val="Numbered List Level 3"/>
    <w:basedOn w:val="ListParagraph"/>
    <w:link w:val="NumberedListLevel3Char"/>
    <w:qFormat/>
    <w:rsid w:val="00EC44DA"/>
    <w:pPr>
      <w:numPr>
        <w:ilvl w:val="2"/>
        <w:numId w:val="2"/>
      </w:numPr>
      <w:spacing w:after="240" w:line="276" w:lineRule="auto"/>
    </w:pPr>
    <w:rPr>
      <w:rFonts w:cs="Arial"/>
    </w:rPr>
  </w:style>
  <w:style w:type="character" w:customStyle="1" w:styleId="NumberedListLevel3Char">
    <w:name w:val="Numbered List Level 3 Char"/>
    <w:basedOn w:val="ListParagraphChar"/>
    <w:link w:val="NumberedListLevel3"/>
    <w:rsid w:val="00EC44DA"/>
    <w:rPr>
      <w:rFonts w:eastAsiaTheme="minorHAnsi" w:cs="Arial"/>
      <w:bCs/>
      <w:sz w:val="24"/>
      <w:szCs w:val="24"/>
      <w:lang w:eastAsia="en-US"/>
    </w:rPr>
  </w:style>
  <w:style w:type="paragraph" w:customStyle="1" w:styleId="BulletListLevel1">
    <w:name w:val="Bullet List Level 1"/>
    <w:basedOn w:val="NumberedlistLevel1"/>
    <w:link w:val="BulletListLevel1Char"/>
    <w:qFormat/>
    <w:rsid w:val="00FE7BCB"/>
    <w:pPr>
      <w:numPr>
        <w:numId w:val="3"/>
      </w:numPr>
    </w:pPr>
  </w:style>
  <w:style w:type="character" w:customStyle="1" w:styleId="BulletListLevel1Char">
    <w:name w:val="Bullet List Level 1 Char"/>
    <w:basedOn w:val="NumberedlistLevel1Char"/>
    <w:link w:val="BulletListLevel1"/>
    <w:rsid w:val="00FE7BCB"/>
    <w:rPr>
      <w:rFonts w:eastAsiaTheme="minorHAnsi" w:cs="Arial"/>
      <w:bCs/>
      <w:sz w:val="24"/>
      <w:szCs w:val="24"/>
      <w:lang w:eastAsia="en-US"/>
    </w:rPr>
  </w:style>
  <w:style w:type="paragraph" w:customStyle="1" w:styleId="BulletListLevel2">
    <w:name w:val="Bullet List Level 2"/>
    <w:basedOn w:val="NumberedListLevel2"/>
    <w:link w:val="BulletListLevel2Char"/>
    <w:qFormat/>
    <w:rsid w:val="00EC44DA"/>
    <w:pPr>
      <w:numPr>
        <w:ilvl w:val="0"/>
        <w:numId w:val="4"/>
      </w:numPr>
    </w:pPr>
  </w:style>
  <w:style w:type="character" w:customStyle="1" w:styleId="BulletListLevel2Char">
    <w:name w:val="Bullet List Level 2 Char"/>
    <w:basedOn w:val="NumberedListLevel2Char"/>
    <w:link w:val="BulletListLevel2"/>
    <w:rsid w:val="00EC44DA"/>
    <w:rPr>
      <w:rFonts w:eastAsiaTheme="minorHAnsi" w:cs="Arial"/>
      <w:bCs/>
      <w:sz w:val="24"/>
      <w:szCs w:val="24"/>
      <w:lang w:eastAsia="en-US"/>
    </w:rPr>
  </w:style>
  <w:style w:type="paragraph" w:customStyle="1" w:styleId="BulletListLevel3">
    <w:name w:val="Bullet List Level 3"/>
    <w:basedOn w:val="NumberedListLevel3"/>
    <w:link w:val="BulletListLevel3Char"/>
    <w:qFormat/>
    <w:rsid w:val="00EC44DA"/>
    <w:pPr>
      <w:numPr>
        <w:numId w:val="5"/>
      </w:numPr>
    </w:pPr>
  </w:style>
  <w:style w:type="character" w:customStyle="1" w:styleId="BulletListLevel3Char">
    <w:name w:val="Bullet List Level 3 Char"/>
    <w:basedOn w:val="NumberedListLevel3Char"/>
    <w:link w:val="BulletListLevel3"/>
    <w:rsid w:val="00EC44DA"/>
    <w:rPr>
      <w:rFonts w:eastAsiaTheme="minorHAnsi" w:cs="Arial"/>
      <w:bCs/>
      <w:sz w:val="24"/>
      <w:szCs w:val="24"/>
      <w:lang w:eastAsia="en-US"/>
    </w:rPr>
  </w:style>
  <w:style w:type="table" w:styleId="TableGrid">
    <w:name w:val="Table Grid"/>
    <w:basedOn w:val="TableNormal"/>
    <w:uiPriority w:val="59"/>
    <w:rsid w:val="00F86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link w:val="BasicParagraphChar"/>
    <w:uiPriority w:val="99"/>
    <w:rsid w:val="00C85A58"/>
    <w:pPr>
      <w:keepLines w:val="0"/>
      <w:autoSpaceDE w:val="0"/>
      <w:autoSpaceDN w:val="0"/>
      <w:adjustRightInd w:val="0"/>
      <w:spacing w:after="0" w:line="288" w:lineRule="auto"/>
      <w:textAlignment w:val="center"/>
    </w:pPr>
    <w:rPr>
      <w:rFonts w:ascii="Myriad Pro" w:hAnsi="Myriad Pro"/>
      <w:color w:val="000000"/>
      <w:lang w:val="en-GB" w:eastAsia="en-AU"/>
    </w:rPr>
  </w:style>
  <w:style w:type="character" w:customStyle="1" w:styleId="BasicParagraphChar">
    <w:name w:val="[Basic Paragraph] Char"/>
    <w:basedOn w:val="DefaultParagraphFont"/>
    <w:link w:val="BasicParagraph"/>
    <w:uiPriority w:val="99"/>
    <w:rsid w:val="00C85A58"/>
    <w:rPr>
      <w:rFonts w:ascii="Myriad Pro" w:hAnsi="Myriad Pro"/>
      <w:color w:val="000000"/>
      <w:sz w:val="24"/>
      <w:szCs w:val="24"/>
      <w:lang w:val="en-GB"/>
    </w:rPr>
  </w:style>
  <w:style w:type="character" w:styleId="CommentReference">
    <w:name w:val="annotation reference"/>
    <w:basedOn w:val="DefaultParagraphFont"/>
    <w:uiPriority w:val="99"/>
    <w:semiHidden/>
    <w:unhideWhenUsed/>
    <w:rsid w:val="00D35AC6"/>
    <w:rPr>
      <w:sz w:val="16"/>
      <w:szCs w:val="16"/>
    </w:rPr>
  </w:style>
  <w:style w:type="paragraph" w:styleId="CommentText">
    <w:name w:val="annotation text"/>
    <w:basedOn w:val="Normal"/>
    <w:link w:val="CommentTextChar"/>
    <w:uiPriority w:val="99"/>
    <w:semiHidden/>
    <w:unhideWhenUsed/>
    <w:rsid w:val="00D35AC6"/>
    <w:pPr>
      <w:spacing w:line="240" w:lineRule="auto"/>
    </w:pPr>
    <w:rPr>
      <w:rFonts w:eastAsia="Calibri"/>
      <w:sz w:val="20"/>
      <w:szCs w:val="20"/>
    </w:rPr>
  </w:style>
  <w:style w:type="character" w:customStyle="1" w:styleId="CommentTextChar">
    <w:name w:val="Comment Text Char"/>
    <w:basedOn w:val="DefaultParagraphFont"/>
    <w:link w:val="CommentText"/>
    <w:uiPriority w:val="99"/>
    <w:semiHidden/>
    <w:rsid w:val="00D35AC6"/>
    <w:rPr>
      <w:rFonts w:eastAsia="Calibri"/>
      <w:sz w:val="20"/>
      <w:szCs w:val="20"/>
      <w:lang w:eastAsia="en-US"/>
    </w:rPr>
  </w:style>
  <w:style w:type="paragraph" w:styleId="BalloonText">
    <w:name w:val="Balloon Text"/>
    <w:basedOn w:val="Normal"/>
    <w:link w:val="BalloonTextChar"/>
    <w:uiPriority w:val="99"/>
    <w:semiHidden/>
    <w:unhideWhenUsed/>
    <w:rsid w:val="00D35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AC6"/>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0A02DF"/>
    <w:rPr>
      <w:rFonts w:eastAsia="Times New Roman"/>
      <w:b/>
      <w:bCs/>
    </w:rPr>
  </w:style>
  <w:style w:type="character" w:customStyle="1" w:styleId="CommentSubjectChar">
    <w:name w:val="Comment Subject Char"/>
    <w:basedOn w:val="CommentTextChar"/>
    <w:link w:val="CommentSubject"/>
    <w:uiPriority w:val="99"/>
    <w:semiHidden/>
    <w:rsid w:val="000A02DF"/>
    <w:rPr>
      <w:rFonts w:eastAsia="Calibri"/>
      <w:b/>
      <w:bCs/>
      <w:sz w:val="20"/>
      <w:szCs w:val="20"/>
      <w:lang w:eastAsia="en-US"/>
    </w:rPr>
  </w:style>
  <w:style w:type="character" w:styleId="Hyperlink">
    <w:name w:val="Hyperlink"/>
    <w:basedOn w:val="DefaultParagraphFont"/>
    <w:uiPriority w:val="99"/>
    <w:unhideWhenUsed/>
    <w:rsid w:val="00153B54"/>
    <w:rPr>
      <w:color w:val="0000FF" w:themeColor="hyperlink"/>
      <w:u w:val="single"/>
    </w:rPr>
  </w:style>
  <w:style w:type="paragraph" w:customStyle="1" w:styleId="NoParagraphStyle">
    <w:name w:val="[No Paragraph Style]"/>
    <w:rsid w:val="008F6008"/>
    <w:pPr>
      <w:autoSpaceDE w:val="0"/>
      <w:autoSpaceDN w:val="0"/>
      <w:adjustRightInd w:val="0"/>
      <w:spacing w:line="288" w:lineRule="auto"/>
      <w:textAlignment w:val="center"/>
    </w:pPr>
    <w:rPr>
      <w:rFonts w:ascii="Myriad Pro" w:hAnsi="Myriad Pro"/>
      <w:color w:val="000000"/>
      <w:sz w:val="24"/>
      <w:szCs w:val="24"/>
      <w:lang w:val="en-GB"/>
    </w:rPr>
  </w:style>
  <w:style w:type="paragraph" w:customStyle="1" w:styleId="Heading4colour">
    <w:name w:val="Heading 4 colour"/>
    <w:basedOn w:val="Heading4"/>
    <w:link w:val="Heading4colourChar"/>
    <w:qFormat/>
    <w:rsid w:val="00FA4A95"/>
    <w:rPr>
      <w:color w:val="2D4541" w:themeColor="accent2"/>
    </w:rPr>
  </w:style>
  <w:style w:type="table" w:customStyle="1" w:styleId="MediumShading1-Accent11">
    <w:name w:val="Medium Shading 1 - Accent 11"/>
    <w:basedOn w:val="TableNormal"/>
    <w:uiPriority w:val="63"/>
    <w:rsid w:val="00C150DB"/>
    <w:tblPr>
      <w:tblStyleRowBandSize w:val="1"/>
      <w:tblStyleColBandSize w:val="1"/>
      <w:tbl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single" w:sz="8" w:space="0" w:color="609189" w:themeColor="accent1" w:themeTint="BF"/>
      </w:tblBorders>
    </w:tblPr>
    <w:tblStylePr w:type="firstRow">
      <w:pPr>
        <w:spacing w:before="0" w:after="0" w:line="240" w:lineRule="auto"/>
      </w:pPr>
      <w:rPr>
        <w:b/>
        <w:bCs/>
        <w:color w:val="FFFFFF" w:themeColor="background1"/>
      </w:rPr>
      <w:tblPr/>
      <w:tcPr>
        <w:tc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shd w:val="clear" w:color="auto" w:fill="3D5C57" w:themeFill="accent1"/>
      </w:tcPr>
    </w:tblStylePr>
    <w:tblStylePr w:type="lastRow">
      <w:pPr>
        <w:spacing w:before="0" w:after="0" w:line="240" w:lineRule="auto"/>
      </w:pPr>
      <w:rPr>
        <w:b/>
        <w:bCs/>
      </w:rPr>
      <w:tblPr/>
      <w:tcPr>
        <w:tcBorders>
          <w:top w:val="double" w:sz="6"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DBD8" w:themeFill="accent1" w:themeFillTint="3F"/>
      </w:tcPr>
    </w:tblStylePr>
    <w:tblStylePr w:type="band1Horz">
      <w:tblPr/>
      <w:tcPr>
        <w:tcBorders>
          <w:insideH w:val="nil"/>
          <w:insideV w:val="nil"/>
        </w:tcBorders>
        <w:shd w:val="clear" w:color="auto" w:fill="C9DBD8" w:themeFill="accent1" w:themeFillTint="3F"/>
      </w:tcPr>
    </w:tblStylePr>
    <w:tblStylePr w:type="band2Horz">
      <w:tblPr/>
      <w:tcPr>
        <w:tcBorders>
          <w:insideH w:val="nil"/>
          <w:insideV w:val="nil"/>
        </w:tcBorders>
      </w:tcPr>
    </w:tblStylePr>
  </w:style>
  <w:style w:type="character" w:customStyle="1" w:styleId="Heading4colourChar">
    <w:name w:val="Heading 4 colour Char"/>
    <w:basedOn w:val="Heading4Char"/>
    <w:link w:val="Heading4colour"/>
    <w:rsid w:val="00FA4A95"/>
    <w:rPr>
      <w:rFonts w:ascii="Verdana" w:eastAsiaTheme="majorEastAsia" w:hAnsi="Verdana" w:cstheme="majorBidi"/>
      <w:b/>
      <w:bCs/>
      <w:color w:val="2D4541" w:themeColor="accent2"/>
      <w:sz w:val="24"/>
      <w:szCs w:val="28"/>
      <w:lang w:val="en-US"/>
    </w:rPr>
  </w:style>
  <w:style w:type="paragraph" w:styleId="TOC1">
    <w:name w:val="toc 1"/>
    <w:basedOn w:val="Normal"/>
    <w:next w:val="Normal"/>
    <w:autoRedefine/>
    <w:uiPriority w:val="39"/>
    <w:unhideWhenUsed/>
    <w:rsid w:val="000B3B8B"/>
    <w:pPr>
      <w:tabs>
        <w:tab w:val="right" w:leader="dot" w:pos="9016"/>
      </w:tabs>
      <w:spacing w:after="100"/>
    </w:pPr>
    <w:rPr>
      <w:noProof/>
    </w:rPr>
  </w:style>
  <w:style w:type="paragraph" w:styleId="TOC2">
    <w:name w:val="toc 2"/>
    <w:basedOn w:val="Normal"/>
    <w:next w:val="Normal"/>
    <w:autoRedefine/>
    <w:uiPriority w:val="39"/>
    <w:unhideWhenUsed/>
    <w:rsid w:val="00A50723"/>
    <w:pPr>
      <w:spacing w:after="100"/>
      <w:ind w:left="240"/>
    </w:pPr>
  </w:style>
  <w:style w:type="paragraph" w:styleId="TOC3">
    <w:name w:val="toc 3"/>
    <w:basedOn w:val="Normal"/>
    <w:next w:val="Normal"/>
    <w:autoRedefine/>
    <w:uiPriority w:val="39"/>
    <w:unhideWhenUsed/>
    <w:rsid w:val="00B41605"/>
    <w:pPr>
      <w:tabs>
        <w:tab w:val="right" w:leader="dot" w:pos="9016"/>
      </w:tabs>
      <w:spacing w:after="100"/>
      <w:ind w:left="480"/>
    </w:pPr>
  </w:style>
  <w:style w:type="paragraph" w:styleId="TOC4">
    <w:name w:val="toc 4"/>
    <w:basedOn w:val="Normal"/>
    <w:next w:val="Normal"/>
    <w:autoRedefine/>
    <w:uiPriority w:val="39"/>
    <w:unhideWhenUsed/>
    <w:rsid w:val="00A50723"/>
    <w:pPr>
      <w:keepLines w:val="0"/>
      <w:spacing w:after="100"/>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A50723"/>
    <w:pPr>
      <w:keepLines w:val="0"/>
      <w:spacing w:after="100"/>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A50723"/>
    <w:pPr>
      <w:keepLines w:val="0"/>
      <w:spacing w:after="100"/>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A50723"/>
    <w:pPr>
      <w:keepLines w:val="0"/>
      <w:spacing w:after="100"/>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A50723"/>
    <w:pPr>
      <w:keepLines w:val="0"/>
      <w:spacing w:after="100"/>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A50723"/>
    <w:pPr>
      <w:keepLines w:val="0"/>
      <w:spacing w:after="100"/>
      <w:ind w:left="1760"/>
    </w:pPr>
    <w:rPr>
      <w:rFonts w:asciiTheme="minorHAnsi" w:eastAsiaTheme="minorEastAsia" w:hAnsiTheme="minorHAnsi" w:cstheme="minorBidi"/>
      <w:sz w:val="22"/>
      <w:szCs w:val="22"/>
      <w:lang w:eastAsia="en-AU"/>
    </w:rPr>
  </w:style>
  <w:style w:type="character" w:customStyle="1" w:styleId="A10">
    <w:name w:val="A10"/>
    <w:basedOn w:val="DefaultParagraphFont"/>
    <w:uiPriority w:val="99"/>
    <w:rsid w:val="0046106D"/>
    <w:rPr>
      <w:rFonts w:ascii="Myriad Pro" w:hAnsi="Myriad Pro" w:hint="default"/>
      <w:color w:val="000000"/>
    </w:rPr>
  </w:style>
  <w:style w:type="paragraph" w:styleId="FootnoteText">
    <w:name w:val="footnote text"/>
    <w:basedOn w:val="Normal"/>
    <w:link w:val="FootnoteTextChar"/>
    <w:uiPriority w:val="99"/>
    <w:semiHidden/>
    <w:unhideWhenUsed/>
    <w:rsid w:val="00542F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2F95"/>
    <w:rPr>
      <w:sz w:val="20"/>
      <w:szCs w:val="20"/>
      <w:lang w:eastAsia="en-US"/>
    </w:rPr>
  </w:style>
  <w:style w:type="character" w:styleId="FootnoteReference">
    <w:name w:val="footnote reference"/>
    <w:basedOn w:val="DefaultParagraphFont"/>
    <w:uiPriority w:val="99"/>
    <w:semiHidden/>
    <w:unhideWhenUsed/>
    <w:rsid w:val="00542F95"/>
    <w:rPr>
      <w:vertAlign w:val="superscript"/>
    </w:rPr>
  </w:style>
  <w:style w:type="paragraph" w:styleId="NoSpacing">
    <w:name w:val="No Spacing"/>
    <w:link w:val="NoSpacingChar"/>
    <w:uiPriority w:val="1"/>
    <w:qFormat/>
    <w:rsid w:val="00DB7A2D"/>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DB7A2D"/>
    <w:rPr>
      <w:rFonts w:asciiTheme="minorHAnsi" w:eastAsiaTheme="minorEastAsia" w:hAnsiTheme="minorHAnsi" w:cstheme="minorBidi"/>
      <w:lang w:val="en-US" w:eastAsia="en-US"/>
    </w:rPr>
  </w:style>
  <w:style w:type="paragraph" w:styleId="Revision">
    <w:name w:val="Revision"/>
    <w:hidden/>
    <w:uiPriority w:val="99"/>
    <w:semiHidden/>
    <w:rsid w:val="00A0489E"/>
    <w:rPr>
      <w:sz w:val="24"/>
      <w:szCs w:val="24"/>
      <w:lang w:eastAsia="en-US"/>
    </w:rPr>
  </w:style>
  <w:style w:type="paragraph" w:styleId="NormalWeb">
    <w:name w:val="Normal (Web)"/>
    <w:basedOn w:val="Normal"/>
    <w:uiPriority w:val="99"/>
    <w:unhideWhenUsed/>
    <w:rsid w:val="004470B8"/>
    <w:pPr>
      <w:keepLines w:val="0"/>
      <w:spacing w:before="100" w:beforeAutospacing="1" w:after="100" w:afterAutospacing="1" w:line="240" w:lineRule="auto"/>
    </w:pPr>
    <w:rPr>
      <w:rFonts w:ascii="Times New Roman" w:hAnsi="Times New Roman"/>
      <w:lang w:eastAsia="en-AU"/>
    </w:rPr>
  </w:style>
  <w:style w:type="paragraph" w:styleId="PlainText">
    <w:name w:val="Plain Text"/>
    <w:basedOn w:val="Normal"/>
    <w:link w:val="PlainTextChar"/>
    <w:uiPriority w:val="99"/>
    <w:semiHidden/>
    <w:unhideWhenUsed/>
    <w:rsid w:val="00405B29"/>
    <w:pPr>
      <w:keepLines w:val="0"/>
      <w:spacing w:after="0" w:line="240" w:lineRule="auto"/>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405B29"/>
    <w:rPr>
      <w:rFonts w:ascii="Calibri" w:eastAsiaTheme="minorHAnsi" w:hAnsi="Calibri" w:cs="Consolas"/>
      <w:szCs w:val="21"/>
      <w:lang w:eastAsia="en-US"/>
    </w:rPr>
  </w:style>
  <w:style w:type="paragraph" w:customStyle="1" w:styleId="Paragraph-BodyText">
    <w:name w:val="Paragraph - Body Text"/>
    <w:basedOn w:val="NoParagraphStyle"/>
    <w:uiPriority w:val="99"/>
    <w:rsid w:val="00B05450"/>
    <w:pPr>
      <w:suppressAutoHyphens/>
      <w:ind w:left="113" w:right="113"/>
    </w:pPr>
    <w:rPr>
      <w:rFonts w:cs="Myriad Pro"/>
      <w:w w:val="96"/>
      <w:sz w:val="22"/>
      <w:szCs w:val="22"/>
    </w:rPr>
  </w:style>
  <w:style w:type="table" w:customStyle="1" w:styleId="TableGrid1">
    <w:name w:val="Table Grid1"/>
    <w:basedOn w:val="TableNormal"/>
    <w:next w:val="TableGrid"/>
    <w:uiPriority w:val="59"/>
    <w:rsid w:val="00B054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054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70EA3"/>
    <w:pPr>
      <w:pBdr>
        <w:top w:val="single" w:sz="4" w:space="10" w:color="3D5C57" w:themeColor="accent1"/>
        <w:bottom w:val="single" w:sz="4" w:space="10" w:color="3D5C57" w:themeColor="accent1"/>
      </w:pBdr>
      <w:spacing w:before="360" w:after="360"/>
      <w:ind w:left="864" w:right="864"/>
      <w:jc w:val="center"/>
    </w:pPr>
    <w:rPr>
      <w:i/>
      <w:iCs/>
      <w:color w:val="3D5C57" w:themeColor="accent1"/>
    </w:rPr>
  </w:style>
  <w:style w:type="character" w:customStyle="1" w:styleId="IntenseQuoteChar">
    <w:name w:val="Intense Quote Char"/>
    <w:basedOn w:val="DefaultParagraphFont"/>
    <w:link w:val="IntenseQuote"/>
    <w:uiPriority w:val="30"/>
    <w:rsid w:val="00970EA3"/>
    <w:rPr>
      <w:i/>
      <w:iCs/>
      <w:color w:val="3D5C57" w:themeColor="accent1"/>
      <w:sz w:val="24"/>
      <w:szCs w:val="24"/>
      <w:lang w:eastAsia="en-US"/>
    </w:rPr>
  </w:style>
  <w:style w:type="character" w:customStyle="1" w:styleId="TableHeadingChar">
    <w:name w:val="Table Heading Char"/>
    <w:basedOn w:val="TableTextChar"/>
    <w:link w:val="TableHeading"/>
    <w:locked/>
    <w:rsid w:val="0011480C"/>
    <w:rPr>
      <w:rFonts w:cs="Arial"/>
      <w:b/>
      <w:bCs/>
      <w:color w:val="FFFFFF" w:themeColor="background1"/>
      <w:szCs w:val="24"/>
      <w:lang w:val="en-US" w:eastAsia="en-US"/>
    </w:rPr>
  </w:style>
  <w:style w:type="paragraph" w:customStyle="1" w:styleId="TableHeading">
    <w:name w:val="Table Heading"/>
    <w:basedOn w:val="TableText"/>
    <w:link w:val="TableHeadingChar"/>
    <w:qFormat/>
    <w:rsid w:val="0011480C"/>
    <w:pPr>
      <w:keepLines w:val="0"/>
      <w:spacing w:before="120" w:after="120" w:line="240" w:lineRule="auto"/>
      <w:contextualSpacing w:val="0"/>
    </w:pPr>
    <w:rPr>
      <w:rFonts w:cs="Times New Roman"/>
      <w:b/>
      <w:bCs/>
      <w:color w:val="FFFFFF" w:themeColor="background1"/>
      <w:sz w:val="22"/>
      <w:szCs w:val="22"/>
      <w:lang w:val="en-AU" w:eastAsia="en-AU"/>
    </w:rPr>
  </w:style>
  <w:style w:type="character" w:customStyle="1" w:styleId="Heading5Char">
    <w:name w:val="Heading 5 Char"/>
    <w:basedOn w:val="DefaultParagraphFont"/>
    <w:link w:val="Heading5"/>
    <w:uiPriority w:val="1"/>
    <w:rsid w:val="008756BF"/>
    <w:rPr>
      <w:rFonts w:asciiTheme="majorHAnsi" w:eastAsiaTheme="majorEastAsia" w:hAnsiTheme="majorHAnsi" w:cstheme="majorBidi"/>
      <w:color w:val="2D4440" w:themeColor="accent1" w:themeShade="BF"/>
      <w:sz w:val="24"/>
      <w:szCs w:val="24"/>
      <w:lang w:eastAsia="en-US"/>
    </w:rPr>
  </w:style>
  <w:style w:type="paragraph" w:customStyle="1" w:styleId="Indenta">
    <w:name w:val="Indent(a)"/>
    <w:rsid w:val="00C759DD"/>
    <w:pPr>
      <w:tabs>
        <w:tab w:val="right" w:pos="1332"/>
        <w:tab w:val="left" w:pos="1616"/>
      </w:tabs>
      <w:spacing w:before="80" w:line="260" w:lineRule="atLeast"/>
      <w:ind w:left="1616" w:hanging="1616"/>
    </w:pPr>
    <w:rPr>
      <w:rFonts w:ascii="Times New Roman" w:hAnsi="Times New Roman"/>
      <w:sz w:val="24"/>
      <w:szCs w:val="20"/>
      <w:lang w:eastAsia="en-US"/>
    </w:rPr>
  </w:style>
  <w:style w:type="paragraph" w:customStyle="1" w:styleId="Style1">
    <w:name w:val="Style1"/>
    <w:basedOn w:val="Normal"/>
    <w:rsid w:val="00184206"/>
    <w:pPr>
      <w:keepLines w:val="0"/>
      <w:tabs>
        <w:tab w:val="left" w:pos="709"/>
        <w:tab w:val="left" w:pos="992"/>
        <w:tab w:val="left" w:pos="1276"/>
        <w:tab w:val="left" w:pos="1559"/>
      </w:tabs>
      <w:spacing w:after="0" w:line="240" w:lineRule="auto"/>
    </w:pPr>
    <w:rPr>
      <w:bCs/>
      <w:caps/>
      <w:sz w:val="22"/>
      <w:szCs w:val="20"/>
    </w:rPr>
  </w:style>
  <w:style w:type="paragraph" w:customStyle="1" w:styleId="Normal-Act">
    <w:name w:val="Normal - Act"/>
    <w:basedOn w:val="Normal"/>
    <w:link w:val="Normal-ActChar"/>
    <w:qFormat/>
    <w:rsid w:val="0080044F"/>
    <w:pPr>
      <w:keepLines w:val="0"/>
      <w:spacing w:before="120"/>
    </w:pPr>
    <w:rPr>
      <w:rFonts w:eastAsiaTheme="minorHAnsi" w:cstheme="minorBidi"/>
      <w:i/>
    </w:rPr>
  </w:style>
  <w:style w:type="character" w:customStyle="1" w:styleId="Normal-ActChar">
    <w:name w:val="Normal - Act Char"/>
    <w:basedOn w:val="DefaultParagraphFont"/>
    <w:link w:val="Normal-Act"/>
    <w:rsid w:val="0080044F"/>
    <w:rPr>
      <w:rFonts w:eastAsiaTheme="minorHAnsi" w:cstheme="minorBidi"/>
      <w:i/>
      <w:sz w:val="24"/>
      <w:szCs w:val="24"/>
      <w:lang w:eastAsia="en-US"/>
    </w:rPr>
  </w:style>
  <w:style w:type="paragraph" w:customStyle="1" w:styleId="H2">
    <w:name w:val="H2"/>
    <w:basedOn w:val="Normal"/>
    <w:uiPriority w:val="99"/>
    <w:rsid w:val="00C93F88"/>
    <w:pPr>
      <w:keepLines w:val="0"/>
      <w:suppressAutoHyphens/>
      <w:autoSpaceDE w:val="0"/>
      <w:autoSpaceDN w:val="0"/>
      <w:adjustRightInd w:val="0"/>
      <w:spacing w:after="170" w:line="288" w:lineRule="auto"/>
      <w:textAlignment w:val="center"/>
    </w:pPr>
    <w:rPr>
      <w:rFonts w:ascii="Century Gothic" w:hAnsi="Century Gothic" w:cs="Century Gothic"/>
      <w:b/>
      <w:bCs/>
      <w:color w:val="635400"/>
      <w:sz w:val="36"/>
      <w:szCs w:val="36"/>
      <w:lang w:val="en-GB" w:eastAsia="en-AU"/>
    </w:rPr>
  </w:style>
  <w:style w:type="paragraph" w:customStyle="1" w:styleId="H2sub">
    <w:name w:val="H2 sub"/>
    <w:basedOn w:val="Normal"/>
    <w:uiPriority w:val="99"/>
    <w:rsid w:val="00C93F88"/>
    <w:pPr>
      <w:keepLines w:val="0"/>
      <w:suppressAutoHyphens/>
      <w:autoSpaceDE w:val="0"/>
      <w:autoSpaceDN w:val="0"/>
      <w:adjustRightInd w:val="0"/>
      <w:spacing w:after="170" w:line="288" w:lineRule="auto"/>
      <w:textAlignment w:val="center"/>
    </w:pPr>
    <w:rPr>
      <w:rFonts w:ascii="Century Gothic" w:hAnsi="Century Gothic" w:cs="Century Gothic"/>
      <w:b/>
      <w:bCs/>
      <w:color w:val="000000"/>
      <w:sz w:val="28"/>
      <w:szCs w:val="28"/>
      <w:lang w:val="en-GB" w:eastAsia="en-AU"/>
    </w:rPr>
  </w:style>
  <w:style w:type="character" w:customStyle="1" w:styleId="H2-gold">
    <w:name w:val="H2 - gold"/>
    <w:uiPriority w:val="99"/>
    <w:rsid w:val="00C93F88"/>
    <w:rPr>
      <w:rFonts w:ascii="Century Gothic" w:hAnsi="Century Gothic" w:cs="Century Gothic"/>
      <w:b/>
      <w:bCs/>
      <w:color w:val="635400"/>
      <w:sz w:val="36"/>
      <w:szCs w:val="36"/>
    </w:rPr>
  </w:style>
  <w:style w:type="character" w:customStyle="1" w:styleId="H2sub-black">
    <w:name w:val="H2 sub - black"/>
    <w:uiPriority w:val="99"/>
    <w:rsid w:val="00C93F88"/>
    <w:rPr>
      <w:rFonts w:ascii="Century Gothic" w:hAnsi="Century Gothic" w:cs="Century Gothic"/>
      <w:b/>
      <w:bCs/>
      <w:color w:val="000000"/>
      <w:sz w:val="28"/>
      <w:szCs w:val="28"/>
    </w:rPr>
  </w:style>
  <w:style w:type="paragraph" w:customStyle="1" w:styleId="tablenumbers">
    <w:name w:val="table numbers"/>
    <w:basedOn w:val="NoParagraphStyle"/>
    <w:uiPriority w:val="99"/>
    <w:rsid w:val="004C1EBE"/>
    <w:pPr>
      <w:suppressAutoHyphens/>
      <w:jc w:val="right"/>
    </w:pPr>
    <w:rPr>
      <w:rFonts w:ascii="Myriad Pro Light" w:hAnsi="Myriad Pro Light" w:cs="Myriad Pro Light"/>
      <w:sz w:val="16"/>
      <w:szCs w:val="16"/>
    </w:rPr>
  </w:style>
  <w:style w:type="character" w:customStyle="1" w:styleId="MinorTotal">
    <w:name w:val="Minor Total"/>
    <w:uiPriority w:val="99"/>
    <w:rsid w:val="004C1EBE"/>
    <w:rPr>
      <w:rFonts w:ascii="Myriad Pro Light" w:hAnsi="Myriad Pro Light" w:cs="Myriad Pro Light"/>
      <w:sz w:val="16"/>
      <w:szCs w:val="16"/>
    </w:rPr>
  </w:style>
  <w:style w:type="character" w:customStyle="1" w:styleId="MajorTotal">
    <w:name w:val="Major Total"/>
    <w:uiPriority w:val="99"/>
    <w:rsid w:val="004C1EBE"/>
    <w:rPr>
      <w:rFonts w:ascii="Myriad Pro" w:hAnsi="Myriad Pro" w:cs="Myriad Pro"/>
      <w:b/>
      <w:bCs/>
      <w:color w:val="000000"/>
      <w:sz w:val="16"/>
      <w:szCs w:val="16"/>
    </w:rPr>
  </w:style>
  <w:style w:type="paragraph" w:customStyle="1" w:styleId="body">
    <w:name w:val="body"/>
    <w:basedOn w:val="Paragraph-BodyText"/>
    <w:uiPriority w:val="99"/>
    <w:rsid w:val="00595605"/>
    <w:pPr>
      <w:ind w:left="0" w:right="0"/>
    </w:pPr>
  </w:style>
  <w:style w:type="character" w:customStyle="1" w:styleId="body1">
    <w:name w:val="body1"/>
    <w:uiPriority w:val="99"/>
    <w:rsid w:val="00400F81"/>
    <w:rPr>
      <w:rFonts w:ascii="Myriad Pro" w:hAnsi="Myriad Pro" w:cs="Myriad Pro"/>
      <w:color w:val="000000"/>
      <w:sz w:val="22"/>
      <w:szCs w:val="22"/>
    </w:rPr>
  </w:style>
  <w:style w:type="paragraph" w:customStyle="1" w:styleId="bodysmall">
    <w:name w:val="body small"/>
    <w:basedOn w:val="Paragraph-BodyText"/>
    <w:uiPriority w:val="99"/>
    <w:rsid w:val="00305D47"/>
    <w:pPr>
      <w:ind w:left="0" w:right="0"/>
    </w:pPr>
    <w:rPr>
      <w:sz w:val="16"/>
      <w:szCs w:val="16"/>
    </w:rPr>
  </w:style>
  <w:style w:type="character" w:customStyle="1" w:styleId="H4-blackitalic">
    <w:name w:val="H4 - black italic"/>
    <w:uiPriority w:val="99"/>
    <w:rsid w:val="00305D47"/>
    <w:rPr>
      <w:rFonts w:ascii="Myriad Pro" w:hAnsi="Myriad Pro" w:cs="Myriad Pro"/>
      <w:b/>
      <w:bCs/>
      <w:i/>
      <w:iCs/>
      <w:color w:val="000000"/>
      <w:sz w:val="24"/>
      <w:szCs w:val="24"/>
    </w:rPr>
  </w:style>
  <w:style w:type="paragraph" w:customStyle="1" w:styleId="H2GoldNumbered">
    <w:name w:val="H2 Gold Numbered"/>
    <w:basedOn w:val="H2"/>
    <w:uiPriority w:val="99"/>
    <w:rsid w:val="00391419"/>
    <w:pPr>
      <w:ind w:left="360" w:hanging="360"/>
    </w:pPr>
  </w:style>
  <w:style w:type="paragraph" w:customStyle="1" w:styleId="bodyinumbered">
    <w:name w:val="body i) numbered"/>
    <w:basedOn w:val="bodysmall"/>
    <w:next w:val="body"/>
    <w:uiPriority w:val="99"/>
    <w:rsid w:val="00391419"/>
    <w:pPr>
      <w:ind w:left="360" w:hanging="360"/>
    </w:pPr>
    <w:rPr>
      <w:sz w:val="22"/>
      <w:szCs w:val="22"/>
    </w:rPr>
  </w:style>
  <w:style w:type="character" w:customStyle="1" w:styleId="H3sub-gold">
    <w:name w:val="H3 sub - gold"/>
    <w:basedOn w:val="body1"/>
    <w:uiPriority w:val="99"/>
    <w:rsid w:val="00391419"/>
    <w:rPr>
      <w:rFonts w:ascii="Century Gothic" w:hAnsi="Century Gothic" w:cs="Century Gothic"/>
      <w:b/>
      <w:bCs/>
      <w:color w:val="635400"/>
      <w:sz w:val="24"/>
      <w:szCs w:val="24"/>
    </w:rPr>
  </w:style>
  <w:style w:type="character" w:customStyle="1" w:styleId="H3-green">
    <w:name w:val="H3 - green"/>
    <w:basedOn w:val="H2sub-black"/>
    <w:uiPriority w:val="99"/>
    <w:rsid w:val="00391419"/>
    <w:rPr>
      <w:rFonts w:ascii="Century Gothic" w:hAnsi="Century Gothic" w:cs="Century Gothic"/>
      <w:b/>
      <w:bCs/>
      <w:color w:val="00320C"/>
      <w:sz w:val="28"/>
      <w:szCs w:val="28"/>
    </w:rPr>
  </w:style>
  <w:style w:type="character" w:customStyle="1" w:styleId="Headingtable6section">
    <w:name w:val="Heading table 6 section"/>
    <w:uiPriority w:val="99"/>
    <w:rsid w:val="00DC0FA9"/>
    <w:rPr>
      <w:rFonts w:ascii="Myriad Pro" w:hAnsi="Myriad Pro" w:cs="Myriad Pro"/>
      <w:b/>
      <w:bCs/>
      <w:color w:val="000000"/>
      <w:sz w:val="20"/>
      <w:szCs w:val="20"/>
    </w:rPr>
  </w:style>
  <w:style w:type="character" w:customStyle="1" w:styleId="bodytable6section">
    <w:name w:val="body table 6. section"/>
    <w:uiPriority w:val="99"/>
    <w:rsid w:val="00DC0FA9"/>
    <w:rPr>
      <w:rFonts w:ascii="Myriad Pro Light" w:hAnsi="Myriad Pro Light" w:cs="Myriad Pro Light"/>
      <w:color w:val="000000"/>
      <w:sz w:val="20"/>
      <w:szCs w:val="20"/>
    </w:rPr>
  </w:style>
  <w:style w:type="character" w:customStyle="1" w:styleId="bodytable6section-b">
    <w:name w:val="body table 6 section - b"/>
    <w:basedOn w:val="DefaultParagraphFont"/>
    <w:uiPriority w:val="99"/>
    <w:rsid w:val="007F38DB"/>
    <w:rPr>
      <w:rFonts w:ascii="Myriad Pro Light" w:hAnsi="Myriad Pro Light" w:cs="Myriad Pro Light"/>
      <w:color w:val="000000"/>
      <w:sz w:val="16"/>
      <w:szCs w:val="16"/>
    </w:rPr>
  </w:style>
  <w:style w:type="character" w:customStyle="1" w:styleId="headingtablesection6-b">
    <w:name w:val="heading table section 6-b"/>
    <w:basedOn w:val="bodytable6section-b"/>
    <w:uiPriority w:val="99"/>
    <w:rsid w:val="007F38DB"/>
    <w:rPr>
      <w:rFonts w:ascii="Myriad Pro" w:hAnsi="Myriad Pro" w:cs="Myriad Pro"/>
      <w:b/>
      <w:bCs/>
      <w:color w:val="000000"/>
      <w:sz w:val="16"/>
      <w:szCs w:val="16"/>
    </w:rPr>
  </w:style>
  <w:style w:type="character" w:customStyle="1" w:styleId="MainTableFont">
    <w:name w:val="Main Table Font"/>
    <w:uiPriority w:val="99"/>
    <w:rsid w:val="0043249C"/>
    <w:rPr>
      <w:rFonts w:ascii="Myriad Pro Light" w:hAnsi="Myriad Pro Light" w:cs="Myriad Pro Light"/>
      <w:sz w:val="16"/>
      <w:szCs w:val="16"/>
    </w:rPr>
  </w:style>
  <w:style w:type="character" w:customStyle="1" w:styleId="TopDescriptor">
    <w:name w:val="Top Descriptor"/>
    <w:uiPriority w:val="99"/>
    <w:rsid w:val="0043249C"/>
    <w:rPr>
      <w:rFonts w:ascii="Myriad Pro Light" w:hAnsi="Myriad Pro Light" w:cs="Myriad Pro Light"/>
      <w:sz w:val="16"/>
      <w:szCs w:val="16"/>
    </w:rPr>
  </w:style>
  <w:style w:type="character" w:customStyle="1" w:styleId="MinorTableHeading">
    <w:name w:val="Minor Table Heading"/>
    <w:uiPriority w:val="99"/>
    <w:rsid w:val="002B1121"/>
    <w:rPr>
      <w:rFonts w:ascii="Myriad Pro Light" w:hAnsi="Myriad Pro Light" w:cs="Myriad Pro Light"/>
      <w:i/>
      <w:iCs/>
      <w:color w:val="004400"/>
      <w:sz w:val="16"/>
      <w:szCs w:val="16"/>
    </w:rPr>
  </w:style>
  <w:style w:type="character" w:customStyle="1" w:styleId="MajorTableHeading">
    <w:name w:val="Major Table Heading"/>
    <w:uiPriority w:val="99"/>
    <w:rsid w:val="002B1121"/>
    <w:rPr>
      <w:rFonts w:ascii="Myriad Pro Black" w:hAnsi="Myriad Pro Black" w:cs="Myriad Pro Black"/>
      <w:color w:val="004400"/>
      <w:sz w:val="16"/>
      <w:szCs w:val="16"/>
    </w:rPr>
  </w:style>
  <w:style w:type="paragraph" w:customStyle="1" w:styleId="H2GoldNumberedLargeFinancialStyles">
    <w:name w:val="H2 Gold Numbered Large (Financial Styles)"/>
    <w:basedOn w:val="Normal"/>
    <w:uiPriority w:val="99"/>
    <w:rsid w:val="002C3275"/>
    <w:pPr>
      <w:keepLines w:val="0"/>
      <w:suppressAutoHyphens/>
      <w:autoSpaceDE w:val="0"/>
      <w:autoSpaceDN w:val="0"/>
      <w:adjustRightInd w:val="0"/>
      <w:spacing w:after="170" w:line="288" w:lineRule="auto"/>
      <w:ind w:left="737" w:hanging="737"/>
      <w:textAlignment w:val="center"/>
    </w:pPr>
    <w:rPr>
      <w:rFonts w:ascii="Century Gothic" w:hAnsi="Century Gothic" w:cs="Century Gothic"/>
      <w:b/>
      <w:bCs/>
      <w:color w:val="907D00"/>
      <w:sz w:val="36"/>
      <w:szCs w:val="36"/>
      <w:lang w:val="en-GB" w:eastAsia="en-AU"/>
    </w:rPr>
  </w:style>
  <w:style w:type="paragraph" w:customStyle="1" w:styleId="bodyFinancialStyles">
    <w:name w:val="body (Financial Styles)"/>
    <w:basedOn w:val="Paragraph-BodyText"/>
    <w:uiPriority w:val="99"/>
    <w:rsid w:val="002C3275"/>
    <w:pPr>
      <w:ind w:left="0" w:right="0"/>
    </w:pPr>
  </w:style>
  <w:style w:type="character" w:customStyle="1" w:styleId="H2-goldFinancialStyles">
    <w:name w:val="H2 - gold (Financial Styles)"/>
    <w:uiPriority w:val="99"/>
    <w:rsid w:val="002C3275"/>
    <w:rPr>
      <w:rFonts w:ascii="Century Gothic" w:hAnsi="Century Gothic" w:cs="Century Gothic"/>
      <w:b/>
      <w:bCs/>
      <w:color w:val="907D00"/>
      <w:sz w:val="36"/>
      <w:szCs w:val="36"/>
    </w:rPr>
  </w:style>
  <w:style w:type="character" w:customStyle="1" w:styleId="MainTableFontFinancialStyles">
    <w:name w:val="Main Table Font (Financial Styles)"/>
    <w:uiPriority w:val="99"/>
    <w:rsid w:val="002C3275"/>
    <w:rPr>
      <w:rFonts w:ascii="Myriad Pro Light" w:hAnsi="Myriad Pro Light" w:cs="Myriad Pro Light"/>
      <w:sz w:val="16"/>
      <w:szCs w:val="16"/>
    </w:rPr>
  </w:style>
  <w:style w:type="character" w:customStyle="1" w:styleId="MajorTableHeadingFinancialStyles">
    <w:name w:val="Major Table Heading (Financial Styles)"/>
    <w:uiPriority w:val="99"/>
    <w:rsid w:val="002C3275"/>
    <w:rPr>
      <w:rFonts w:ascii="Century Gothic" w:hAnsi="Century Gothic" w:cs="Century Gothic"/>
      <w:b/>
      <w:bCs/>
      <w:color w:val="2E5250"/>
      <w:sz w:val="18"/>
      <w:szCs w:val="18"/>
    </w:rPr>
  </w:style>
  <w:style w:type="character" w:customStyle="1" w:styleId="TopDescriptorFinancialStyles">
    <w:name w:val="Top Descriptor (Financial Styles)"/>
    <w:uiPriority w:val="99"/>
    <w:rsid w:val="002C3275"/>
    <w:rPr>
      <w:rFonts w:ascii="Myriad Pro Light" w:hAnsi="Myriad Pro Light" w:cs="Myriad Pro Light"/>
      <w:sz w:val="16"/>
      <w:szCs w:val="16"/>
    </w:rPr>
  </w:style>
  <w:style w:type="character" w:customStyle="1" w:styleId="MajorTotalFinancialStyles">
    <w:name w:val="Major Total (Financial Styles)"/>
    <w:uiPriority w:val="99"/>
    <w:rsid w:val="002C3275"/>
    <w:rPr>
      <w:rFonts w:ascii="Myriad Pro" w:hAnsi="Myriad Pro" w:cs="Myriad Pro"/>
      <w:b/>
      <w:bCs/>
      <w:color w:val="000000"/>
      <w:sz w:val="16"/>
      <w:szCs w:val="16"/>
    </w:rPr>
  </w:style>
  <w:style w:type="character" w:customStyle="1" w:styleId="1stTierHeadingFinancialStyles">
    <w:name w:val="1st Tier Heading (Financial Styles)"/>
    <w:uiPriority w:val="99"/>
    <w:rsid w:val="00F150E3"/>
    <w:rPr>
      <w:rFonts w:ascii="Myriad Pro" w:hAnsi="Myriad Pro" w:cs="Myriad Pro"/>
      <w:b/>
      <w:bCs/>
      <w:color w:val="2E5250"/>
      <w:sz w:val="20"/>
      <w:szCs w:val="20"/>
    </w:rPr>
  </w:style>
  <w:style w:type="character" w:customStyle="1" w:styleId="MinorTableHeadingFinancialStyles">
    <w:name w:val="Minor Table Heading (Financial Styles)"/>
    <w:uiPriority w:val="99"/>
    <w:rsid w:val="00F150E3"/>
    <w:rPr>
      <w:rFonts w:ascii="Myriad Pro Light" w:hAnsi="Myriad Pro Light" w:cs="Myriad Pro Light"/>
      <w:i/>
      <w:iCs/>
      <w:color w:val="2E5250"/>
      <w:sz w:val="16"/>
      <w:szCs w:val="16"/>
    </w:rPr>
  </w:style>
  <w:style w:type="character" w:customStyle="1" w:styleId="H3-greenFinancialStyles">
    <w:name w:val="H3 - green (Financial Styles)"/>
    <w:basedOn w:val="DefaultParagraphFont"/>
    <w:uiPriority w:val="99"/>
    <w:rsid w:val="002A38B0"/>
    <w:rPr>
      <w:rFonts w:ascii="Century Gothic" w:hAnsi="Century Gothic" w:cs="Century Gothic"/>
      <w:b/>
      <w:bCs/>
      <w:color w:val="355A5A"/>
      <w:sz w:val="28"/>
      <w:szCs w:val="28"/>
    </w:rPr>
  </w:style>
  <w:style w:type="character" w:customStyle="1" w:styleId="MinorTotalFinancialStyles">
    <w:name w:val="Minor Total (Financial Styles)"/>
    <w:uiPriority w:val="99"/>
    <w:rsid w:val="00F02DB6"/>
    <w:rPr>
      <w:rFonts w:ascii="Myriad Pro Light" w:hAnsi="Myriad Pro Light" w:cs="Myriad Pro Light"/>
      <w:sz w:val="16"/>
      <w:szCs w:val="16"/>
    </w:rPr>
  </w:style>
  <w:style w:type="paragraph" w:customStyle="1" w:styleId="StyleJustified">
    <w:name w:val="Style Justified"/>
    <w:basedOn w:val="Normal"/>
    <w:rsid w:val="00B33F30"/>
    <w:pPr>
      <w:keepLines w:val="0"/>
      <w:spacing w:before="60" w:after="60" w:line="240" w:lineRule="auto"/>
      <w:jc w:val="both"/>
    </w:pPr>
    <w:rPr>
      <w:szCs w:val="20"/>
    </w:rPr>
  </w:style>
  <w:style w:type="character" w:styleId="FollowedHyperlink">
    <w:name w:val="FollowedHyperlink"/>
    <w:basedOn w:val="DefaultParagraphFont"/>
    <w:uiPriority w:val="99"/>
    <w:semiHidden/>
    <w:unhideWhenUsed/>
    <w:rsid w:val="006D5E46"/>
    <w:rPr>
      <w:color w:val="800080" w:themeColor="followedHyperlink"/>
      <w:u w:val="single"/>
    </w:rPr>
  </w:style>
  <w:style w:type="character" w:styleId="PlaceholderText">
    <w:name w:val="Placeholder Text"/>
    <w:basedOn w:val="DefaultParagraphFont"/>
    <w:uiPriority w:val="99"/>
    <w:semiHidden/>
    <w:rsid w:val="005B696E"/>
  </w:style>
  <w:style w:type="paragraph" w:customStyle="1" w:styleId="Pa4">
    <w:name w:val="Pa4"/>
    <w:basedOn w:val="Default"/>
    <w:next w:val="Default"/>
    <w:uiPriority w:val="99"/>
    <w:rsid w:val="005B05E3"/>
    <w:pPr>
      <w:keepLines w:val="0"/>
      <w:autoSpaceDE w:val="0"/>
      <w:autoSpaceDN w:val="0"/>
      <w:adjustRightInd w:val="0"/>
      <w:spacing w:after="0" w:line="221" w:lineRule="atLeast"/>
    </w:pPr>
    <w:rPr>
      <w:rFonts w:ascii="Myriad Pro" w:hAnsi="Myriad Pro"/>
      <w:lang w:eastAsia="en-AU"/>
    </w:rPr>
  </w:style>
  <w:style w:type="table" w:customStyle="1" w:styleId="GridTable1Light-Accent31">
    <w:name w:val="Grid Table 1 Light - Accent 31"/>
    <w:basedOn w:val="TableNormal"/>
    <w:uiPriority w:val="46"/>
    <w:rsid w:val="00E76B0E"/>
    <w:tblPr>
      <w:tblStyleRowBandSize w:val="1"/>
      <w:tblStyleColBandSize w:val="1"/>
      <w:tblBorders>
        <w:top w:val="single" w:sz="4" w:space="0" w:color="E9DA89" w:themeColor="accent3" w:themeTint="66"/>
        <w:left w:val="single" w:sz="4" w:space="0" w:color="E9DA89" w:themeColor="accent3" w:themeTint="66"/>
        <w:bottom w:val="single" w:sz="4" w:space="0" w:color="E9DA89" w:themeColor="accent3" w:themeTint="66"/>
        <w:right w:val="single" w:sz="4" w:space="0" w:color="E9DA89" w:themeColor="accent3" w:themeTint="66"/>
        <w:insideH w:val="single" w:sz="4" w:space="0" w:color="E9DA89" w:themeColor="accent3" w:themeTint="66"/>
        <w:insideV w:val="single" w:sz="4" w:space="0" w:color="E9DA89" w:themeColor="accent3" w:themeTint="66"/>
      </w:tblBorders>
    </w:tblPr>
    <w:tblStylePr w:type="firstRow">
      <w:rPr>
        <w:b/>
        <w:bCs/>
      </w:rPr>
      <w:tblPr/>
      <w:tcPr>
        <w:tcBorders>
          <w:bottom w:val="single" w:sz="12" w:space="0" w:color="DEC74E" w:themeColor="accent3" w:themeTint="99"/>
        </w:tcBorders>
      </w:tcPr>
    </w:tblStylePr>
    <w:tblStylePr w:type="lastRow">
      <w:rPr>
        <w:b/>
        <w:bCs/>
      </w:rPr>
      <w:tblPr/>
      <w:tcPr>
        <w:tcBorders>
          <w:top w:val="double" w:sz="2" w:space="0" w:color="DEC74E" w:themeColor="accent3" w:themeTint="99"/>
        </w:tcBorders>
      </w:tcPr>
    </w:tblStylePr>
    <w:tblStylePr w:type="firstCol">
      <w:rPr>
        <w:b/>
        <w:bCs/>
      </w:rPr>
    </w:tblStylePr>
    <w:tblStylePr w:type="lastCol">
      <w:rPr>
        <w:b/>
        <w:bCs/>
      </w:rPr>
    </w:tblStylePr>
  </w:style>
  <w:style w:type="paragraph" w:customStyle="1" w:styleId="WCHeading1">
    <w:name w:val="WC Heading 1"/>
    <w:basedOn w:val="Normal"/>
    <w:next w:val="Normal"/>
    <w:rsid w:val="0039132D"/>
    <w:pPr>
      <w:keepLines w:val="0"/>
      <w:numPr>
        <w:numId w:val="10"/>
      </w:numPr>
      <w:spacing w:before="240" w:line="240" w:lineRule="auto"/>
    </w:pPr>
    <w:rPr>
      <w:b/>
    </w:rPr>
  </w:style>
  <w:style w:type="paragraph" w:customStyle="1" w:styleId="WCHeading4">
    <w:name w:val="WC_Heading_4"/>
    <w:basedOn w:val="Normal"/>
    <w:rsid w:val="0039132D"/>
    <w:pPr>
      <w:keepLines w:val="0"/>
      <w:numPr>
        <w:ilvl w:val="3"/>
        <w:numId w:val="10"/>
      </w:numPr>
      <w:spacing w:before="60" w:after="60" w:line="240" w:lineRule="auto"/>
    </w:pPr>
    <w:rPr>
      <w:bCs/>
    </w:rPr>
  </w:style>
  <w:style w:type="paragraph" w:customStyle="1" w:styleId="WCHeading2">
    <w:name w:val="WC Heading 2"/>
    <w:basedOn w:val="Normal"/>
    <w:next w:val="Normal"/>
    <w:rsid w:val="0039132D"/>
    <w:pPr>
      <w:keepLines w:val="0"/>
      <w:numPr>
        <w:ilvl w:val="1"/>
        <w:numId w:val="10"/>
      </w:numPr>
      <w:spacing w:before="240" w:after="190" w:line="240" w:lineRule="auto"/>
    </w:pPr>
    <w:rPr>
      <w:b/>
      <w:i/>
    </w:rPr>
  </w:style>
  <w:style w:type="paragraph" w:customStyle="1" w:styleId="WCHeading3">
    <w:name w:val="WC Heading 3"/>
    <w:basedOn w:val="Normal"/>
    <w:next w:val="Normal"/>
    <w:rsid w:val="0039132D"/>
    <w:pPr>
      <w:keepLines w:val="0"/>
      <w:numPr>
        <w:ilvl w:val="2"/>
        <w:numId w:val="10"/>
      </w:numPr>
      <w:spacing w:before="240" w:after="190" w:line="240" w:lineRule="auto"/>
    </w:pPr>
    <w:rPr>
      <w:i/>
    </w:rPr>
  </w:style>
  <w:style w:type="paragraph" w:styleId="Quote">
    <w:name w:val="Quote"/>
    <w:basedOn w:val="Normal"/>
    <w:next w:val="Normal"/>
    <w:link w:val="QuoteChar"/>
    <w:uiPriority w:val="29"/>
    <w:qFormat/>
    <w:rsid w:val="00876F3A"/>
    <w:pPr>
      <w:spacing w:before="200" w:after="160"/>
      <w:ind w:left="864" w:right="864"/>
      <w:jc w:val="center"/>
    </w:pPr>
    <w:rPr>
      <w:i/>
      <w:iCs/>
      <w:color w:val="CCAF2E" w:themeColor="text1" w:themeTint="BF"/>
    </w:rPr>
  </w:style>
  <w:style w:type="character" w:customStyle="1" w:styleId="QuoteChar">
    <w:name w:val="Quote Char"/>
    <w:basedOn w:val="DefaultParagraphFont"/>
    <w:link w:val="Quote"/>
    <w:uiPriority w:val="29"/>
    <w:rsid w:val="00876F3A"/>
    <w:rPr>
      <w:i/>
      <w:iCs/>
      <w:color w:val="CCAF2E" w:themeColor="text1" w:themeTint="BF"/>
      <w:sz w:val="24"/>
      <w:szCs w:val="24"/>
      <w:lang w:eastAsia="en-US"/>
    </w:rPr>
  </w:style>
  <w:style w:type="character" w:customStyle="1" w:styleId="context">
    <w:name w:val="context"/>
    <w:basedOn w:val="DefaultParagraphFont"/>
    <w:rsid w:val="007C0402"/>
  </w:style>
  <w:style w:type="character" w:customStyle="1" w:styleId="Heading6Char">
    <w:name w:val="Heading 6 Char"/>
    <w:basedOn w:val="DefaultParagraphFont"/>
    <w:link w:val="Heading6"/>
    <w:uiPriority w:val="1"/>
    <w:rsid w:val="0008753A"/>
    <w:rPr>
      <w:rFonts w:asciiTheme="majorHAnsi" w:eastAsiaTheme="majorEastAsia" w:hAnsiTheme="majorHAnsi" w:cstheme="majorBidi"/>
      <w:i/>
      <w:iCs/>
      <w:color w:val="1E2D2B" w:themeColor="accent1" w:themeShade="7F"/>
      <w:sz w:val="24"/>
      <w:szCs w:val="24"/>
      <w:lang w:eastAsia="en-US"/>
    </w:rPr>
  </w:style>
  <w:style w:type="character" w:customStyle="1" w:styleId="Heading7Char">
    <w:name w:val="Heading 7 Char"/>
    <w:basedOn w:val="DefaultParagraphFont"/>
    <w:link w:val="Heading7"/>
    <w:uiPriority w:val="1"/>
    <w:rsid w:val="0008753A"/>
    <w:rPr>
      <w:rFonts w:asciiTheme="majorHAnsi" w:eastAsiaTheme="majorEastAsia" w:hAnsiTheme="majorHAnsi" w:cstheme="majorBidi"/>
      <w:i/>
      <w:iCs/>
      <w:color w:val="CCAF2E" w:themeColor="text1" w:themeTint="BF"/>
      <w:sz w:val="24"/>
      <w:szCs w:val="24"/>
      <w:lang w:eastAsia="en-US"/>
    </w:rPr>
  </w:style>
  <w:style w:type="paragraph" w:customStyle="1" w:styleId="TableParagraph">
    <w:name w:val="Table Paragraph"/>
    <w:basedOn w:val="Normal"/>
    <w:uiPriority w:val="1"/>
    <w:qFormat/>
    <w:rsid w:val="002476D1"/>
    <w:pPr>
      <w:keepLines w:val="0"/>
      <w:widowControl w:val="0"/>
      <w:autoSpaceDE w:val="0"/>
      <w:autoSpaceDN w:val="0"/>
      <w:adjustRightInd w:val="0"/>
      <w:spacing w:after="0" w:line="240" w:lineRule="auto"/>
    </w:pPr>
    <w:rPr>
      <w:rFonts w:ascii="Times New Roman" w:eastAsiaTheme="minorEastAsia" w:hAnsi="Times New Roman"/>
      <w:lang w:eastAsia="en-AU"/>
    </w:rPr>
  </w:style>
  <w:style w:type="character" w:customStyle="1" w:styleId="Heading9Char">
    <w:name w:val="Heading 9 Char"/>
    <w:basedOn w:val="DefaultParagraphFont"/>
    <w:link w:val="Heading9"/>
    <w:uiPriority w:val="1"/>
    <w:rsid w:val="00D85C8A"/>
    <w:rPr>
      <w:rFonts w:asciiTheme="majorHAnsi" w:eastAsiaTheme="majorEastAsia" w:hAnsiTheme="majorHAnsi" w:cstheme="majorBidi"/>
      <w:i/>
      <w:iCs/>
      <w:color w:val="CCAF2E" w:themeColor="text1" w:themeTint="BF"/>
      <w:sz w:val="20"/>
      <w:szCs w:val="20"/>
      <w:lang w:eastAsia="en-US"/>
    </w:rPr>
  </w:style>
  <w:style w:type="numbering" w:customStyle="1" w:styleId="NoList1">
    <w:name w:val="No List1"/>
    <w:next w:val="NoList"/>
    <w:uiPriority w:val="99"/>
    <w:semiHidden/>
    <w:unhideWhenUsed/>
    <w:rsid w:val="000262F8"/>
  </w:style>
  <w:style w:type="table" w:customStyle="1" w:styleId="TableGrid3">
    <w:name w:val="Table Grid3"/>
    <w:basedOn w:val="TableNormal"/>
    <w:next w:val="TableGrid"/>
    <w:uiPriority w:val="59"/>
    <w:rsid w:val="00026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
    <w:name w:val="Medium Shading 1 - Accent 111"/>
    <w:basedOn w:val="TableNormal"/>
    <w:uiPriority w:val="63"/>
    <w:rsid w:val="000262F8"/>
    <w:tblPr>
      <w:tblStyleRowBandSize w:val="1"/>
      <w:tblStyleColBandSize w:val="1"/>
      <w:tbl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single" w:sz="8" w:space="0" w:color="609189" w:themeColor="accent1" w:themeTint="BF"/>
      </w:tblBorders>
    </w:tblPr>
    <w:tblStylePr w:type="firstRow">
      <w:pPr>
        <w:spacing w:before="0" w:after="0" w:line="240" w:lineRule="auto"/>
      </w:pPr>
      <w:rPr>
        <w:b/>
        <w:bCs/>
        <w:color w:val="FFFFFF" w:themeColor="background1"/>
      </w:rPr>
      <w:tblPr/>
      <w:tcPr>
        <w:tc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shd w:val="clear" w:color="auto" w:fill="3D5C57" w:themeFill="accent1"/>
      </w:tcPr>
    </w:tblStylePr>
    <w:tblStylePr w:type="lastRow">
      <w:pPr>
        <w:spacing w:before="0" w:after="0" w:line="240" w:lineRule="auto"/>
      </w:pPr>
      <w:rPr>
        <w:b/>
        <w:bCs/>
      </w:rPr>
      <w:tblPr/>
      <w:tcPr>
        <w:tcBorders>
          <w:top w:val="double" w:sz="6"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DBD8" w:themeFill="accent1" w:themeFillTint="3F"/>
      </w:tcPr>
    </w:tblStylePr>
    <w:tblStylePr w:type="band1Horz">
      <w:tblPr/>
      <w:tcPr>
        <w:tcBorders>
          <w:insideH w:val="nil"/>
          <w:insideV w:val="nil"/>
        </w:tcBorders>
        <w:shd w:val="clear" w:color="auto" w:fill="C9DBD8" w:themeFill="accent1" w:themeFillTint="3F"/>
      </w:tcPr>
    </w:tblStylePr>
    <w:tblStylePr w:type="band2Horz">
      <w:tblPr/>
      <w:tcPr>
        <w:tcBorders>
          <w:insideH w:val="nil"/>
          <w:insideV w:val="nil"/>
        </w:tcBorders>
      </w:tcPr>
    </w:tblStylePr>
  </w:style>
  <w:style w:type="table" w:customStyle="1" w:styleId="TableGrid11">
    <w:name w:val="Table Grid11"/>
    <w:basedOn w:val="TableNormal"/>
    <w:next w:val="TableGrid"/>
    <w:uiPriority w:val="59"/>
    <w:rsid w:val="00026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26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Accent 31"/>
    <w:basedOn w:val="TableNormal"/>
    <w:uiPriority w:val="46"/>
    <w:rsid w:val="000262F8"/>
    <w:tblPr>
      <w:tblStyleRowBandSize w:val="1"/>
      <w:tblStyleColBandSize w:val="1"/>
      <w:tblBorders>
        <w:top w:val="single" w:sz="4" w:space="0" w:color="E9DA89" w:themeColor="accent3" w:themeTint="66"/>
        <w:left w:val="single" w:sz="4" w:space="0" w:color="E9DA89" w:themeColor="accent3" w:themeTint="66"/>
        <w:bottom w:val="single" w:sz="4" w:space="0" w:color="E9DA89" w:themeColor="accent3" w:themeTint="66"/>
        <w:right w:val="single" w:sz="4" w:space="0" w:color="E9DA89" w:themeColor="accent3" w:themeTint="66"/>
        <w:insideH w:val="single" w:sz="4" w:space="0" w:color="E9DA89" w:themeColor="accent3" w:themeTint="66"/>
        <w:insideV w:val="single" w:sz="4" w:space="0" w:color="E9DA89" w:themeColor="accent3" w:themeTint="66"/>
      </w:tblBorders>
    </w:tblPr>
    <w:tblStylePr w:type="firstRow">
      <w:rPr>
        <w:b/>
        <w:bCs/>
      </w:rPr>
      <w:tblPr/>
      <w:tcPr>
        <w:tcBorders>
          <w:bottom w:val="single" w:sz="12" w:space="0" w:color="DEC74E" w:themeColor="accent3" w:themeTint="99"/>
        </w:tcBorders>
      </w:tcPr>
    </w:tblStylePr>
    <w:tblStylePr w:type="lastRow">
      <w:rPr>
        <w:b/>
        <w:bCs/>
      </w:rPr>
      <w:tblPr/>
      <w:tcPr>
        <w:tcBorders>
          <w:top w:val="double" w:sz="2" w:space="0" w:color="DEC74E" w:themeColor="accent3" w:themeTint="99"/>
        </w:tcBorders>
      </w:tc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1"/>
    <w:rsid w:val="00A16123"/>
    <w:rPr>
      <w:rFonts w:ascii="Century Gothic" w:eastAsiaTheme="minorEastAsia" w:hAnsi="Century Gothic" w:cs="Century Gothic"/>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34211">
      <w:bodyDiv w:val="1"/>
      <w:marLeft w:val="0"/>
      <w:marRight w:val="0"/>
      <w:marTop w:val="0"/>
      <w:marBottom w:val="0"/>
      <w:divBdr>
        <w:top w:val="none" w:sz="0" w:space="0" w:color="auto"/>
        <w:left w:val="none" w:sz="0" w:space="0" w:color="auto"/>
        <w:bottom w:val="none" w:sz="0" w:space="0" w:color="auto"/>
        <w:right w:val="none" w:sz="0" w:space="0" w:color="auto"/>
      </w:divBdr>
    </w:div>
    <w:div w:id="84308596">
      <w:bodyDiv w:val="1"/>
      <w:marLeft w:val="0"/>
      <w:marRight w:val="0"/>
      <w:marTop w:val="0"/>
      <w:marBottom w:val="0"/>
      <w:divBdr>
        <w:top w:val="none" w:sz="0" w:space="0" w:color="auto"/>
        <w:left w:val="none" w:sz="0" w:space="0" w:color="auto"/>
        <w:bottom w:val="none" w:sz="0" w:space="0" w:color="auto"/>
        <w:right w:val="none" w:sz="0" w:space="0" w:color="auto"/>
      </w:divBdr>
    </w:div>
    <w:div w:id="92826898">
      <w:bodyDiv w:val="1"/>
      <w:marLeft w:val="0"/>
      <w:marRight w:val="0"/>
      <w:marTop w:val="0"/>
      <w:marBottom w:val="0"/>
      <w:divBdr>
        <w:top w:val="none" w:sz="0" w:space="0" w:color="auto"/>
        <w:left w:val="none" w:sz="0" w:space="0" w:color="auto"/>
        <w:bottom w:val="none" w:sz="0" w:space="0" w:color="auto"/>
        <w:right w:val="none" w:sz="0" w:space="0" w:color="auto"/>
      </w:divBdr>
    </w:div>
    <w:div w:id="105470888">
      <w:bodyDiv w:val="1"/>
      <w:marLeft w:val="0"/>
      <w:marRight w:val="0"/>
      <w:marTop w:val="0"/>
      <w:marBottom w:val="0"/>
      <w:divBdr>
        <w:top w:val="none" w:sz="0" w:space="0" w:color="auto"/>
        <w:left w:val="none" w:sz="0" w:space="0" w:color="auto"/>
        <w:bottom w:val="none" w:sz="0" w:space="0" w:color="auto"/>
        <w:right w:val="none" w:sz="0" w:space="0" w:color="auto"/>
      </w:divBdr>
    </w:div>
    <w:div w:id="164830621">
      <w:bodyDiv w:val="1"/>
      <w:marLeft w:val="0"/>
      <w:marRight w:val="0"/>
      <w:marTop w:val="0"/>
      <w:marBottom w:val="0"/>
      <w:divBdr>
        <w:top w:val="none" w:sz="0" w:space="0" w:color="auto"/>
        <w:left w:val="none" w:sz="0" w:space="0" w:color="auto"/>
        <w:bottom w:val="none" w:sz="0" w:space="0" w:color="auto"/>
        <w:right w:val="none" w:sz="0" w:space="0" w:color="auto"/>
      </w:divBdr>
    </w:div>
    <w:div w:id="173032816">
      <w:bodyDiv w:val="1"/>
      <w:marLeft w:val="0"/>
      <w:marRight w:val="0"/>
      <w:marTop w:val="0"/>
      <w:marBottom w:val="0"/>
      <w:divBdr>
        <w:top w:val="none" w:sz="0" w:space="0" w:color="auto"/>
        <w:left w:val="none" w:sz="0" w:space="0" w:color="auto"/>
        <w:bottom w:val="none" w:sz="0" w:space="0" w:color="auto"/>
        <w:right w:val="none" w:sz="0" w:space="0" w:color="auto"/>
      </w:divBdr>
    </w:div>
    <w:div w:id="256444376">
      <w:bodyDiv w:val="1"/>
      <w:marLeft w:val="0"/>
      <w:marRight w:val="0"/>
      <w:marTop w:val="0"/>
      <w:marBottom w:val="0"/>
      <w:divBdr>
        <w:top w:val="none" w:sz="0" w:space="0" w:color="auto"/>
        <w:left w:val="none" w:sz="0" w:space="0" w:color="auto"/>
        <w:bottom w:val="none" w:sz="0" w:space="0" w:color="auto"/>
        <w:right w:val="none" w:sz="0" w:space="0" w:color="auto"/>
      </w:divBdr>
    </w:div>
    <w:div w:id="266815751">
      <w:bodyDiv w:val="1"/>
      <w:marLeft w:val="0"/>
      <w:marRight w:val="0"/>
      <w:marTop w:val="0"/>
      <w:marBottom w:val="0"/>
      <w:divBdr>
        <w:top w:val="none" w:sz="0" w:space="0" w:color="auto"/>
        <w:left w:val="none" w:sz="0" w:space="0" w:color="auto"/>
        <w:bottom w:val="none" w:sz="0" w:space="0" w:color="auto"/>
        <w:right w:val="none" w:sz="0" w:space="0" w:color="auto"/>
      </w:divBdr>
    </w:div>
    <w:div w:id="280035855">
      <w:bodyDiv w:val="1"/>
      <w:marLeft w:val="0"/>
      <w:marRight w:val="0"/>
      <w:marTop w:val="0"/>
      <w:marBottom w:val="0"/>
      <w:divBdr>
        <w:top w:val="none" w:sz="0" w:space="0" w:color="auto"/>
        <w:left w:val="none" w:sz="0" w:space="0" w:color="auto"/>
        <w:bottom w:val="none" w:sz="0" w:space="0" w:color="auto"/>
        <w:right w:val="none" w:sz="0" w:space="0" w:color="auto"/>
      </w:divBdr>
    </w:div>
    <w:div w:id="391739681">
      <w:bodyDiv w:val="1"/>
      <w:marLeft w:val="0"/>
      <w:marRight w:val="0"/>
      <w:marTop w:val="0"/>
      <w:marBottom w:val="0"/>
      <w:divBdr>
        <w:top w:val="none" w:sz="0" w:space="0" w:color="auto"/>
        <w:left w:val="none" w:sz="0" w:space="0" w:color="auto"/>
        <w:bottom w:val="none" w:sz="0" w:space="0" w:color="auto"/>
        <w:right w:val="none" w:sz="0" w:space="0" w:color="auto"/>
      </w:divBdr>
    </w:div>
    <w:div w:id="395859157">
      <w:bodyDiv w:val="1"/>
      <w:marLeft w:val="0"/>
      <w:marRight w:val="0"/>
      <w:marTop w:val="0"/>
      <w:marBottom w:val="0"/>
      <w:divBdr>
        <w:top w:val="none" w:sz="0" w:space="0" w:color="auto"/>
        <w:left w:val="none" w:sz="0" w:space="0" w:color="auto"/>
        <w:bottom w:val="none" w:sz="0" w:space="0" w:color="auto"/>
        <w:right w:val="none" w:sz="0" w:space="0" w:color="auto"/>
      </w:divBdr>
    </w:div>
    <w:div w:id="397946097">
      <w:bodyDiv w:val="1"/>
      <w:marLeft w:val="0"/>
      <w:marRight w:val="0"/>
      <w:marTop w:val="0"/>
      <w:marBottom w:val="0"/>
      <w:divBdr>
        <w:top w:val="none" w:sz="0" w:space="0" w:color="auto"/>
        <w:left w:val="none" w:sz="0" w:space="0" w:color="auto"/>
        <w:bottom w:val="none" w:sz="0" w:space="0" w:color="auto"/>
        <w:right w:val="none" w:sz="0" w:space="0" w:color="auto"/>
      </w:divBdr>
    </w:div>
    <w:div w:id="418409112">
      <w:bodyDiv w:val="1"/>
      <w:marLeft w:val="0"/>
      <w:marRight w:val="0"/>
      <w:marTop w:val="0"/>
      <w:marBottom w:val="0"/>
      <w:divBdr>
        <w:top w:val="none" w:sz="0" w:space="0" w:color="auto"/>
        <w:left w:val="none" w:sz="0" w:space="0" w:color="auto"/>
        <w:bottom w:val="none" w:sz="0" w:space="0" w:color="auto"/>
        <w:right w:val="none" w:sz="0" w:space="0" w:color="auto"/>
      </w:divBdr>
    </w:div>
    <w:div w:id="507403177">
      <w:bodyDiv w:val="1"/>
      <w:marLeft w:val="0"/>
      <w:marRight w:val="0"/>
      <w:marTop w:val="0"/>
      <w:marBottom w:val="0"/>
      <w:divBdr>
        <w:top w:val="none" w:sz="0" w:space="0" w:color="auto"/>
        <w:left w:val="none" w:sz="0" w:space="0" w:color="auto"/>
        <w:bottom w:val="none" w:sz="0" w:space="0" w:color="auto"/>
        <w:right w:val="none" w:sz="0" w:space="0" w:color="auto"/>
      </w:divBdr>
    </w:div>
    <w:div w:id="513426186">
      <w:bodyDiv w:val="1"/>
      <w:marLeft w:val="0"/>
      <w:marRight w:val="0"/>
      <w:marTop w:val="0"/>
      <w:marBottom w:val="0"/>
      <w:divBdr>
        <w:top w:val="none" w:sz="0" w:space="0" w:color="auto"/>
        <w:left w:val="none" w:sz="0" w:space="0" w:color="auto"/>
        <w:bottom w:val="none" w:sz="0" w:space="0" w:color="auto"/>
        <w:right w:val="none" w:sz="0" w:space="0" w:color="auto"/>
      </w:divBdr>
    </w:div>
    <w:div w:id="569122315">
      <w:bodyDiv w:val="1"/>
      <w:marLeft w:val="0"/>
      <w:marRight w:val="0"/>
      <w:marTop w:val="0"/>
      <w:marBottom w:val="0"/>
      <w:divBdr>
        <w:top w:val="none" w:sz="0" w:space="0" w:color="auto"/>
        <w:left w:val="none" w:sz="0" w:space="0" w:color="auto"/>
        <w:bottom w:val="none" w:sz="0" w:space="0" w:color="auto"/>
        <w:right w:val="none" w:sz="0" w:space="0" w:color="auto"/>
      </w:divBdr>
    </w:div>
    <w:div w:id="612790507">
      <w:bodyDiv w:val="1"/>
      <w:marLeft w:val="0"/>
      <w:marRight w:val="0"/>
      <w:marTop w:val="0"/>
      <w:marBottom w:val="0"/>
      <w:divBdr>
        <w:top w:val="none" w:sz="0" w:space="0" w:color="auto"/>
        <w:left w:val="none" w:sz="0" w:space="0" w:color="auto"/>
        <w:bottom w:val="none" w:sz="0" w:space="0" w:color="auto"/>
        <w:right w:val="none" w:sz="0" w:space="0" w:color="auto"/>
      </w:divBdr>
    </w:div>
    <w:div w:id="618071875">
      <w:bodyDiv w:val="1"/>
      <w:marLeft w:val="0"/>
      <w:marRight w:val="0"/>
      <w:marTop w:val="0"/>
      <w:marBottom w:val="0"/>
      <w:divBdr>
        <w:top w:val="none" w:sz="0" w:space="0" w:color="auto"/>
        <w:left w:val="none" w:sz="0" w:space="0" w:color="auto"/>
        <w:bottom w:val="none" w:sz="0" w:space="0" w:color="auto"/>
        <w:right w:val="none" w:sz="0" w:space="0" w:color="auto"/>
      </w:divBdr>
    </w:div>
    <w:div w:id="619535382">
      <w:bodyDiv w:val="1"/>
      <w:marLeft w:val="0"/>
      <w:marRight w:val="0"/>
      <w:marTop w:val="0"/>
      <w:marBottom w:val="0"/>
      <w:divBdr>
        <w:top w:val="none" w:sz="0" w:space="0" w:color="auto"/>
        <w:left w:val="none" w:sz="0" w:space="0" w:color="auto"/>
        <w:bottom w:val="none" w:sz="0" w:space="0" w:color="auto"/>
        <w:right w:val="none" w:sz="0" w:space="0" w:color="auto"/>
      </w:divBdr>
    </w:div>
    <w:div w:id="622343558">
      <w:bodyDiv w:val="1"/>
      <w:marLeft w:val="0"/>
      <w:marRight w:val="0"/>
      <w:marTop w:val="0"/>
      <w:marBottom w:val="0"/>
      <w:divBdr>
        <w:top w:val="none" w:sz="0" w:space="0" w:color="auto"/>
        <w:left w:val="none" w:sz="0" w:space="0" w:color="auto"/>
        <w:bottom w:val="none" w:sz="0" w:space="0" w:color="auto"/>
        <w:right w:val="none" w:sz="0" w:space="0" w:color="auto"/>
      </w:divBdr>
    </w:div>
    <w:div w:id="636372896">
      <w:bodyDiv w:val="1"/>
      <w:marLeft w:val="0"/>
      <w:marRight w:val="0"/>
      <w:marTop w:val="0"/>
      <w:marBottom w:val="0"/>
      <w:divBdr>
        <w:top w:val="none" w:sz="0" w:space="0" w:color="auto"/>
        <w:left w:val="none" w:sz="0" w:space="0" w:color="auto"/>
        <w:bottom w:val="none" w:sz="0" w:space="0" w:color="auto"/>
        <w:right w:val="none" w:sz="0" w:space="0" w:color="auto"/>
      </w:divBdr>
    </w:div>
    <w:div w:id="639916912">
      <w:bodyDiv w:val="1"/>
      <w:marLeft w:val="0"/>
      <w:marRight w:val="0"/>
      <w:marTop w:val="0"/>
      <w:marBottom w:val="0"/>
      <w:divBdr>
        <w:top w:val="none" w:sz="0" w:space="0" w:color="auto"/>
        <w:left w:val="none" w:sz="0" w:space="0" w:color="auto"/>
        <w:bottom w:val="none" w:sz="0" w:space="0" w:color="auto"/>
        <w:right w:val="none" w:sz="0" w:space="0" w:color="auto"/>
      </w:divBdr>
    </w:div>
    <w:div w:id="661396956">
      <w:bodyDiv w:val="1"/>
      <w:marLeft w:val="0"/>
      <w:marRight w:val="0"/>
      <w:marTop w:val="0"/>
      <w:marBottom w:val="0"/>
      <w:divBdr>
        <w:top w:val="none" w:sz="0" w:space="0" w:color="auto"/>
        <w:left w:val="none" w:sz="0" w:space="0" w:color="auto"/>
        <w:bottom w:val="none" w:sz="0" w:space="0" w:color="auto"/>
        <w:right w:val="none" w:sz="0" w:space="0" w:color="auto"/>
      </w:divBdr>
    </w:div>
    <w:div w:id="732511954">
      <w:bodyDiv w:val="1"/>
      <w:marLeft w:val="0"/>
      <w:marRight w:val="0"/>
      <w:marTop w:val="0"/>
      <w:marBottom w:val="0"/>
      <w:divBdr>
        <w:top w:val="none" w:sz="0" w:space="0" w:color="auto"/>
        <w:left w:val="none" w:sz="0" w:space="0" w:color="auto"/>
        <w:bottom w:val="none" w:sz="0" w:space="0" w:color="auto"/>
        <w:right w:val="none" w:sz="0" w:space="0" w:color="auto"/>
      </w:divBdr>
    </w:div>
    <w:div w:id="938947832">
      <w:bodyDiv w:val="1"/>
      <w:marLeft w:val="0"/>
      <w:marRight w:val="0"/>
      <w:marTop w:val="0"/>
      <w:marBottom w:val="0"/>
      <w:divBdr>
        <w:top w:val="none" w:sz="0" w:space="0" w:color="auto"/>
        <w:left w:val="none" w:sz="0" w:space="0" w:color="auto"/>
        <w:bottom w:val="none" w:sz="0" w:space="0" w:color="auto"/>
        <w:right w:val="none" w:sz="0" w:space="0" w:color="auto"/>
      </w:divBdr>
    </w:div>
    <w:div w:id="977227670">
      <w:bodyDiv w:val="1"/>
      <w:marLeft w:val="0"/>
      <w:marRight w:val="0"/>
      <w:marTop w:val="0"/>
      <w:marBottom w:val="0"/>
      <w:divBdr>
        <w:top w:val="none" w:sz="0" w:space="0" w:color="auto"/>
        <w:left w:val="none" w:sz="0" w:space="0" w:color="auto"/>
        <w:bottom w:val="none" w:sz="0" w:space="0" w:color="auto"/>
        <w:right w:val="none" w:sz="0" w:space="0" w:color="auto"/>
      </w:divBdr>
    </w:div>
    <w:div w:id="1001588860">
      <w:bodyDiv w:val="1"/>
      <w:marLeft w:val="0"/>
      <w:marRight w:val="0"/>
      <w:marTop w:val="0"/>
      <w:marBottom w:val="0"/>
      <w:divBdr>
        <w:top w:val="none" w:sz="0" w:space="0" w:color="auto"/>
        <w:left w:val="none" w:sz="0" w:space="0" w:color="auto"/>
        <w:bottom w:val="none" w:sz="0" w:space="0" w:color="auto"/>
        <w:right w:val="none" w:sz="0" w:space="0" w:color="auto"/>
      </w:divBdr>
      <w:divsChild>
        <w:div w:id="1677462797">
          <w:marLeft w:val="0"/>
          <w:marRight w:val="0"/>
          <w:marTop w:val="0"/>
          <w:marBottom w:val="0"/>
          <w:divBdr>
            <w:top w:val="none" w:sz="0" w:space="0" w:color="auto"/>
            <w:left w:val="none" w:sz="0" w:space="0" w:color="auto"/>
            <w:bottom w:val="none" w:sz="0" w:space="0" w:color="auto"/>
            <w:right w:val="none" w:sz="0" w:space="0" w:color="auto"/>
          </w:divBdr>
          <w:divsChild>
            <w:div w:id="535385387">
              <w:marLeft w:val="0"/>
              <w:marRight w:val="0"/>
              <w:marTop w:val="0"/>
              <w:marBottom w:val="0"/>
              <w:divBdr>
                <w:top w:val="none" w:sz="0" w:space="0" w:color="auto"/>
                <w:left w:val="none" w:sz="0" w:space="0" w:color="auto"/>
                <w:bottom w:val="none" w:sz="0" w:space="0" w:color="auto"/>
                <w:right w:val="none" w:sz="0" w:space="0" w:color="auto"/>
              </w:divBdr>
              <w:divsChild>
                <w:div w:id="806778662">
                  <w:marLeft w:val="0"/>
                  <w:marRight w:val="0"/>
                  <w:marTop w:val="0"/>
                  <w:marBottom w:val="0"/>
                  <w:divBdr>
                    <w:top w:val="none" w:sz="0" w:space="0" w:color="auto"/>
                    <w:left w:val="none" w:sz="0" w:space="0" w:color="auto"/>
                    <w:bottom w:val="none" w:sz="0" w:space="0" w:color="auto"/>
                    <w:right w:val="none" w:sz="0" w:space="0" w:color="auto"/>
                  </w:divBdr>
                  <w:divsChild>
                    <w:div w:id="1505825701">
                      <w:marLeft w:val="0"/>
                      <w:marRight w:val="0"/>
                      <w:marTop w:val="0"/>
                      <w:marBottom w:val="0"/>
                      <w:divBdr>
                        <w:top w:val="none" w:sz="0" w:space="0" w:color="auto"/>
                        <w:left w:val="none" w:sz="0" w:space="0" w:color="auto"/>
                        <w:bottom w:val="none" w:sz="0" w:space="0" w:color="auto"/>
                        <w:right w:val="none" w:sz="0" w:space="0" w:color="auto"/>
                      </w:divBdr>
                      <w:divsChild>
                        <w:div w:id="1302463437">
                          <w:marLeft w:val="0"/>
                          <w:marRight w:val="0"/>
                          <w:marTop w:val="0"/>
                          <w:marBottom w:val="0"/>
                          <w:divBdr>
                            <w:top w:val="none" w:sz="0" w:space="0" w:color="auto"/>
                            <w:left w:val="none" w:sz="0" w:space="0" w:color="auto"/>
                            <w:bottom w:val="none" w:sz="0" w:space="0" w:color="auto"/>
                            <w:right w:val="none" w:sz="0" w:space="0" w:color="auto"/>
                          </w:divBdr>
                          <w:divsChild>
                            <w:div w:id="6704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489503">
      <w:bodyDiv w:val="1"/>
      <w:marLeft w:val="0"/>
      <w:marRight w:val="0"/>
      <w:marTop w:val="0"/>
      <w:marBottom w:val="0"/>
      <w:divBdr>
        <w:top w:val="none" w:sz="0" w:space="0" w:color="auto"/>
        <w:left w:val="none" w:sz="0" w:space="0" w:color="auto"/>
        <w:bottom w:val="none" w:sz="0" w:space="0" w:color="auto"/>
        <w:right w:val="none" w:sz="0" w:space="0" w:color="auto"/>
      </w:divBdr>
    </w:div>
    <w:div w:id="1016494686">
      <w:bodyDiv w:val="1"/>
      <w:marLeft w:val="0"/>
      <w:marRight w:val="0"/>
      <w:marTop w:val="0"/>
      <w:marBottom w:val="0"/>
      <w:divBdr>
        <w:top w:val="none" w:sz="0" w:space="0" w:color="auto"/>
        <w:left w:val="none" w:sz="0" w:space="0" w:color="auto"/>
        <w:bottom w:val="none" w:sz="0" w:space="0" w:color="auto"/>
        <w:right w:val="none" w:sz="0" w:space="0" w:color="auto"/>
      </w:divBdr>
    </w:div>
    <w:div w:id="1021007988">
      <w:bodyDiv w:val="1"/>
      <w:marLeft w:val="0"/>
      <w:marRight w:val="0"/>
      <w:marTop w:val="0"/>
      <w:marBottom w:val="0"/>
      <w:divBdr>
        <w:top w:val="none" w:sz="0" w:space="0" w:color="auto"/>
        <w:left w:val="none" w:sz="0" w:space="0" w:color="auto"/>
        <w:bottom w:val="none" w:sz="0" w:space="0" w:color="auto"/>
        <w:right w:val="none" w:sz="0" w:space="0" w:color="auto"/>
      </w:divBdr>
    </w:div>
    <w:div w:id="1032652182">
      <w:bodyDiv w:val="1"/>
      <w:marLeft w:val="0"/>
      <w:marRight w:val="0"/>
      <w:marTop w:val="0"/>
      <w:marBottom w:val="0"/>
      <w:divBdr>
        <w:top w:val="none" w:sz="0" w:space="0" w:color="auto"/>
        <w:left w:val="none" w:sz="0" w:space="0" w:color="auto"/>
        <w:bottom w:val="none" w:sz="0" w:space="0" w:color="auto"/>
        <w:right w:val="none" w:sz="0" w:space="0" w:color="auto"/>
      </w:divBdr>
    </w:div>
    <w:div w:id="1033069584">
      <w:bodyDiv w:val="1"/>
      <w:marLeft w:val="0"/>
      <w:marRight w:val="0"/>
      <w:marTop w:val="0"/>
      <w:marBottom w:val="0"/>
      <w:divBdr>
        <w:top w:val="none" w:sz="0" w:space="0" w:color="auto"/>
        <w:left w:val="none" w:sz="0" w:space="0" w:color="auto"/>
        <w:bottom w:val="none" w:sz="0" w:space="0" w:color="auto"/>
        <w:right w:val="none" w:sz="0" w:space="0" w:color="auto"/>
      </w:divBdr>
    </w:div>
    <w:div w:id="1046568797">
      <w:bodyDiv w:val="1"/>
      <w:marLeft w:val="0"/>
      <w:marRight w:val="0"/>
      <w:marTop w:val="0"/>
      <w:marBottom w:val="0"/>
      <w:divBdr>
        <w:top w:val="none" w:sz="0" w:space="0" w:color="auto"/>
        <w:left w:val="none" w:sz="0" w:space="0" w:color="auto"/>
        <w:bottom w:val="none" w:sz="0" w:space="0" w:color="auto"/>
        <w:right w:val="none" w:sz="0" w:space="0" w:color="auto"/>
      </w:divBdr>
    </w:div>
    <w:div w:id="1052388470">
      <w:bodyDiv w:val="1"/>
      <w:marLeft w:val="0"/>
      <w:marRight w:val="0"/>
      <w:marTop w:val="0"/>
      <w:marBottom w:val="0"/>
      <w:divBdr>
        <w:top w:val="none" w:sz="0" w:space="0" w:color="auto"/>
        <w:left w:val="none" w:sz="0" w:space="0" w:color="auto"/>
        <w:bottom w:val="none" w:sz="0" w:space="0" w:color="auto"/>
        <w:right w:val="none" w:sz="0" w:space="0" w:color="auto"/>
      </w:divBdr>
    </w:div>
    <w:div w:id="1062290736">
      <w:bodyDiv w:val="1"/>
      <w:marLeft w:val="0"/>
      <w:marRight w:val="0"/>
      <w:marTop w:val="0"/>
      <w:marBottom w:val="0"/>
      <w:divBdr>
        <w:top w:val="none" w:sz="0" w:space="0" w:color="auto"/>
        <w:left w:val="none" w:sz="0" w:space="0" w:color="auto"/>
        <w:bottom w:val="none" w:sz="0" w:space="0" w:color="auto"/>
        <w:right w:val="none" w:sz="0" w:space="0" w:color="auto"/>
      </w:divBdr>
    </w:div>
    <w:div w:id="1093166520">
      <w:bodyDiv w:val="1"/>
      <w:marLeft w:val="0"/>
      <w:marRight w:val="0"/>
      <w:marTop w:val="0"/>
      <w:marBottom w:val="0"/>
      <w:divBdr>
        <w:top w:val="none" w:sz="0" w:space="0" w:color="auto"/>
        <w:left w:val="none" w:sz="0" w:space="0" w:color="auto"/>
        <w:bottom w:val="none" w:sz="0" w:space="0" w:color="auto"/>
        <w:right w:val="none" w:sz="0" w:space="0" w:color="auto"/>
      </w:divBdr>
    </w:div>
    <w:div w:id="1120148107">
      <w:bodyDiv w:val="1"/>
      <w:marLeft w:val="0"/>
      <w:marRight w:val="0"/>
      <w:marTop w:val="0"/>
      <w:marBottom w:val="0"/>
      <w:divBdr>
        <w:top w:val="none" w:sz="0" w:space="0" w:color="auto"/>
        <w:left w:val="none" w:sz="0" w:space="0" w:color="auto"/>
        <w:bottom w:val="none" w:sz="0" w:space="0" w:color="auto"/>
        <w:right w:val="none" w:sz="0" w:space="0" w:color="auto"/>
      </w:divBdr>
    </w:div>
    <w:div w:id="1123574712">
      <w:bodyDiv w:val="1"/>
      <w:marLeft w:val="0"/>
      <w:marRight w:val="0"/>
      <w:marTop w:val="0"/>
      <w:marBottom w:val="0"/>
      <w:divBdr>
        <w:top w:val="none" w:sz="0" w:space="0" w:color="auto"/>
        <w:left w:val="none" w:sz="0" w:space="0" w:color="auto"/>
        <w:bottom w:val="none" w:sz="0" w:space="0" w:color="auto"/>
        <w:right w:val="none" w:sz="0" w:space="0" w:color="auto"/>
      </w:divBdr>
    </w:div>
    <w:div w:id="1184051534">
      <w:bodyDiv w:val="1"/>
      <w:marLeft w:val="0"/>
      <w:marRight w:val="0"/>
      <w:marTop w:val="0"/>
      <w:marBottom w:val="0"/>
      <w:divBdr>
        <w:top w:val="none" w:sz="0" w:space="0" w:color="auto"/>
        <w:left w:val="none" w:sz="0" w:space="0" w:color="auto"/>
        <w:bottom w:val="none" w:sz="0" w:space="0" w:color="auto"/>
        <w:right w:val="none" w:sz="0" w:space="0" w:color="auto"/>
      </w:divBdr>
    </w:div>
    <w:div w:id="1218125792">
      <w:bodyDiv w:val="1"/>
      <w:marLeft w:val="0"/>
      <w:marRight w:val="0"/>
      <w:marTop w:val="0"/>
      <w:marBottom w:val="0"/>
      <w:divBdr>
        <w:top w:val="none" w:sz="0" w:space="0" w:color="auto"/>
        <w:left w:val="none" w:sz="0" w:space="0" w:color="auto"/>
        <w:bottom w:val="none" w:sz="0" w:space="0" w:color="auto"/>
        <w:right w:val="none" w:sz="0" w:space="0" w:color="auto"/>
      </w:divBdr>
    </w:div>
    <w:div w:id="1228153479">
      <w:bodyDiv w:val="1"/>
      <w:marLeft w:val="0"/>
      <w:marRight w:val="0"/>
      <w:marTop w:val="0"/>
      <w:marBottom w:val="0"/>
      <w:divBdr>
        <w:top w:val="none" w:sz="0" w:space="0" w:color="auto"/>
        <w:left w:val="none" w:sz="0" w:space="0" w:color="auto"/>
        <w:bottom w:val="none" w:sz="0" w:space="0" w:color="auto"/>
        <w:right w:val="none" w:sz="0" w:space="0" w:color="auto"/>
      </w:divBdr>
    </w:div>
    <w:div w:id="1261833001">
      <w:bodyDiv w:val="1"/>
      <w:marLeft w:val="0"/>
      <w:marRight w:val="0"/>
      <w:marTop w:val="0"/>
      <w:marBottom w:val="0"/>
      <w:divBdr>
        <w:top w:val="none" w:sz="0" w:space="0" w:color="auto"/>
        <w:left w:val="none" w:sz="0" w:space="0" w:color="auto"/>
        <w:bottom w:val="none" w:sz="0" w:space="0" w:color="auto"/>
        <w:right w:val="none" w:sz="0" w:space="0" w:color="auto"/>
      </w:divBdr>
    </w:div>
    <w:div w:id="1300695105">
      <w:bodyDiv w:val="1"/>
      <w:marLeft w:val="0"/>
      <w:marRight w:val="0"/>
      <w:marTop w:val="0"/>
      <w:marBottom w:val="0"/>
      <w:divBdr>
        <w:top w:val="none" w:sz="0" w:space="0" w:color="auto"/>
        <w:left w:val="none" w:sz="0" w:space="0" w:color="auto"/>
        <w:bottom w:val="none" w:sz="0" w:space="0" w:color="auto"/>
        <w:right w:val="none" w:sz="0" w:space="0" w:color="auto"/>
      </w:divBdr>
    </w:div>
    <w:div w:id="1313481687">
      <w:bodyDiv w:val="1"/>
      <w:marLeft w:val="0"/>
      <w:marRight w:val="0"/>
      <w:marTop w:val="0"/>
      <w:marBottom w:val="0"/>
      <w:divBdr>
        <w:top w:val="none" w:sz="0" w:space="0" w:color="auto"/>
        <w:left w:val="none" w:sz="0" w:space="0" w:color="auto"/>
        <w:bottom w:val="none" w:sz="0" w:space="0" w:color="auto"/>
        <w:right w:val="none" w:sz="0" w:space="0" w:color="auto"/>
      </w:divBdr>
    </w:div>
    <w:div w:id="1342321629">
      <w:bodyDiv w:val="1"/>
      <w:marLeft w:val="0"/>
      <w:marRight w:val="0"/>
      <w:marTop w:val="0"/>
      <w:marBottom w:val="0"/>
      <w:divBdr>
        <w:top w:val="none" w:sz="0" w:space="0" w:color="auto"/>
        <w:left w:val="none" w:sz="0" w:space="0" w:color="auto"/>
        <w:bottom w:val="none" w:sz="0" w:space="0" w:color="auto"/>
        <w:right w:val="none" w:sz="0" w:space="0" w:color="auto"/>
      </w:divBdr>
    </w:div>
    <w:div w:id="1380401281">
      <w:bodyDiv w:val="1"/>
      <w:marLeft w:val="0"/>
      <w:marRight w:val="0"/>
      <w:marTop w:val="0"/>
      <w:marBottom w:val="0"/>
      <w:divBdr>
        <w:top w:val="none" w:sz="0" w:space="0" w:color="auto"/>
        <w:left w:val="none" w:sz="0" w:space="0" w:color="auto"/>
        <w:bottom w:val="none" w:sz="0" w:space="0" w:color="auto"/>
        <w:right w:val="none" w:sz="0" w:space="0" w:color="auto"/>
      </w:divBdr>
    </w:div>
    <w:div w:id="1400445036">
      <w:bodyDiv w:val="1"/>
      <w:marLeft w:val="0"/>
      <w:marRight w:val="0"/>
      <w:marTop w:val="0"/>
      <w:marBottom w:val="0"/>
      <w:divBdr>
        <w:top w:val="none" w:sz="0" w:space="0" w:color="auto"/>
        <w:left w:val="none" w:sz="0" w:space="0" w:color="auto"/>
        <w:bottom w:val="none" w:sz="0" w:space="0" w:color="auto"/>
        <w:right w:val="none" w:sz="0" w:space="0" w:color="auto"/>
      </w:divBdr>
    </w:div>
    <w:div w:id="1464881502">
      <w:bodyDiv w:val="1"/>
      <w:marLeft w:val="0"/>
      <w:marRight w:val="0"/>
      <w:marTop w:val="0"/>
      <w:marBottom w:val="0"/>
      <w:divBdr>
        <w:top w:val="none" w:sz="0" w:space="0" w:color="auto"/>
        <w:left w:val="none" w:sz="0" w:space="0" w:color="auto"/>
        <w:bottom w:val="none" w:sz="0" w:space="0" w:color="auto"/>
        <w:right w:val="none" w:sz="0" w:space="0" w:color="auto"/>
      </w:divBdr>
    </w:div>
    <w:div w:id="1479109136">
      <w:bodyDiv w:val="1"/>
      <w:marLeft w:val="0"/>
      <w:marRight w:val="0"/>
      <w:marTop w:val="0"/>
      <w:marBottom w:val="0"/>
      <w:divBdr>
        <w:top w:val="none" w:sz="0" w:space="0" w:color="auto"/>
        <w:left w:val="none" w:sz="0" w:space="0" w:color="auto"/>
        <w:bottom w:val="none" w:sz="0" w:space="0" w:color="auto"/>
        <w:right w:val="none" w:sz="0" w:space="0" w:color="auto"/>
      </w:divBdr>
      <w:divsChild>
        <w:div w:id="619412981">
          <w:marLeft w:val="0"/>
          <w:marRight w:val="0"/>
          <w:marTop w:val="0"/>
          <w:marBottom w:val="0"/>
          <w:divBdr>
            <w:top w:val="none" w:sz="0" w:space="0" w:color="auto"/>
            <w:left w:val="none" w:sz="0" w:space="0" w:color="auto"/>
            <w:bottom w:val="none" w:sz="0" w:space="0" w:color="auto"/>
            <w:right w:val="none" w:sz="0" w:space="0" w:color="auto"/>
          </w:divBdr>
          <w:divsChild>
            <w:div w:id="2099132564">
              <w:marLeft w:val="3751"/>
              <w:marRight w:val="0"/>
              <w:marTop w:val="0"/>
              <w:marBottom w:val="0"/>
              <w:divBdr>
                <w:top w:val="none" w:sz="0" w:space="0" w:color="auto"/>
                <w:left w:val="none" w:sz="0" w:space="0" w:color="auto"/>
                <w:bottom w:val="none" w:sz="0" w:space="0" w:color="auto"/>
                <w:right w:val="none" w:sz="0" w:space="0" w:color="auto"/>
              </w:divBdr>
              <w:divsChild>
                <w:div w:id="1416319899">
                  <w:marLeft w:val="134"/>
                  <w:marRight w:val="33"/>
                  <w:marTop w:val="0"/>
                  <w:marBottom w:val="0"/>
                  <w:divBdr>
                    <w:top w:val="none" w:sz="0" w:space="0" w:color="auto"/>
                    <w:left w:val="none" w:sz="0" w:space="0" w:color="auto"/>
                    <w:bottom w:val="none" w:sz="0" w:space="0" w:color="auto"/>
                    <w:right w:val="none" w:sz="0" w:space="0" w:color="auto"/>
                  </w:divBdr>
                  <w:divsChild>
                    <w:div w:id="923995573">
                      <w:marLeft w:val="0"/>
                      <w:marRight w:val="0"/>
                      <w:marTop w:val="0"/>
                      <w:marBottom w:val="0"/>
                      <w:divBdr>
                        <w:top w:val="none" w:sz="0" w:space="0" w:color="auto"/>
                        <w:left w:val="none" w:sz="0" w:space="0" w:color="auto"/>
                        <w:bottom w:val="none" w:sz="0" w:space="0" w:color="auto"/>
                        <w:right w:val="none" w:sz="0" w:space="0" w:color="auto"/>
                      </w:divBdr>
                      <w:divsChild>
                        <w:div w:id="13170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236311">
      <w:bodyDiv w:val="1"/>
      <w:marLeft w:val="0"/>
      <w:marRight w:val="0"/>
      <w:marTop w:val="0"/>
      <w:marBottom w:val="0"/>
      <w:divBdr>
        <w:top w:val="none" w:sz="0" w:space="0" w:color="auto"/>
        <w:left w:val="none" w:sz="0" w:space="0" w:color="auto"/>
        <w:bottom w:val="none" w:sz="0" w:space="0" w:color="auto"/>
        <w:right w:val="none" w:sz="0" w:space="0" w:color="auto"/>
      </w:divBdr>
    </w:div>
    <w:div w:id="1505315262">
      <w:bodyDiv w:val="1"/>
      <w:marLeft w:val="0"/>
      <w:marRight w:val="0"/>
      <w:marTop w:val="0"/>
      <w:marBottom w:val="0"/>
      <w:divBdr>
        <w:top w:val="none" w:sz="0" w:space="0" w:color="auto"/>
        <w:left w:val="none" w:sz="0" w:space="0" w:color="auto"/>
        <w:bottom w:val="none" w:sz="0" w:space="0" w:color="auto"/>
        <w:right w:val="none" w:sz="0" w:space="0" w:color="auto"/>
      </w:divBdr>
    </w:div>
    <w:div w:id="1505777294">
      <w:bodyDiv w:val="1"/>
      <w:marLeft w:val="0"/>
      <w:marRight w:val="0"/>
      <w:marTop w:val="0"/>
      <w:marBottom w:val="0"/>
      <w:divBdr>
        <w:top w:val="none" w:sz="0" w:space="0" w:color="auto"/>
        <w:left w:val="none" w:sz="0" w:space="0" w:color="auto"/>
        <w:bottom w:val="none" w:sz="0" w:space="0" w:color="auto"/>
        <w:right w:val="none" w:sz="0" w:space="0" w:color="auto"/>
      </w:divBdr>
    </w:div>
    <w:div w:id="1510295160">
      <w:bodyDiv w:val="1"/>
      <w:marLeft w:val="0"/>
      <w:marRight w:val="0"/>
      <w:marTop w:val="0"/>
      <w:marBottom w:val="0"/>
      <w:divBdr>
        <w:top w:val="none" w:sz="0" w:space="0" w:color="auto"/>
        <w:left w:val="none" w:sz="0" w:space="0" w:color="auto"/>
        <w:bottom w:val="none" w:sz="0" w:space="0" w:color="auto"/>
        <w:right w:val="none" w:sz="0" w:space="0" w:color="auto"/>
      </w:divBdr>
    </w:div>
    <w:div w:id="1516647124">
      <w:bodyDiv w:val="1"/>
      <w:marLeft w:val="0"/>
      <w:marRight w:val="0"/>
      <w:marTop w:val="0"/>
      <w:marBottom w:val="0"/>
      <w:divBdr>
        <w:top w:val="none" w:sz="0" w:space="0" w:color="auto"/>
        <w:left w:val="none" w:sz="0" w:space="0" w:color="auto"/>
        <w:bottom w:val="none" w:sz="0" w:space="0" w:color="auto"/>
        <w:right w:val="none" w:sz="0" w:space="0" w:color="auto"/>
      </w:divBdr>
    </w:div>
    <w:div w:id="1552114567">
      <w:bodyDiv w:val="1"/>
      <w:marLeft w:val="0"/>
      <w:marRight w:val="0"/>
      <w:marTop w:val="0"/>
      <w:marBottom w:val="0"/>
      <w:divBdr>
        <w:top w:val="none" w:sz="0" w:space="0" w:color="auto"/>
        <w:left w:val="none" w:sz="0" w:space="0" w:color="auto"/>
        <w:bottom w:val="none" w:sz="0" w:space="0" w:color="auto"/>
        <w:right w:val="none" w:sz="0" w:space="0" w:color="auto"/>
      </w:divBdr>
    </w:div>
    <w:div w:id="1556235984">
      <w:bodyDiv w:val="1"/>
      <w:marLeft w:val="0"/>
      <w:marRight w:val="0"/>
      <w:marTop w:val="0"/>
      <w:marBottom w:val="0"/>
      <w:divBdr>
        <w:top w:val="none" w:sz="0" w:space="0" w:color="auto"/>
        <w:left w:val="none" w:sz="0" w:space="0" w:color="auto"/>
        <w:bottom w:val="none" w:sz="0" w:space="0" w:color="auto"/>
        <w:right w:val="none" w:sz="0" w:space="0" w:color="auto"/>
      </w:divBdr>
    </w:div>
    <w:div w:id="1580746275">
      <w:bodyDiv w:val="1"/>
      <w:marLeft w:val="0"/>
      <w:marRight w:val="0"/>
      <w:marTop w:val="0"/>
      <w:marBottom w:val="0"/>
      <w:divBdr>
        <w:top w:val="none" w:sz="0" w:space="0" w:color="auto"/>
        <w:left w:val="none" w:sz="0" w:space="0" w:color="auto"/>
        <w:bottom w:val="none" w:sz="0" w:space="0" w:color="auto"/>
        <w:right w:val="none" w:sz="0" w:space="0" w:color="auto"/>
      </w:divBdr>
    </w:div>
    <w:div w:id="1656690649">
      <w:bodyDiv w:val="1"/>
      <w:marLeft w:val="0"/>
      <w:marRight w:val="0"/>
      <w:marTop w:val="0"/>
      <w:marBottom w:val="0"/>
      <w:divBdr>
        <w:top w:val="none" w:sz="0" w:space="0" w:color="auto"/>
        <w:left w:val="none" w:sz="0" w:space="0" w:color="auto"/>
        <w:bottom w:val="none" w:sz="0" w:space="0" w:color="auto"/>
        <w:right w:val="none" w:sz="0" w:space="0" w:color="auto"/>
      </w:divBdr>
    </w:div>
    <w:div w:id="1687709653">
      <w:bodyDiv w:val="1"/>
      <w:marLeft w:val="0"/>
      <w:marRight w:val="0"/>
      <w:marTop w:val="0"/>
      <w:marBottom w:val="0"/>
      <w:divBdr>
        <w:top w:val="none" w:sz="0" w:space="0" w:color="auto"/>
        <w:left w:val="none" w:sz="0" w:space="0" w:color="auto"/>
        <w:bottom w:val="none" w:sz="0" w:space="0" w:color="auto"/>
        <w:right w:val="none" w:sz="0" w:space="0" w:color="auto"/>
      </w:divBdr>
    </w:div>
    <w:div w:id="1691225675">
      <w:bodyDiv w:val="1"/>
      <w:marLeft w:val="0"/>
      <w:marRight w:val="0"/>
      <w:marTop w:val="0"/>
      <w:marBottom w:val="0"/>
      <w:divBdr>
        <w:top w:val="none" w:sz="0" w:space="0" w:color="auto"/>
        <w:left w:val="none" w:sz="0" w:space="0" w:color="auto"/>
        <w:bottom w:val="none" w:sz="0" w:space="0" w:color="auto"/>
        <w:right w:val="none" w:sz="0" w:space="0" w:color="auto"/>
      </w:divBdr>
    </w:div>
    <w:div w:id="1695307512">
      <w:bodyDiv w:val="1"/>
      <w:marLeft w:val="0"/>
      <w:marRight w:val="0"/>
      <w:marTop w:val="0"/>
      <w:marBottom w:val="0"/>
      <w:divBdr>
        <w:top w:val="none" w:sz="0" w:space="0" w:color="auto"/>
        <w:left w:val="none" w:sz="0" w:space="0" w:color="auto"/>
        <w:bottom w:val="none" w:sz="0" w:space="0" w:color="auto"/>
        <w:right w:val="none" w:sz="0" w:space="0" w:color="auto"/>
      </w:divBdr>
    </w:div>
    <w:div w:id="1731489905">
      <w:bodyDiv w:val="1"/>
      <w:marLeft w:val="0"/>
      <w:marRight w:val="0"/>
      <w:marTop w:val="0"/>
      <w:marBottom w:val="0"/>
      <w:divBdr>
        <w:top w:val="none" w:sz="0" w:space="0" w:color="auto"/>
        <w:left w:val="none" w:sz="0" w:space="0" w:color="auto"/>
        <w:bottom w:val="none" w:sz="0" w:space="0" w:color="auto"/>
        <w:right w:val="none" w:sz="0" w:space="0" w:color="auto"/>
      </w:divBdr>
    </w:div>
    <w:div w:id="1743867947">
      <w:bodyDiv w:val="1"/>
      <w:marLeft w:val="0"/>
      <w:marRight w:val="0"/>
      <w:marTop w:val="0"/>
      <w:marBottom w:val="0"/>
      <w:divBdr>
        <w:top w:val="none" w:sz="0" w:space="0" w:color="auto"/>
        <w:left w:val="none" w:sz="0" w:space="0" w:color="auto"/>
        <w:bottom w:val="none" w:sz="0" w:space="0" w:color="auto"/>
        <w:right w:val="none" w:sz="0" w:space="0" w:color="auto"/>
      </w:divBdr>
    </w:div>
    <w:div w:id="1747991236">
      <w:bodyDiv w:val="1"/>
      <w:marLeft w:val="0"/>
      <w:marRight w:val="0"/>
      <w:marTop w:val="0"/>
      <w:marBottom w:val="0"/>
      <w:divBdr>
        <w:top w:val="none" w:sz="0" w:space="0" w:color="auto"/>
        <w:left w:val="none" w:sz="0" w:space="0" w:color="auto"/>
        <w:bottom w:val="none" w:sz="0" w:space="0" w:color="auto"/>
        <w:right w:val="none" w:sz="0" w:space="0" w:color="auto"/>
      </w:divBdr>
    </w:div>
    <w:div w:id="1775399488">
      <w:bodyDiv w:val="1"/>
      <w:marLeft w:val="0"/>
      <w:marRight w:val="0"/>
      <w:marTop w:val="0"/>
      <w:marBottom w:val="0"/>
      <w:divBdr>
        <w:top w:val="none" w:sz="0" w:space="0" w:color="auto"/>
        <w:left w:val="none" w:sz="0" w:space="0" w:color="auto"/>
        <w:bottom w:val="none" w:sz="0" w:space="0" w:color="auto"/>
        <w:right w:val="none" w:sz="0" w:space="0" w:color="auto"/>
      </w:divBdr>
    </w:div>
    <w:div w:id="1793933632">
      <w:bodyDiv w:val="1"/>
      <w:marLeft w:val="0"/>
      <w:marRight w:val="0"/>
      <w:marTop w:val="0"/>
      <w:marBottom w:val="0"/>
      <w:divBdr>
        <w:top w:val="none" w:sz="0" w:space="0" w:color="auto"/>
        <w:left w:val="none" w:sz="0" w:space="0" w:color="auto"/>
        <w:bottom w:val="none" w:sz="0" w:space="0" w:color="auto"/>
        <w:right w:val="none" w:sz="0" w:space="0" w:color="auto"/>
      </w:divBdr>
    </w:div>
    <w:div w:id="1835996292">
      <w:bodyDiv w:val="1"/>
      <w:marLeft w:val="0"/>
      <w:marRight w:val="0"/>
      <w:marTop w:val="0"/>
      <w:marBottom w:val="0"/>
      <w:divBdr>
        <w:top w:val="none" w:sz="0" w:space="0" w:color="auto"/>
        <w:left w:val="none" w:sz="0" w:space="0" w:color="auto"/>
        <w:bottom w:val="none" w:sz="0" w:space="0" w:color="auto"/>
        <w:right w:val="none" w:sz="0" w:space="0" w:color="auto"/>
      </w:divBdr>
    </w:div>
    <w:div w:id="1893419020">
      <w:bodyDiv w:val="1"/>
      <w:marLeft w:val="0"/>
      <w:marRight w:val="0"/>
      <w:marTop w:val="0"/>
      <w:marBottom w:val="0"/>
      <w:divBdr>
        <w:top w:val="none" w:sz="0" w:space="0" w:color="auto"/>
        <w:left w:val="none" w:sz="0" w:space="0" w:color="auto"/>
        <w:bottom w:val="none" w:sz="0" w:space="0" w:color="auto"/>
        <w:right w:val="none" w:sz="0" w:space="0" w:color="auto"/>
      </w:divBdr>
    </w:div>
    <w:div w:id="1893619394">
      <w:bodyDiv w:val="1"/>
      <w:marLeft w:val="0"/>
      <w:marRight w:val="0"/>
      <w:marTop w:val="0"/>
      <w:marBottom w:val="0"/>
      <w:divBdr>
        <w:top w:val="none" w:sz="0" w:space="0" w:color="auto"/>
        <w:left w:val="none" w:sz="0" w:space="0" w:color="auto"/>
        <w:bottom w:val="none" w:sz="0" w:space="0" w:color="auto"/>
        <w:right w:val="none" w:sz="0" w:space="0" w:color="auto"/>
      </w:divBdr>
    </w:div>
    <w:div w:id="1959557121">
      <w:bodyDiv w:val="1"/>
      <w:marLeft w:val="0"/>
      <w:marRight w:val="0"/>
      <w:marTop w:val="0"/>
      <w:marBottom w:val="0"/>
      <w:divBdr>
        <w:top w:val="none" w:sz="0" w:space="0" w:color="auto"/>
        <w:left w:val="none" w:sz="0" w:space="0" w:color="auto"/>
        <w:bottom w:val="none" w:sz="0" w:space="0" w:color="auto"/>
        <w:right w:val="none" w:sz="0" w:space="0" w:color="auto"/>
      </w:divBdr>
    </w:div>
    <w:div w:id="1974167867">
      <w:bodyDiv w:val="1"/>
      <w:marLeft w:val="0"/>
      <w:marRight w:val="0"/>
      <w:marTop w:val="0"/>
      <w:marBottom w:val="0"/>
      <w:divBdr>
        <w:top w:val="none" w:sz="0" w:space="0" w:color="auto"/>
        <w:left w:val="none" w:sz="0" w:space="0" w:color="auto"/>
        <w:bottom w:val="none" w:sz="0" w:space="0" w:color="auto"/>
        <w:right w:val="none" w:sz="0" w:space="0" w:color="auto"/>
      </w:divBdr>
    </w:div>
    <w:div w:id="1993094407">
      <w:bodyDiv w:val="1"/>
      <w:marLeft w:val="0"/>
      <w:marRight w:val="0"/>
      <w:marTop w:val="0"/>
      <w:marBottom w:val="0"/>
      <w:divBdr>
        <w:top w:val="none" w:sz="0" w:space="0" w:color="auto"/>
        <w:left w:val="none" w:sz="0" w:space="0" w:color="auto"/>
        <w:bottom w:val="none" w:sz="0" w:space="0" w:color="auto"/>
        <w:right w:val="none" w:sz="0" w:space="0" w:color="auto"/>
      </w:divBdr>
    </w:div>
    <w:div w:id="2044669574">
      <w:bodyDiv w:val="1"/>
      <w:marLeft w:val="0"/>
      <w:marRight w:val="0"/>
      <w:marTop w:val="0"/>
      <w:marBottom w:val="0"/>
      <w:divBdr>
        <w:top w:val="none" w:sz="0" w:space="0" w:color="auto"/>
        <w:left w:val="none" w:sz="0" w:space="0" w:color="auto"/>
        <w:bottom w:val="none" w:sz="0" w:space="0" w:color="auto"/>
        <w:right w:val="none" w:sz="0" w:space="0" w:color="auto"/>
      </w:divBdr>
    </w:div>
    <w:div w:id="2120832331">
      <w:bodyDiv w:val="1"/>
      <w:marLeft w:val="0"/>
      <w:marRight w:val="0"/>
      <w:marTop w:val="0"/>
      <w:marBottom w:val="0"/>
      <w:divBdr>
        <w:top w:val="none" w:sz="0" w:space="0" w:color="auto"/>
        <w:left w:val="none" w:sz="0" w:space="0" w:color="auto"/>
        <w:bottom w:val="none" w:sz="0" w:space="0" w:color="auto"/>
        <w:right w:val="none" w:sz="0" w:space="0" w:color="auto"/>
      </w:divBdr>
    </w:div>
    <w:div w:id="21386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yperlink" Target="http://www.workcover.wa.gov.au/" TargetMode="External"/><Relationship Id="rId39" Type="http://schemas.openxmlformats.org/officeDocument/2006/relationships/chart" Target="charts/chart5.xml"/><Relationship Id="rId21" Type="http://schemas.openxmlformats.org/officeDocument/2006/relationships/image" Target="media/image9.jpeg"/><Relationship Id="rId34" Type="http://schemas.openxmlformats.org/officeDocument/2006/relationships/chart" Target="charts/chart1.xml"/><Relationship Id="rId42" Type="http://schemas.openxmlformats.org/officeDocument/2006/relationships/header" Target="header12.xml"/><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eader" Target="header7.xml"/><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3.xml"/><Relationship Id="rId44"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0.jpeg"/><Relationship Id="rId27" Type="http://schemas.openxmlformats.org/officeDocument/2006/relationships/hyperlink" Target="http://www.pief.com.au" TargetMode="External"/><Relationship Id="rId30" Type="http://schemas.openxmlformats.org/officeDocument/2006/relationships/header" Target="header9.xml"/><Relationship Id="rId35" Type="http://schemas.openxmlformats.org/officeDocument/2006/relationships/chart" Target="charts/chart2.xml"/><Relationship Id="rId43" Type="http://schemas.openxmlformats.org/officeDocument/2006/relationships/image" Target="media/image14.jpeg"/><Relationship Id="rId48"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eader" Target="header11.xml"/><Relationship Id="rId38" Type="http://schemas.openxmlformats.org/officeDocument/2006/relationships/chart" Target="charts/chart4.xml"/><Relationship Id="rId46" Type="http://schemas.openxmlformats.org/officeDocument/2006/relationships/image" Target="media/image16.emf"/><Relationship Id="rId20" Type="http://schemas.openxmlformats.org/officeDocument/2006/relationships/header" Target="header5.xml"/><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layout>
        <c:manualLayout>
          <c:xMode val="edge"/>
          <c:yMode val="edge"/>
          <c:x val="0.31350104821802927"/>
          <c:y val="3.1746031746031744E-2"/>
        </c:manualLayout>
      </c:layout>
      <c:overlay val="0"/>
      <c:txPr>
        <a:bodyPr/>
        <a:lstStyle/>
        <a:p>
          <a:pPr>
            <a:defRPr sz="1400">
              <a:latin typeface="Arial" panose="020B0604020202020204" pitchFamily="34" charset="0"/>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New claims on the General Account</c:v>
                </c:pt>
              </c:strCache>
            </c:strRef>
          </c:tx>
          <c:spPr>
            <a:ln>
              <a:noFill/>
            </a:ln>
            <a:effectLst/>
          </c:spPr>
          <c:invertIfNegative val="0"/>
          <c:dPt>
            <c:idx val="4"/>
            <c:invertIfNegative val="0"/>
            <c:bubble3D val="0"/>
            <c:spPr>
              <a:solidFill>
                <a:schemeClr val="accent4"/>
              </a:solidFill>
              <a:ln>
                <a:noFill/>
              </a:ln>
              <a:effectLst/>
            </c:spPr>
            <c:extLst>
              <c:ext xmlns:c16="http://schemas.microsoft.com/office/drawing/2014/chart" uri="{C3380CC4-5D6E-409C-BE32-E72D297353CC}">
                <c16:uniqueId val="{00000001-CD05-4F98-BEBF-D9735DF7DC49}"/>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3-CD05-4F98-BEBF-D9735DF7DC49}"/>
              </c:ext>
            </c:extLst>
          </c:dPt>
          <c:dLbls>
            <c:delete val="1"/>
          </c:dLbls>
          <c:cat>
            <c:strRef>
              <c:f>Sheet1!$A$2:$A$7</c:f>
              <c:strCache>
                <c:ptCount val="6"/>
                <c:pt idx="0">
                  <c:v>2010/11</c:v>
                </c:pt>
                <c:pt idx="1">
                  <c:v>2011/12</c:v>
                </c:pt>
                <c:pt idx="2">
                  <c:v>2012/13</c:v>
                </c:pt>
                <c:pt idx="3">
                  <c:v>2013/14 </c:v>
                </c:pt>
                <c:pt idx="4">
                  <c:v>2014/15 </c:v>
                </c:pt>
                <c:pt idx="5">
                  <c:v>2014/15 Target</c:v>
                </c:pt>
              </c:strCache>
            </c:strRef>
          </c:cat>
          <c:val>
            <c:numRef>
              <c:f>Sheet1!$B$2:$B$7</c:f>
              <c:numCache>
                <c:formatCode>General</c:formatCode>
                <c:ptCount val="6"/>
                <c:pt idx="0">
                  <c:v>6</c:v>
                </c:pt>
                <c:pt idx="1">
                  <c:v>5</c:v>
                </c:pt>
                <c:pt idx="2">
                  <c:v>3</c:v>
                </c:pt>
                <c:pt idx="3">
                  <c:v>4</c:v>
                </c:pt>
                <c:pt idx="4">
                  <c:v>3</c:v>
                </c:pt>
                <c:pt idx="5">
                  <c:v>8</c:v>
                </c:pt>
              </c:numCache>
            </c:numRef>
          </c:val>
          <c:extLst>
            <c:ext xmlns:c16="http://schemas.microsoft.com/office/drawing/2014/chart" uri="{C3380CC4-5D6E-409C-BE32-E72D297353CC}">
              <c16:uniqueId val="{00000004-CD05-4F98-BEBF-D9735DF7DC49}"/>
            </c:ext>
          </c:extLst>
        </c:ser>
        <c:dLbls>
          <c:showLegendKey val="0"/>
          <c:showVal val="1"/>
          <c:showCatName val="0"/>
          <c:showSerName val="0"/>
          <c:showPercent val="0"/>
          <c:showBubbleSize val="0"/>
        </c:dLbls>
        <c:gapWidth val="150"/>
        <c:axId val="143823232"/>
        <c:axId val="143824768"/>
      </c:barChart>
      <c:catAx>
        <c:axId val="143823232"/>
        <c:scaling>
          <c:orientation val="minMax"/>
        </c:scaling>
        <c:delete val="0"/>
        <c:axPos val="b"/>
        <c:numFmt formatCode="General" sourceLinked="0"/>
        <c:majorTickMark val="out"/>
        <c:minorTickMark val="none"/>
        <c:tickLblPos val="nextTo"/>
        <c:crossAx val="143824768"/>
        <c:crosses val="autoZero"/>
        <c:auto val="1"/>
        <c:lblAlgn val="ctr"/>
        <c:lblOffset val="100"/>
        <c:noMultiLvlLbl val="0"/>
      </c:catAx>
      <c:valAx>
        <c:axId val="143824768"/>
        <c:scaling>
          <c:orientation val="minMax"/>
        </c:scaling>
        <c:delete val="0"/>
        <c:axPos val="l"/>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43823232"/>
        <c:crosses val="autoZero"/>
        <c:crossBetween val="between"/>
      </c:valAx>
      <c:dTable>
        <c:showHorzBorder val="0"/>
        <c:showVertBorder val="0"/>
        <c:showOutline val="0"/>
        <c:showKeys val="0"/>
        <c:txPr>
          <a:bodyPr/>
          <a:lstStyle/>
          <a:p>
            <a:pPr rtl="0">
              <a:defRPr>
                <a:latin typeface="Arial" panose="020B0604020202020204" pitchFamily="34" charset="0"/>
                <a:cs typeface="Arial" panose="020B0604020202020204" pitchFamily="34" charset="0"/>
              </a:defRPr>
            </a:pPr>
            <a:endParaRPr lang="en-US"/>
          </a:p>
        </c:txPr>
      </c:dTable>
    </c:plotArea>
    <c:legend>
      <c:legendPos val="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layout>
        <c:manualLayout>
          <c:xMode val="edge"/>
          <c:yMode val="edge"/>
          <c:x val="0.31350104821802927"/>
          <c:y val="3.1746031746031744E-2"/>
        </c:manualLayout>
      </c:layout>
      <c:overlay val="0"/>
      <c:txPr>
        <a:bodyPr/>
        <a:lstStyle/>
        <a:p>
          <a:pPr>
            <a:defRPr sz="1400">
              <a:latin typeface="Arial" panose="020B0604020202020204" pitchFamily="34" charset="0"/>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Portion of conciliations completed</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ABC9-4E68-B123-52571BE11C9A}"/>
              </c:ext>
            </c:extLst>
          </c:dPt>
          <c:dPt>
            <c:idx val="1"/>
            <c:invertIfNegative val="0"/>
            <c:bubble3D val="0"/>
            <c:extLst>
              <c:ext xmlns:c16="http://schemas.microsoft.com/office/drawing/2014/chart" uri="{C3380CC4-5D6E-409C-BE32-E72D297353CC}">
                <c16:uniqueId val="{00000001-ABC9-4E68-B123-52571BE11C9A}"/>
              </c:ext>
            </c:extLst>
          </c:dPt>
          <c:dPt>
            <c:idx val="2"/>
            <c:invertIfNegative val="0"/>
            <c:bubble3D val="0"/>
            <c:extLst>
              <c:ext xmlns:c16="http://schemas.microsoft.com/office/drawing/2014/chart" uri="{C3380CC4-5D6E-409C-BE32-E72D297353CC}">
                <c16:uniqueId val="{00000002-ABC9-4E68-B123-52571BE11C9A}"/>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4-ABC9-4E68-B123-52571BE11C9A}"/>
              </c:ext>
            </c:extLst>
          </c:dPt>
          <c:dPt>
            <c:idx val="4"/>
            <c:invertIfNegative val="0"/>
            <c:bubble3D val="0"/>
            <c:spPr>
              <a:solidFill>
                <a:schemeClr val="accent5">
                  <a:lumMod val="90000"/>
                </a:schemeClr>
              </a:solidFill>
              <a:ln>
                <a:noFill/>
              </a:ln>
              <a:effectLst/>
            </c:spPr>
            <c:extLst>
              <c:ext xmlns:c16="http://schemas.microsoft.com/office/drawing/2014/chart" uri="{C3380CC4-5D6E-409C-BE32-E72D297353CC}">
                <c16:uniqueId val="{00000006-ABC9-4E68-B123-52571BE11C9A}"/>
              </c:ext>
            </c:extLst>
          </c:dPt>
          <c:dLbls>
            <c:delete val="1"/>
          </c:dLbls>
          <c:cat>
            <c:strRef>
              <c:f>Sheet1!$A$2:$A$6</c:f>
              <c:strCache>
                <c:ptCount val="5"/>
                <c:pt idx="0">
                  <c:v>2011/12</c:v>
                </c:pt>
                <c:pt idx="1">
                  <c:v>2012/13</c:v>
                </c:pt>
                <c:pt idx="2">
                  <c:v>2013/14 </c:v>
                </c:pt>
                <c:pt idx="3">
                  <c:v>2014/15 </c:v>
                </c:pt>
                <c:pt idx="4">
                  <c:v>2014/15 Target</c:v>
                </c:pt>
              </c:strCache>
            </c:strRef>
          </c:cat>
          <c:val>
            <c:numRef>
              <c:f>Sheet1!$B$2:$B$6</c:f>
              <c:numCache>
                <c:formatCode>0.00%</c:formatCode>
                <c:ptCount val="5"/>
                <c:pt idx="0">
                  <c:v>0.96700000000000064</c:v>
                </c:pt>
                <c:pt idx="1">
                  <c:v>0.97800000000000065</c:v>
                </c:pt>
                <c:pt idx="2">
                  <c:v>0.96800000000000064</c:v>
                </c:pt>
                <c:pt idx="3">
                  <c:v>0.96300000000000063</c:v>
                </c:pt>
                <c:pt idx="4">
                  <c:v>0.97000000000000064</c:v>
                </c:pt>
              </c:numCache>
            </c:numRef>
          </c:val>
          <c:extLst>
            <c:ext xmlns:c16="http://schemas.microsoft.com/office/drawing/2014/chart" uri="{C3380CC4-5D6E-409C-BE32-E72D297353CC}">
              <c16:uniqueId val="{00000007-ABC9-4E68-B123-52571BE11C9A}"/>
            </c:ext>
          </c:extLst>
        </c:ser>
        <c:dLbls>
          <c:showLegendKey val="0"/>
          <c:showVal val="1"/>
          <c:showCatName val="0"/>
          <c:showSerName val="0"/>
          <c:showPercent val="0"/>
          <c:showBubbleSize val="0"/>
        </c:dLbls>
        <c:gapWidth val="150"/>
        <c:axId val="169681664"/>
        <c:axId val="169683200"/>
      </c:barChart>
      <c:catAx>
        <c:axId val="169681664"/>
        <c:scaling>
          <c:orientation val="minMax"/>
        </c:scaling>
        <c:delete val="0"/>
        <c:axPos val="b"/>
        <c:numFmt formatCode="General" sourceLinked="0"/>
        <c:majorTickMark val="out"/>
        <c:minorTickMark val="none"/>
        <c:tickLblPos val="nextTo"/>
        <c:crossAx val="169683200"/>
        <c:crosses val="autoZero"/>
        <c:auto val="1"/>
        <c:lblAlgn val="ctr"/>
        <c:lblOffset val="100"/>
        <c:noMultiLvlLbl val="0"/>
      </c:catAx>
      <c:valAx>
        <c:axId val="169683200"/>
        <c:scaling>
          <c:orientation val="minMax"/>
          <c:max val="1"/>
          <c:min val="0"/>
        </c:scaling>
        <c:delete val="0"/>
        <c:axPos val="l"/>
        <c:numFmt formatCode="0.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69681664"/>
        <c:crosses val="autoZero"/>
        <c:crossBetween val="between"/>
      </c:valAx>
      <c:dTable>
        <c:showHorzBorder val="1"/>
        <c:showVertBorder val="0"/>
        <c:showOutline val="0"/>
        <c:showKeys val="0"/>
        <c:txPr>
          <a:bodyPr/>
          <a:lstStyle/>
          <a:p>
            <a:pPr rtl="0">
              <a:defRPr>
                <a:latin typeface="Arial" panose="020B0604020202020204" pitchFamily="34" charset="0"/>
                <a:cs typeface="Arial" panose="020B0604020202020204" pitchFamily="34" charset="0"/>
              </a:defRPr>
            </a:pPr>
            <a:endParaRPr lang="en-US"/>
          </a:p>
        </c:txPr>
      </c:dTable>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400">
                <a:latin typeface="Arial" panose="020B0604020202020204" pitchFamily="34" charset="0"/>
                <a:cs typeface="Arial" panose="020B0604020202020204" pitchFamily="34" charset="0"/>
              </a:defRPr>
            </a:pPr>
            <a:r>
              <a:rPr lang="en-US" sz="1400">
                <a:latin typeface="Arial" panose="020B0604020202020204" pitchFamily="34" charset="0"/>
                <a:cs typeface="Arial" panose="020B0604020202020204" pitchFamily="34" charset="0"/>
              </a:rPr>
              <a:t>Portion of disputes resolved within 6 months </a:t>
            </a:r>
          </a:p>
        </c:rich>
      </c:tx>
      <c:layout>
        <c:manualLayout>
          <c:xMode val="edge"/>
          <c:yMode val="edge"/>
          <c:x val="0.31350104821802927"/>
          <c:y val="3.1746031746031744E-2"/>
        </c:manualLayout>
      </c:layout>
      <c:overlay val="0"/>
    </c:title>
    <c:autoTitleDeleted val="0"/>
    <c:plotArea>
      <c:layout>
        <c:manualLayout>
          <c:layoutTarget val="inner"/>
          <c:xMode val="edge"/>
          <c:yMode val="edge"/>
          <c:x val="0.35679552215663124"/>
          <c:y val="0.17139535256667326"/>
          <c:w val="0.64320447784336865"/>
          <c:h val="0.58270571066600385"/>
        </c:manualLayout>
      </c:layout>
      <c:barChart>
        <c:barDir val="col"/>
        <c:grouping val="clustered"/>
        <c:varyColors val="0"/>
        <c:ser>
          <c:idx val="0"/>
          <c:order val="0"/>
          <c:tx>
            <c:strRef>
              <c:f>Sheet1!$B$1</c:f>
              <c:strCache>
                <c:ptCount val="1"/>
                <c:pt idx="0">
                  <c:v>Portion of disputes resolved within 6 months</c:v>
                </c:pt>
              </c:strCache>
            </c:strRef>
          </c:tx>
          <c:spPr>
            <a:solidFill>
              <a:srgbClr val="558ED5"/>
            </a:solidFill>
          </c:spPr>
          <c:invertIfNegative val="0"/>
          <c:dPt>
            <c:idx val="0"/>
            <c:invertIfNegative val="0"/>
            <c:bubble3D val="0"/>
            <c:spPr>
              <a:solidFill>
                <a:schemeClr val="accent2"/>
              </a:solidFill>
            </c:spPr>
            <c:extLst>
              <c:ext xmlns:c16="http://schemas.microsoft.com/office/drawing/2014/chart" uri="{C3380CC4-5D6E-409C-BE32-E72D297353CC}">
                <c16:uniqueId val="{00000001-BD73-4E6D-B5D5-F2129257575D}"/>
              </c:ext>
            </c:extLst>
          </c:dPt>
          <c:dPt>
            <c:idx val="1"/>
            <c:invertIfNegative val="0"/>
            <c:bubble3D val="0"/>
            <c:spPr>
              <a:solidFill>
                <a:schemeClr val="accent2"/>
              </a:solidFill>
            </c:spPr>
            <c:extLst>
              <c:ext xmlns:c16="http://schemas.microsoft.com/office/drawing/2014/chart" uri="{C3380CC4-5D6E-409C-BE32-E72D297353CC}">
                <c16:uniqueId val="{00000003-BD73-4E6D-B5D5-F2129257575D}"/>
              </c:ext>
            </c:extLst>
          </c:dPt>
          <c:dPt>
            <c:idx val="2"/>
            <c:invertIfNegative val="0"/>
            <c:bubble3D val="0"/>
            <c:spPr>
              <a:solidFill>
                <a:schemeClr val="accent2"/>
              </a:solidFill>
            </c:spPr>
            <c:extLst>
              <c:ext xmlns:c16="http://schemas.microsoft.com/office/drawing/2014/chart" uri="{C3380CC4-5D6E-409C-BE32-E72D297353CC}">
                <c16:uniqueId val="{00000005-BD73-4E6D-B5D5-F2129257575D}"/>
              </c:ext>
            </c:extLst>
          </c:dPt>
          <c:dPt>
            <c:idx val="3"/>
            <c:invertIfNegative val="0"/>
            <c:bubble3D val="0"/>
            <c:spPr>
              <a:solidFill>
                <a:schemeClr val="accent2"/>
              </a:solidFill>
            </c:spPr>
            <c:extLst>
              <c:ext xmlns:c16="http://schemas.microsoft.com/office/drawing/2014/chart" uri="{C3380CC4-5D6E-409C-BE32-E72D297353CC}">
                <c16:uniqueId val="{00000007-BD73-4E6D-B5D5-F2129257575D}"/>
              </c:ext>
            </c:extLst>
          </c:dPt>
          <c:dPt>
            <c:idx val="4"/>
            <c:invertIfNegative val="0"/>
            <c:bubble3D val="0"/>
            <c:spPr>
              <a:solidFill>
                <a:schemeClr val="accent4"/>
              </a:solidFill>
              <a:ln>
                <a:noFill/>
              </a:ln>
            </c:spPr>
            <c:extLst>
              <c:ext xmlns:c16="http://schemas.microsoft.com/office/drawing/2014/chart" uri="{C3380CC4-5D6E-409C-BE32-E72D297353CC}">
                <c16:uniqueId val="{00000009-BD73-4E6D-B5D5-F2129257575D}"/>
              </c:ext>
            </c:extLst>
          </c:dPt>
          <c:dPt>
            <c:idx val="5"/>
            <c:invertIfNegative val="0"/>
            <c:bubble3D val="0"/>
            <c:spPr>
              <a:solidFill>
                <a:schemeClr val="accent5"/>
              </a:solidFill>
              <a:ln>
                <a:noFill/>
              </a:ln>
            </c:spPr>
            <c:extLst>
              <c:ext xmlns:c16="http://schemas.microsoft.com/office/drawing/2014/chart" uri="{C3380CC4-5D6E-409C-BE32-E72D297353CC}">
                <c16:uniqueId val="{0000000B-BD73-4E6D-B5D5-F2129257575D}"/>
              </c:ext>
            </c:extLst>
          </c:dPt>
          <c:dLbls>
            <c:delete val="1"/>
          </c:dLbls>
          <c:cat>
            <c:strRef>
              <c:f>Sheet1!$A$6:$A$11</c:f>
              <c:strCache>
                <c:ptCount val="6"/>
                <c:pt idx="0">
                  <c:v>2010/11</c:v>
                </c:pt>
                <c:pt idx="1">
                  <c:v>2011/12</c:v>
                </c:pt>
                <c:pt idx="2">
                  <c:v>2012/13</c:v>
                </c:pt>
                <c:pt idx="3">
                  <c:v>2013/14</c:v>
                </c:pt>
                <c:pt idx="4">
                  <c:v>2014/15 </c:v>
                </c:pt>
                <c:pt idx="5">
                  <c:v>2014/15 Target</c:v>
                </c:pt>
              </c:strCache>
            </c:strRef>
          </c:cat>
          <c:val>
            <c:numRef>
              <c:f>Sheet1!$B$6:$B$11</c:f>
              <c:numCache>
                <c:formatCode>0.0%</c:formatCode>
                <c:ptCount val="6"/>
                <c:pt idx="0">
                  <c:v>0.84900000000000064</c:v>
                </c:pt>
                <c:pt idx="1">
                  <c:v>0.86800000000000066</c:v>
                </c:pt>
                <c:pt idx="2">
                  <c:v>0.92300000000000004</c:v>
                </c:pt>
                <c:pt idx="3">
                  <c:v>0.89500000000000002</c:v>
                </c:pt>
                <c:pt idx="4">
                  <c:v>0.88800000000000001</c:v>
                </c:pt>
                <c:pt idx="5">
                  <c:v>0.9</c:v>
                </c:pt>
              </c:numCache>
            </c:numRef>
          </c:val>
          <c:extLst>
            <c:ext xmlns:c16="http://schemas.microsoft.com/office/drawing/2014/chart" uri="{C3380CC4-5D6E-409C-BE32-E72D297353CC}">
              <c16:uniqueId val="{0000000C-BD73-4E6D-B5D5-F2129257575D}"/>
            </c:ext>
          </c:extLst>
        </c:ser>
        <c:dLbls>
          <c:showLegendKey val="0"/>
          <c:showVal val="1"/>
          <c:showCatName val="0"/>
          <c:showSerName val="0"/>
          <c:showPercent val="0"/>
          <c:showBubbleSize val="0"/>
        </c:dLbls>
        <c:gapWidth val="150"/>
        <c:axId val="169698432"/>
        <c:axId val="169699968"/>
      </c:barChart>
      <c:catAx>
        <c:axId val="169698432"/>
        <c:scaling>
          <c:orientation val="minMax"/>
        </c:scaling>
        <c:delete val="0"/>
        <c:axPos val="b"/>
        <c:numFmt formatCode="General" sourceLinked="0"/>
        <c:majorTickMark val="out"/>
        <c:minorTickMark val="none"/>
        <c:tickLblPos val="nextTo"/>
        <c:crossAx val="169699968"/>
        <c:crosses val="autoZero"/>
        <c:auto val="1"/>
        <c:lblAlgn val="ctr"/>
        <c:lblOffset val="100"/>
        <c:noMultiLvlLbl val="0"/>
      </c:catAx>
      <c:valAx>
        <c:axId val="169699968"/>
        <c:scaling>
          <c:orientation val="minMax"/>
          <c:max val="1"/>
          <c:min val="0"/>
        </c:scaling>
        <c:delete val="0"/>
        <c:axPos val="l"/>
        <c:numFmt formatCode="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69698432"/>
        <c:crosses val="autoZero"/>
        <c:crossBetween val="between"/>
      </c:valAx>
      <c:dTable>
        <c:showHorzBorder val="1"/>
        <c:showVertBorder val="0"/>
        <c:showOutline val="0"/>
        <c:showKeys val="0"/>
        <c:txPr>
          <a:bodyPr/>
          <a:lstStyle/>
          <a:p>
            <a:pPr rtl="0">
              <a:defRPr>
                <a:latin typeface="Arial" panose="020B0604020202020204" pitchFamily="34" charset="0"/>
                <a:cs typeface="Arial" panose="020B0604020202020204" pitchFamily="34" charset="0"/>
              </a:defRPr>
            </a:pPr>
            <a:endParaRPr lang="en-US"/>
          </a:p>
        </c:txPr>
      </c:dTable>
      <c:spPr>
        <a:noFill/>
        <a:ln w="25400">
          <a:noFill/>
        </a:ln>
      </c:spPr>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800"/>
            </a:pPr>
            <a:r>
              <a:rPr lang="en-US" sz="1400">
                <a:latin typeface="Arial" panose="020B0604020202020204" pitchFamily="34" charset="0"/>
                <a:cs typeface="Arial" panose="020B0604020202020204" pitchFamily="34" charset="0"/>
              </a:rPr>
              <a:t>Cost per employer compliance activity</a:t>
            </a:r>
          </a:p>
        </c:rich>
      </c:tx>
      <c:layout>
        <c:manualLayout>
          <c:xMode val="edge"/>
          <c:yMode val="edge"/>
          <c:x val="0.26608677294465161"/>
          <c:y val="2.1881838074398249E-2"/>
        </c:manualLayout>
      </c:layout>
      <c:overlay val="0"/>
    </c:title>
    <c:autoTitleDeleted val="0"/>
    <c:plotArea>
      <c:layout>
        <c:manualLayout>
          <c:layoutTarget val="inner"/>
          <c:xMode val="edge"/>
          <c:yMode val="edge"/>
          <c:x val="0.18086329677540641"/>
          <c:y val="0.10015315796974895"/>
          <c:w val="0.8003484050454216"/>
          <c:h val="0.70155439622414562"/>
        </c:manualLayout>
      </c:layout>
      <c:barChart>
        <c:barDir val="col"/>
        <c:grouping val="clustered"/>
        <c:varyColors val="0"/>
        <c:ser>
          <c:idx val="0"/>
          <c:order val="0"/>
          <c:tx>
            <c:strRef>
              <c:f>Sheet1!$B$1</c:f>
              <c:strCache>
                <c:ptCount val="1"/>
                <c:pt idx="0">
                  <c:v>Cost per activity</c:v>
                </c:pt>
              </c:strCache>
            </c:strRef>
          </c:tx>
          <c:spPr>
            <a:ln>
              <a:noFill/>
            </a:ln>
            <a:effectLst/>
          </c:spPr>
          <c:invertIfNegative val="0"/>
          <c:dPt>
            <c:idx val="4"/>
            <c:invertIfNegative val="0"/>
            <c:bubble3D val="0"/>
            <c:spPr>
              <a:solidFill>
                <a:schemeClr val="accent4"/>
              </a:solidFill>
              <a:ln>
                <a:noFill/>
              </a:ln>
              <a:effectLst/>
            </c:spPr>
            <c:extLst>
              <c:ext xmlns:c16="http://schemas.microsoft.com/office/drawing/2014/chart" uri="{C3380CC4-5D6E-409C-BE32-E72D297353CC}">
                <c16:uniqueId val="{00000001-9DED-40B5-9C66-0203ACBB88B5}"/>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3-9DED-40B5-9C66-0203ACBB88B5}"/>
              </c:ext>
            </c:extLst>
          </c:dPt>
          <c:cat>
            <c:strRef>
              <c:f>Sheet1!$A$2:$A$7</c:f>
              <c:strCache>
                <c:ptCount val="6"/>
                <c:pt idx="0">
                  <c:v>2010/11</c:v>
                </c:pt>
                <c:pt idx="1">
                  <c:v>2011/12</c:v>
                </c:pt>
                <c:pt idx="2">
                  <c:v>2012/13 </c:v>
                </c:pt>
                <c:pt idx="3">
                  <c:v>2013/14 </c:v>
                </c:pt>
                <c:pt idx="4">
                  <c:v>2014/15 </c:v>
                </c:pt>
                <c:pt idx="5">
                  <c:v>2014/15 Target</c:v>
                </c:pt>
              </c:strCache>
            </c:strRef>
          </c:cat>
          <c:val>
            <c:numRef>
              <c:f>Sheet1!$B$2:$B$7</c:f>
              <c:numCache>
                <c:formatCode>_("$"* #,##0_);_("$"* \(#,##0\);_("$"* "-"_);_(@_)</c:formatCode>
                <c:ptCount val="6"/>
                <c:pt idx="0">
                  <c:v>281</c:v>
                </c:pt>
                <c:pt idx="1">
                  <c:v>235</c:v>
                </c:pt>
                <c:pt idx="2">
                  <c:v>265</c:v>
                </c:pt>
                <c:pt idx="3">
                  <c:v>198</c:v>
                </c:pt>
                <c:pt idx="4">
                  <c:v>255</c:v>
                </c:pt>
                <c:pt idx="5">
                  <c:v>257</c:v>
                </c:pt>
              </c:numCache>
            </c:numRef>
          </c:val>
          <c:extLst>
            <c:ext xmlns:c16="http://schemas.microsoft.com/office/drawing/2014/chart" uri="{C3380CC4-5D6E-409C-BE32-E72D297353CC}">
              <c16:uniqueId val="{00000004-9DED-40B5-9C66-0203ACBB88B5}"/>
            </c:ext>
          </c:extLst>
        </c:ser>
        <c:dLbls>
          <c:showLegendKey val="0"/>
          <c:showVal val="0"/>
          <c:showCatName val="0"/>
          <c:showSerName val="0"/>
          <c:showPercent val="0"/>
          <c:showBubbleSize val="0"/>
        </c:dLbls>
        <c:gapWidth val="150"/>
        <c:axId val="174007040"/>
        <c:axId val="174008576"/>
      </c:barChart>
      <c:catAx>
        <c:axId val="174007040"/>
        <c:scaling>
          <c:orientation val="minMax"/>
        </c:scaling>
        <c:delete val="0"/>
        <c:axPos val="b"/>
        <c:numFmt formatCode="General" sourceLinked="0"/>
        <c:majorTickMark val="out"/>
        <c:minorTickMark val="none"/>
        <c:tickLblPos val="nextTo"/>
        <c:crossAx val="174008576"/>
        <c:crosses val="autoZero"/>
        <c:auto val="1"/>
        <c:lblAlgn val="ctr"/>
        <c:lblOffset val="100"/>
        <c:noMultiLvlLbl val="0"/>
      </c:catAx>
      <c:valAx>
        <c:axId val="174008576"/>
        <c:scaling>
          <c:orientation val="minMax"/>
          <c:min val="0"/>
        </c:scaling>
        <c:delete val="0"/>
        <c:axPos val="l"/>
        <c:numFmt formatCode="_(&quot;$&quot;* #,##0_);_(&quot;$&quot;* \(#,##0\);_(&quot;$&quot;* &quot;-&quot;_);_(@_)"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74007040"/>
        <c:crosses val="autoZero"/>
        <c:crossBetween val="between"/>
      </c:valAx>
      <c:dTable>
        <c:showHorzBorder val="0"/>
        <c:showVertBorder val="0"/>
        <c:showOutline val="0"/>
        <c:showKeys val="0"/>
        <c:txPr>
          <a:bodyPr/>
          <a:lstStyle/>
          <a:p>
            <a:pPr rtl="0">
              <a:defRPr>
                <a:latin typeface="Arial" panose="020B0604020202020204" pitchFamily="34" charset="0"/>
                <a:cs typeface="Arial" panose="020B0604020202020204" pitchFamily="34" charset="0"/>
              </a:defRPr>
            </a:pPr>
            <a:endParaRPr lang="en-US"/>
          </a:p>
        </c:txPr>
      </c:dTable>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US"/>
              <a:t>Average cost per approved and monitored service provider</a:t>
            </a:r>
          </a:p>
        </c:rich>
      </c:tx>
      <c:layout>
        <c:manualLayout>
          <c:xMode val="edge"/>
          <c:yMode val="edge"/>
          <c:x val="9.2524885898230588E-2"/>
          <c:y val="2.1524663677130046E-2"/>
        </c:manualLayout>
      </c:layout>
      <c:overlay val="0"/>
    </c:title>
    <c:autoTitleDeleted val="0"/>
    <c:plotArea>
      <c:layout>
        <c:manualLayout>
          <c:layoutTarget val="inner"/>
          <c:xMode val="edge"/>
          <c:yMode val="edge"/>
          <c:x val="0.24335735667339109"/>
          <c:y val="0.19237349363587619"/>
          <c:w val="0.74324136135875574"/>
          <c:h val="0.64933536533739733"/>
        </c:manualLayout>
      </c:layout>
      <c:barChart>
        <c:barDir val="col"/>
        <c:grouping val="clustered"/>
        <c:varyColors val="0"/>
        <c:ser>
          <c:idx val="0"/>
          <c:order val="0"/>
          <c:tx>
            <c:strRef>
              <c:f>Sheet1!$B$1</c:f>
              <c:strCache>
                <c:ptCount val="1"/>
                <c:pt idx="0">
                  <c:v>Cost per service provider</c:v>
                </c:pt>
              </c:strCache>
            </c:strRef>
          </c:tx>
          <c:spPr>
            <a:ln>
              <a:noFill/>
            </a:ln>
            <a:effectLst/>
          </c:spPr>
          <c:invertIfNegative val="0"/>
          <c:dPt>
            <c:idx val="4"/>
            <c:invertIfNegative val="0"/>
            <c:bubble3D val="0"/>
            <c:spPr>
              <a:solidFill>
                <a:schemeClr val="accent4"/>
              </a:solidFill>
              <a:ln>
                <a:noFill/>
              </a:ln>
              <a:effectLst/>
            </c:spPr>
            <c:extLst>
              <c:ext xmlns:c16="http://schemas.microsoft.com/office/drawing/2014/chart" uri="{C3380CC4-5D6E-409C-BE32-E72D297353CC}">
                <c16:uniqueId val="{00000001-83C2-4276-A973-D66702AF8FD3}"/>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3-83C2-4276-A973-D66702AF8FD3}"/>
              </c:ext>
            </c:extLst>
          </c:dPt>
          <c:cat>
            <c:strRef>
              <c:f>Sheet1!$A$2:$A$7</c:f>
              <c:strCache>
                <c:ptCount val="6"/>
                <c:pt idx="0">
                  <c:v>2010/11</c:v>
                </c:pt>
                <c:pt idx="1">
                  <c:v>2011/12</c:v>
                </c:pt>
                <c:pt idx="2">
                  <c:v>2012/13</c:v>
                </c:pt>
                <c:pt idx="3">
                  <c:v>2013/14 </c:v>
                </c:pt>
                <c:pt idx="4">
                  <c:v>2014/15 </c:v>
                </c:pt>
                <c:pt idx="5">
                  <c:v>2014/15 Target</c:v>
                </c:pt>
              </c:strCache>
            </c:strRef>
          </c:cat>
          <c:val>
            <c:numRef>
              <c:f>Sheet1!$B$2:$B$7</c:f>
              <c:numCache>
                <c:formatCode>_("$"* #,##0_);_("$"* \(#,##0\);_("$"* "-"_);_(@_)</c:formatCode>
                <c:ptCount val="6"/>
                <c:pt idx="0">
                  <c:v>2942</c:v>
                </c:pt>
                <c:pt idx="1">
                  <c:v>3087</c:v>
                </c:pt>
                <c:pt idx="2">
                  <c:v>2871</c:v>
                </c:pt>
                <c:pt idx="3">
                  <c:v>3047</c:v>
                </c:pt>
                <c:pt idx="4">
                  <c:v>3250</c:v>
                </c:pt>
                <c:pt idx="5">
                  <c:v>3309</c:v>
                </c:pt>
              </c:numCache>
            </c:numRef>
          </c:val>
          <c:extLst>
            <c:ext xmlns:c16="http://schemas.microsoft.com/office/drawing/2014/chart" uri="{C3380CC4-5D6E-409C-BE32-E72D297353CC}">
              <c16:uniqueId val="{00000004-83C2-4276-A973-D66702AF8FD3}"/>
            </c:ext>
          </c:extLst>
        </c:ser>
        <c:dLbls>
          <c:showLegendKey val="0"/>
          <c:showVal val="0"/>
          <c:showCatName val="0"/>
          <c:showSerName val="0"/>
          <c:showPercent val="0"/>
          <c:showBubbleSize val="0"/>
        </c:dLbls>
        <c:gapWidth val="150"/>
        <c:axId val="174035328"/>
        <c:axId val="174036864"/>
      </c:barChart>
      <c:catAx>
        <c:axId val="174035328"/>
        <c:scaling>
          <c:orientation val="minMax"/>
        </c:scaling>
        <c:delete val="0"/>
        <c:axPos val="b"/>
        <c:numFmt formatCode="General" sourceLinked="0"/>
        <c:majorTickMark val="out"/>
        <c:minorTickMark val="none"/>
        <c:tickLblPos val="nextTo"/>
        <c:crossAx val="174036864"/>
        <c:crossesAt val="0"/>
        <c:auto val="1"/>
        <c:lblAlgn val="ctr"/>
        <c:lblOffset val="100"/>
        <c:noMultiLvlLbl val="0"/>
      </c:catAx>
      <c:valAx>
        <c:axId val="174036864"/>
        <c:scaling>
          <c:orientation val="minMax"/>
          <c:min val="0"/>
        </c:scaling>
        <c:delete val="0"/>
        <c:axPos val="l"/>
        <c:numFmt formatCode="_(&quot;$&quot;* #,##0_);_(&quot;$&quot;* \(#,##0\);_(&quot;$&quot;* &quot;-&quot;_);_(@_)" sourceLinked="1"/>
        <c:majorTickMark val="out"/>
        <c:minorTickMark val="none"/>
        <c:tickLblPos val="nextTo"/>
        <c:crossAx val="174035328"/>
        <c:crosses val="autoZero"/>
        <c:crossBetween val="between"/>
      </c:valAx>
      <c:dTable>
        <c:showHorzBorder val="0"/>
        <c:showVertBorder val="0"/>
        <c:showOutline val="0"/>
        <c:showKeys val="0"/>
      </c:dTable>
      <c:spPr>
        <a:noFill/>
        <a:ln w="25400">
          <a:noFill/>
        </a:ln>
      </c:spPr>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US" sz="1400">
                <a:latin typeface="Arial" panose="020B0604020202020204" pitchFamily="34" charset="0"/>
                <a:cs typeface="Arial" panose="020B0604020202020204" pitchFamily="34" charset="0"/>
              </a:rPr>
              <a:t>Average cost per client contact to provide information and advice</a:t>
            </a:r>
          </a:p>
        </c:rich>
      </c:tx>
      <c:layout>
        <c:manualLayout>
          <c:xMode val="edge"/>
          <c:yMode val="edge"/>
          <c:x val="0.27759805007755373"/>
          <c:y val="3.7918685485569835E-2"/>
        </c:manualLayout>
      </c:layout>
      <c:overlay val="0"/>
    </c:title>
    <c:autoTitleDeleted val="0"/>
    <c:plotArea>
      <c:layout/>
      <c:barChart>
        <c:barDir val="col"/>
        <c:grouping val="clustered"/>
        <c:varyColors val="0"/>
        <c:ser>
          <c:idx val="0"/>
          <c:order val="0"/>
          <c:tx>
            <c:strRef>
              <c:f>Sheet1!$B$1</c:f>
              <c:strCache>
                <c:ptCount val="1"/>
                <c:pt idx="0">
                  <c:v>Cost per activity</c:v>
                </c:pt>
              </c:strCache>
            </c:strRef>
          </c:tx>
          <c:spPr>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5661-4E78-8F8E-7F1BB9EA63D8}"/>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5661-4E78-8F8E-7F1BB9EA63D8}"/>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5-5661-4E78-8F8E-7F1BB9EA63D8}"/>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7-5661-4E78-8F8E-7F1BB9EA63D8}"/>
              </c:ext>
            </c:extLst>
          </c:dPt>
          <c:cat>
            <c:strRef>
              <c:f>Sheet1!$A$2:$A$7</c:f>
              <c:strCache>
                <c:ptCount val="6"/>
                <c:pt idx="0">
                  <c:v>2010/11</c:v>
                </c:pt>
                <c:pt idx="1">
                  <c:v>2011/12</c:v>
                </c:pt>
                <c:pt idx="2">
                  <c:v>2012/13 </c:v>
                </c:pt>
                <c:pt idx="3">
                  <c:v>2013/14</c:v>
                </c:pt>
                <c:pt idx="4">
                  <c:v>2014/15 </c:v>
                </c:pt>
                <c:pt idx="5">
                  <c:v>2014/15 Target</c:v>
                </c:pt>
              </c:strCache>
            </c:strRef>
          </c:cat>
          <c:val>
            <c:numRef>
              <c:f>Sheet1!$B$2:$B$7</c:f>
              <c:numCache>
                <c:formatCode>_("$"* #,##0_);_("$"* \(#,##0\);_("$"* "-"_);_(@_)</c:formatCode>
                <c:ptCount val="6"/>
                <c:pt idx="0">
                  <c:v>126</c:v>
                </c:pt>
                <c:pt idx="1">
                  <c:v>133</c:v>
                </c:pt>
                <c:pt idx="2">
                  <c:v>120</c:v>
                </c:pt>
                <c:pt idx="3">
                  <c:v>120</c:v>
                </c:pt>
                <c:pt idx="4">
                  <c:v>120</c:v>
                </c:pt>
                <c:pt idx="5">
                  <c:v>113</c:v>
                </c:pt>
              </c:numCache>
            </c:numRef>
          </c:val>
          <c:extLst>
            <c:ext xmlns:c16="http://schemas.microsoft.com/office/drawing/2014/chart" uri="{C3380CC4-5D6E-409C-BE32-E72D297353CC}">
              <c16:uniqueId val="{00000008-5661-4E78-8F8E-7F1BB9EA63D8}"/>
            </c:ext>
          </c:extLst>
        </c:ser>
        <c:dLbls>
          <c:showLegendKey val="0"/>
          <c:showVal val="0"/>
          <c:showCatName val="0"/>
          <c:showSerName val="0"/>
          <c:showPercent val="0"/>
          <c:showBubbleSize val="0"/>
        </c:dLbls>
        <c:gapWidth val="150"/>
        <c:axId val="181523200"/>
        <c:axId val="181524736"/>
      </c:barChart>
      <c:catAx>
        <c:axId val="181523200"/>
        <c:scaling>
          <c:orientation val="minMax"/>
        </c:scaling>
        <c:delete val="0"/>
        <c:axPos val="b"/>
        <c:numFmt formatCode="General" sourceLinked="0"/>
        <c:majorTickMark val="out"/>
        <c:minorTickMark val="none"/>
        <c:tickLblPos val="nextTo"/>
        <c:crossAx val="181524736"/>
        <c:crossesAt val="0"/>
        <c:auto val="1"/>
        <c:lblAlgn val="ctr"/>
        <c:lblOffset val="100"/>
        <c:noMultiLvlLbl val="0"/>
      </c:catAx>
      <c:valAx>
        <c:axId val="181524736"/>
        <c:scaling>
          <c:orientation val="minMax"/>
          <c:min val="0"/>
        </c:scaling>
        <c:delete val="0"/>
        <c:axPos val="l"/>
        <c:numFmt formatCode="_(&quot;$&quot;* #,##0_);_(&quot;$&quot;* \(#,##0\);_(&quot;$&quot;* &quot;-&quot;_);_(@_)"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81523200"/>
        <c:crosses val="autoZero"/>
        <c:crossBetween val="between"/>
      </c:valAx>
      <c:dTable>
        <c:showHorzBorder val="0"/>
        <c:showVertBorder val="0"/>
        <c:showOutline val="0"/>
        <c:showKeys val="1"/>
        <c:txPr>
          <a:bodyPr/>
          <a:lstStyle/>
          <a:p>
            <a:pPr rtl="0">
              <a:defRPr>
                <a:latin typeface="Arial" panose="020B0604020202020204" pitchFamily="34" charset="0"/>
                <a:cs typeface="Arial" panose="020B0604020202020204" pitchFamily="34" charset="0"/>
              </a:defRPr>
            </a:pPr>
            <a:endParaRPr lang="en-US"/>
          </a:p>
        </c:txPr>
      </c:dTable>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latin typeface="Arial" panose="020B0604020202020204" pitchFamily="34" charset="0"/>
                <a:cs typeface="Arial" panose="020B0604020202020204" pitchFamily="34" charset="0"/>
              </a:defRPr>
            </a:pPr>
            <a:r>
              <a:rPr lang="en-AU" sz="1400">
                <a:latin typeface="Arial" panose="020B0604020202020204" pitchFamily="34" charset="0"/>
                <a:cs typeface="Arial" panose="020B0604020202020204" pitchFamily="34" charset="0"/>
              </a:rPr>
              <a:t>Average cost to complete an arbitration</a:t>
            </a:r>
            <a:endParaRPr lang="en-US" sz="1400">
              <a:latin typeface="Arial" panose="020B0604020202020204" pitchFamily="34" charset="0"/>
              <a:cs typeface="Arial" panose="020B0604020202020204" pitchFamily="34" charset="0"/>
            </a:endParaRPr>
          </a:p>
        </c:rich>
      </c:tx>
      <c:layout>
        <c:manualLayout>
          <c:xMode val="edge"/>
          <c:yMode val="edge"/>
          <c:x val="0.36905614750737598"/>
          <c:y val="2.3809541112390947E-2"/>
        </c:manualLayout>
      </c:layout>
      <c:overlay val="0"/>
    </c:title>
    <c:autoTitleDeleted val="0"/>
    <c:plotArea>
      <c:layout/>
      <c:barChart>
        <c:barDir val="col"/>
        <c:grouping val="clustered"/>
        <c:varyColors val="0"/>
        <c:ser>
          <c:idx val="0"/>
          <c:order val="0"/>
          <c:tx>
            <c:strRef>
              <c:f>Sheet1!$B$1</c:f>
              <c:strCache>
                <c:ptCount val="1"/>
                <c:pt idx="0">
                  <c:v>Cost per completed arbitration</c:v>
                </c:pt>
              </c:strCache>
            </c:strRef>
          </c:tx>
          <c:spPr>
            <a:ln>
              <a:noFill/>
            </a:ln>
            <a:effectLst/>
          </c:spPr>
          <c:invertIfNegative val="0"/>
          <c:dPt>
            <c:idx val="3"/>
            <c:invertIfNegative val="0"/>
            <c:bubble3D val="0"/>
            <c:spPr>
              <a:solidFill>
                <a:schemeClr val="accent4"/>
              </a:solidFill>
              <a:ln>
                <a:noFill/>
              </a:ln>
              <a:effectLst/>
            </c:spPr>
            <c:extLst>
              <c:ext xmlns:c16="http://schemas.microsoft.com/office/drawing/2014/chart" uri="{C3380CC4-5D6E-409C-BE32-E72D297353CC}">
                <c16:uniqueId val="{00000001-D3A6-43A8-8779-F27C73B830AB}"/>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3-D3A6-43A8-8779-F27C73B830AB}"/>
              </c:ext>
            </c:extLst>
          </c:dPt>
          <c:cat>
            <c:strRef>
              <c:f>Sheet1!$A$2:$A$6</c:f>
              <c:strCache>
                <c:ptCount val="5"/>
                <c:pt idx="0">
                  <c:v>2011/12</c:v>
                </c:pt>
                <c:pt idx="1">
                  <c:v>2012/13 </c:v>
                </c:pt>
                <c:pt idx="2">
                  <c:v>2013/14 </c:v>
                </c:pt>
                <c:pt idx="3">
                  <c:v>2014/15 </c:v>
                </c:pt>
                <c:pt idx="4">
                  <c:v>14/15 Target</c:v>
                </c:pt>
              </c:strCache>
            </c:strRef>
          </c:cat>
          <c:val>
            <c:numRef>
              <c:f>Sheet1!$B$2:$B$6</c:f>
              <c:numCache>
                <c:formatCode>_("$"* #,##0_);_("$"* \(#,##0\);_("$"* "-"_);_(@_)</c:formatCode>
                <c:ptCount val="5"/>
                <c:pt idx="0">
                  <c:v>13803</c:v>
                </c:pt>
                <c:pt idx="1">
                  <c:v>13014</c:v>
                </c:pt>
                <c:pt idx="2">
                  <c:v>11153</c:v>
                </c:pt>
                <c:pt idx="3">
                  <c:v>10042</c:v>
                </c:pt>
                <c:pt idx="4" formatCode="&quot;$&quot;#,##0_);[Red]\(&quot;$&quot;#,##0\)">
                  <c:v>8611</c:v>
                </c:pt>
              </c:numCache>
            </c:numRef>
          </c:val>
          <c:extLst>
            <c:ext xmlns:c16="http://schemas.microsoft.com/office/drawing/2014/chart" uri="{C3380CC4-5D6E-409C-BE32-E72D297353CC}">
              <c16:uniqueId val="{00000004-D3A6-43A8-8779-F27C73B830AB}"/>
            </c:ext>
          </c:extLst>
        </c:ser>
        <c:dLbls>
          <c:showLegendKey val="0"/>
          <c:showVal val="0"/>
          <c:showCatName val="0"/>
          <c:showSerName val="0"/>
          <c:showPercent val="0"/>
          <c:showBubbleSize val="0"/>
        </c:dLbls>
        <c:gapWidth val="150"/>
        <c:axId val="180769920"/>
        <c:axId val="180771456"/>
      </c:barChart>
      <c:catAx>
        <c:axId val="180769920"/>
        <c:scaling>
          <c:orientation val="minMax"/>
        </c:scaling>
        <c:delete val="0"/>
        <c:axPos val="b"/>
        <c:numFmt formatCode="General" sourceLinked="0"/>
        <c:majorTickMark val="out"/>
        <c:minorTickMark val="none"/>
        <c:tickLblPos val="nextTo"/>
        <c:crossAx val="180771456"/>
        <c:crosses val="autoZero"/>
        <c:auto val="1"/>
        <c:lblAlgn val="ctr"/>
        <c:lblOffset val="100"/>
        <c:noMultiLvlLbl val="0"/>
      </c:catAx>
      <c:valAx>
        <c:axId val="180771456"/>
        <c:scaling>
          <c:orientation val="minMax"/>
          <c:min val="0"/>
        </c:scaling>
        <c:delete val="0"/>
        <c:axPos val="l"/>
        <c:numFmt formatCode="_(&quot;$&quot;* #,##0_);_(&quot;$&quot;* \(#,##0\);_(&quot;$&quot;* &quot;-&quot;_);_(@_)"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80769920"/>
        <c:crosses val="autoZero"/>
        <c:crossBetween val="between"/>
      </c:valAx>
      <c:dTable>
        <c:showHorzBorder val="0"/>
        <c:showVertBorder val="0"/>
        <c:showOutline val="0"/>
        <c:showKeys val="0"/>
        <c:txPr>
          <a:bodyPr/>
          <a:lstStyle/>
          <a:p>
            <a:pPr rtl="0">
              <a:defRPr>
                <a:latin typeface="Arial" panose="020B0604020202020204" pitchFamily="34" charset="0"/>
                <a:cs typeface="Arial" panose="020B0604020202020204" pitchFamily="34" charset="0"/>
              </a:defRPr>
            </a:pPr>
            <a:endParaRPr lang="en-US"/>
          </a:p>
        </c:txPr>
      </c:dTable>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AU" sz="1400">
                <a:latin typeface="Arial" panose="020B0604020202020204" pitchFamily="34" charset="0"/>
                <a:cs typeface="Arial" panose="020B0604020202020204" pitchFamily="34" charset="0"/>
              </a:rPr>
              <a:t>Average cost to complete a Memorandum of Agreement (MoA)</a:t>
            </a:r>
            <a:endParaRPr lang="en-US" sz="1400">
              <a:latin typeface="Arial" panose="020B0604020202020204" pitchFamily="34" charset="0"/>
              <a:cs typeface="Arial" panose="020B0604020202020204" pitchFamily="34" charset="0"/>
            </a:endParaRPr>
          </a:p>
        </c:rich>
      </c:tx>
      <c:layout>
        <c:manualLayout>
          <c:xMode val="edge"/>
          <c:yMode val="edge"/>
          <c:x val="0.27144905967188404"/>
          <c:y val="2.7366020524515394E-2"/>
        </c:manualLayout>
      </c:layout>
      <c:overlay val="0"/>
    </c:title>
    <c:autoTitleDeleted val="0"/>
    <c:plotArea>
      <c:layout/>
      <c:barChart>
        <c:barDir val="col"/>
        <c:grouping val="clustered"/>
        <c:varyColors val="0"/>
        <c:ser>
          <c:idx val="0"/>
          <c:order val="0"/>
          <c:tx>
            <c:strRef>
              <c:f>Sheet1!$B$1</c:f>
              <c:strCache>
                <c:ptCount val="1"/>
                <c:pt idx="0">
                  <c:v>Cost per completed MoA</c:v>
                </c:pt>
              </c:strCache>
            </c:strRef>
          </c:tx>
          <c:spPr>
            <a:solidFill>
              <a:schemeClr val="accent2"/>
            </a:solidFill>
            <a:ln>
              <a:noFill/>
            </a:ln>
            <a:effectLst/>
          </c:spPr>
          <c:invertIfNegative val="0"/>
          <c:dPt>
            <c:idx val="3"/>
            <c:invertIfNegative val="0"/>
            <c:bubble3D val="0"/>
            <c:spPr>
              <a:solidFill>
                <a:schemeClr val="accent4"/>
              </a:solidFill>
              <a:ln>
                <a:noFill/>
              </a:ln>
              <a:effectLst/>
            </c:spPr>
            <c:extLst>
              <c:ext xmlns:c16="http://schemas.microsoft.com/office/drawing/2014/chart" uri="{C3380CC4-5D6E-409C-BE32-E72D297353CC}">
                <c16:uniqueId val="{00000001-1305-4C57-887D-EAEBE08A6A3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3-1305-4C57-887D-EAEBE08A6A35}"/>
              </c:ext>
            </c:extLst>
          </c:dPt>
          <c:cat>
            <c:strRef>
              <c:f>Sheet1!$A$2:$A$6</c:f>
              <c:strCache>
                <c:ptCount val="5"/>
                <c:pt idx="0">
                  <c:v>2011/12</c:v>
                </c:pt>
                <c:pt idx="1">
                  <c:v>2012/13 </c:v>
                </c:pt>
                <c:pt idx="2">
                  <c:v>2013/14 </c:v>
                </c:pt>
                <c:pt idx="3">
                  <c:v>2014/15 </c:v>
                </c:pt>
                <c:pt idx="4">
                  <c:v>2014/15 Target</c:v>
                </c:pt>
              </c:strCache>
            </c:strRef>
          </c:cat>
          <c:val>
            <c:numRef>
              <c:f>Sheet1!$B$2:$B$6</c:f>
              <c:numCache>
                <c:formatCode>_("$"* #,##0_);_("$"* \(#,##0\);_("$"* "-"_);_(@_)</c:formatCode>
                <c:ptCount val="5"/>
                <c:pt idx="0">
                  <c:v>381</c:v>
                </c:pt>
                <c:pt idx="1">
                  <c:v>373</c:v>
                </c:pt>
                <c:pt idx="2">
                  <c:v>389</c:v>
                </c:pt>
                <c:pt idx="3">
                  <c:v>342</c:v>
                </c:pt>
                <c:pt idx="4">
                  <c:v>401</c:v>
                </c:pt>
              </c:numCache>
            </c:numRef>
          </c:val>
          <c:extLst>
            <c:ext xmlns:c16="http://schemas.microsoft.com/office/drawing/2014/chart" uri="{C3380CC4-5D6E-409C-BE32-E72D297353CC}">
              <c16:uniqueId val="{00000004-1305-4C57-887D-EAEBE08A6A35}"/>
            </c:ext>
          </c:extLst>
        </c:ser>
        <c:dLbls>
          <c:showLegendKey val="0"/>
          <c:showVal val="0"/>
          <c:showCatName val="0"/>
          <c:showSerName val="0"/>
          <c:showPercent val="0"/>
          <c:showBubbleSize val="0"/>
        </c:dLbls>
        <c:gapWidth val="150"/>
        <c:axId val="181424896"/>
        <c:axId val="181426432"/>
      </c:barChart>
      <c:catAx>
        <c:axId val="181424896"/>
        <c:scaling>
          <c:orientation val="minMax"/>
        </c:scaling>
        <c:delete val="0"/>
        <c:axPos val="b"/>
        <c:numFmt formatCode="General" sourceLinked="0"/>
        <c:majorTickMark val="out"/>
        <c:minorTickMark val="none"/>
        <c:tickLblPos val="nextTo"/>
        <c:crossAx val="181426432"/>
        <c:crosses val="autoZero"/>
        <c:auto val="1"/>
        <c:lblAlgn val="ctr"/>
        <c:lblOffset val="100"/>
        <c:noMultiLvlLbl val="0"/>
      </c:catAx>
      <c:valAx>
        <c:axId val="181426432"/>
        <c:scaling>
          <c:orientation val="minMax"/>
          <c:min val="0"/>
        </c:scaling>
        <c:delete val="0"/>
        <c:axPos val="l"/>
        <c:numFmt formatCode="_(&quot;$&quot;* #,##0_);_(&quot;$&quot;* \(#,##0\);_(&quot;$&quot;* &quot;-&quot;_);_(@_)"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n-US"/>
          </a:p>
        </c:txPr>
        <c:crossAx val="181424896"/>
        <c:crosses val="autoZero"/>
        <c:crossBetween val="between"/>
      </c:valAx>
      <c:dTable>
        <c:showHorzBorder val="0"/>
        <c:showVertBorder val="0"/>
        <c:showOutline val="0"/>
        <c:showKeys val="0"/>
        <c:txPr>
          <a:bodyPr/>
          <a:lstStyle/>
          <a:p>
            <a:pPr rtl="0">
              <a:defRPr sz="1000">
                <a:latin typeface="Arial" panose="020B0604020202020204" pitchFamily="34" charset="0"/>
                <a:cs typeface="Arial" panose="020B0604020202020204" pitchFamily="34" charset="0"/>
              </a:defRPr>
            </a:pPr>
            <a:endParaRPr lang="en-US"/>
          </a:p>
        </c:txPr>
      </c:dTable>
      <c:spPr>
        <a:noFill/>
        <a:ln w="25400">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E522D8-9DDF-4C64-BD1C-D0757B6D716E}">
  <ds:schemaRefs>
    <ds:schemaRef ds:uri="http://schemas.openxmlformats.org/officeDocument/2006/bibliography"/>
  </ds:schemaRefs>
</ds:datastoreItem>
</file>

<file path=docMetadata/LabelInfo.xml><?xml version="1.0" encoding="utf-8"?>
<clbl:labelList xmlns:clbl="http://schemas.microsoft.com/office/2020/mipLabelMetadata">
  <clbl:label id="{7a4a0ede-15bf-42bb-8665-8f351a82fbe3}" enabled="1" method="Standard" siteId="{568e88b5-5eeb-4c88-9589-0c62d6cddcb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229</Pages>
  <Words>49797</Words>
  <Characters>283845</Characters>
  <Application>Microsoft Office Word</Application>
  <DocSecurity>8</DocSecurity>
  <Lines>2365</Lines>
  <Paragraphs>665</Paragraphs>
  <ScaleCrop>false</ScaleCrop>
  <HeadingPairs>
    <vt:vector size="2" baseType="variant">
      <vt:variant>
        <vt:lpstr>Title</vt:lpstr>
      </vt:variant>
      <vt:variant>
        <vt:i4>1</vt:i4>
      </vt:variant>
    </vt:vector>
  </HeadingPairs>
  <TitlesOfParts>
    <vt:vector size="1" baseType="lpstr">
      <vt:lpstr/>
    </vt:vector>
  </TitlesOfParts>
  <Company>Workcover WA</Company>
  <LinksUpToDate>false</LinksUpToDate>
  <CharactersWithSpaces>332977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dc:creator>
  <cp:keywords/>
  <dc:description/>
  <cp:lastModifiedBy>Kailea Porter</cp:lastModifiedBy>
  <cp:revision>2</cp:revision>
  <cp:lastPrinted>2015-09-15T06:41:00Z</cp:lastPrinted>
  <dcterms:created xsi:type="dcterms:W3CDTF">2024-08-05T00:35:00Z</dcterms:created>
  <dcterms:modified xsi:type="dcterms:W3CDTF">2024-08-05T00:35:00Z</dcterms:modified>
</cp:coreProperties>
</file>